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10" w:lineRule="atLeast"/>
        <w:jc w:val="center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="宋体" w:hAnsi="宋体" w:eastAsia="宋体" w:cs="宋体"/>
          <w:b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年湖口县国民经济和社会发展统计公报</w:t>
      </w:r>
    </w:p>
    <w:p>
      <w:pPr>
        <w:pStyle w:val="2"/>
        <w:widowControl/>
        <w:spacing w:beforeAutospacing="0" w:afterAutospacing="0" w:line="510" w:lineRule="atLeast"/>
        <w:ind w:firstLine="500" w:firstLineChars="200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年，在县委、县政府的坚强领导下，全县上下坚持以习近平新时代中国特色社会主义思想为指导，深入贯彻习近平总书记视察江西重要讲话精神，面对错综复杂的国内外环境，始终坚持稳中求进工作总基调和新发展理念，特别是突如其来的新冠肺炎疫情和超历史特大洪水的重大考验，全力做好“六稳六保”工作，紧紧围绕“跨入全省十强，争当四个标杆”奋斗目标，精准施策、攻坚克难，经济社会实现平稳健康发展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b/>
          <w:bCs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一、综合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初步核算，全年地区生产总值（GDP）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245.36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亿元，按可比价格计算，比上年增长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%。其中第一产业增加值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16.08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%，第二产业增加值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164.5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%，第三产业增加值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64.78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%。三次产业结构比为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6.6:67.0:26.4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，第三产业占GDP的比重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较上年度提高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0.1个百分点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。人均GDP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107850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元。非公有制经济稳步发展，实现增加值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176.66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%，占GDP比重为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jc w:val="center"/>
        <w:rPr>
          <w:rFonts w:ascii="仿宋_GB2312" w:eastAsia="仿宋_GB2312" w:cs="宋体"/>
          <w:color w:val="auto"/>
          <w:kern w:val="0"/>
          <w:sz w:val="21"/>
          <w:szCs w:val="21"/>
        </w:rPr>
      </w:pPr>
      <w:r>
        <w:rPr>
          <w:rFonts w:ascii="仿宋_GB2312" w:eastAsia="仿宋_GB2312" w:cs="宋体"/>
          <w:color w:val="auto"/>
          <w:kern w:val="0"/>
          <w:sz w:val="21"/>
          <w:szCs w:val="21"/>
        </w:rPr>
        <w:object>
          <v:shape id="_x0000_i1025" o:spt="75" type="#_x0000_t75" style="height:190.85pt;width:376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</w:p>
    <w:p>
      <w:pPr>
        <w:pStyle w:val="2"/>
        <w:widowControl/>
        <w:spacing w:beforeAutospacing="0" w:afterAutospacing="0" w:line="510" w:lineRule="atLeast"/>
        <w:jc w:val="center"/>
        <w:rPr>
          <w:rFonts w:ascii="仿宋_GB2312" w:eastAsia="仿宋_GB2312" w:cs="宋体"/>
          <w:color w:val="auto"/>
          <w:kern w:val="0"/>
          <w:sz w:val="21"/>
          <w:szCs w:val="21"/>
        </w:rPr>
      </w:pPr>
    </w:p>
    <w:p>
      <w:pPr>
        <w:pStyle w:val="2"/>
        <w:widowControl/>
        <w:spacing w:beforeAutospacing="0" w:afterAutospacing="0" w:line="510" w:lineRule="atLeast"/>
        <w:jc w:val="center"/>
        <w:rPr>
          <w:rFonts w:ascii="仿宋_GB2312" w:eastAsia="仿宋_GB2312" w:cs="宋体"/>
          <w:color w:val="auto"/>
          <w:kern w:val="0"/>
          <w:sz w:val="21"/>
          <w:szCs w:val="21"/>
        </w:rPr>
      </w:pP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二、农业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FF0000"/>
          <w:sz w:val="25"/>
          <w:szCs w:val="25"/>
        </w:rPr>
        <w:t>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全年粮食种植面积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23.6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万亩，比上年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万亩；棉花种植面积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万亩,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较上年减少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万亩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；油料种植面积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15.8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万亩，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较上年减少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2.7万亩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；蔬菜种植面积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万亩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，较去年同期基本持平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；年末果园面积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万亩,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比上年下降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0.1万亩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FF0000"/>
          <w:sz w:val="25"/>
          <w:szCs w:val="25"/>
        </w:rPr>
        <w:t>　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全年粮食总产量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万吨，比上年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%。其中，早稻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29.8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%；二晚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25.8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%;一晚和中稻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24.5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%。全年油料产量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较上年下降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11.8%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。棉花产量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6435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较上年下降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15.8%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。蔬菜产量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较上年增长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2.1%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。水果产量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5953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较上年增长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jc w:val="center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宋体"/>
          <w:color w:val="auto"/>
          <w:kern w:val="0"/>
          <w:sz w:val="21"/>
          <w:szCs w:val="21"/>
        </w:rPr>
        <w:object>
          <v:shape id="_x0000_i1026" o:spt="75" type="#_x0000_t75" style="height:266.05pt;width:395.4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8" ShapeID="_x0000_i1026" DrawAspect="Content" ObjectID="_1468075726" r:id="rId6">
            <o:LockedField>false</o:LockedField>
          </o:OLEObject>
        </w:objec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FF0000"/>
          <w:sz w:val="25"/>
          <w:szCs w:val="25"/>
        </w:rPr>
        <w:t>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全年肉类总产量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5235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13.7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%。生猪出栏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万头，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19.0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%；生猪存栏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万头，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95.0%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。家禽存栏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万只，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%；禽蛋产量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2036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26.5%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。水产品产量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较去年基本持平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FF0000"/>
          <w:sz w:val="25"/>
          <w:szCs w:val="25"/>
        </w:rPr>
        <w:t>　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全年人工造林面积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4786.8亩（其中油茶3900亩；花卉苗木750亩）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完成“四化”林人工造林造林200亩，补植补造500亩，完成低产低效林改造900亩，完成森林抚育4000亩。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完成森林药材种植面积750亩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；森林覆盖率达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28.14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FF0000"/>
          <w:sz w:val="25"/>
          <w:szCs w:val="25"/>
        </w:rPr>
        <w:t>　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全县有效灌溉面积达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20.78万亩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；水土流失综合治理面积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89平方公里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，新增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2平方公里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。年末农业机械总动力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7.57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万千瓦，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全县拖拉机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755台，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联合收割机达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台。农用化肥施用量（折纯）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9205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吨，下降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三、工业和建筑业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FF0000"/>
          <w:sz w:val="25"/>
          <w:szCs w:val="25"/>
        </w:rPr>
        <w:t>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全年规模以上工业实现增加值增长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%,其中：国有控股企业增加值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60.4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%。规模以上工业中，股份制企业增加值增长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%，港澳台和外商投资企业增长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%。规模以上工业中，重工业增加值增长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%，轻工业增加值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%。全年工业产品销售率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98.9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jc w:val="center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宋体"/>
          <w:color w:val="auto"/>
          <w:kern w:val="0"/>
          <w:sz w:val="21"/>
          <w:szCs w:val="21"/>
        </w:rPr>
        <w:object>
          <v:shape id="_x0000_i1027" o:spt="75" type="#_x0000_t75" style="height:202.55pt;width:405.4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xcel.Sheet.8" ShapeID="_x0000_i1027" DrawAspect="Content" ObjectID="_1468075727" r:id="rId8">
            <o:LockedField>false</o:LockedField>
          </o:OLEObject>
        </w:objec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FF0000"/>
          <w:sz w:val="25"/>
          <w:szCs w:val="25"/>
        </w:rPr>
        <w:t>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全年规模以上工业实现营业收入完成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530.5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%；实现利税总额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61.7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%，其中实现利润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51.4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%。工业经济效益综合指数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489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%，比上年增长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0.19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个百分点。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工业园区实际开发面积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13.4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平方公里，年末投产企业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家，从事工业生产活动人数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18151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4.21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%。园区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营业收入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494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6.62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%，实现利润总额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 48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12.33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FF0000"/>
          <w:sz w:val="25"/>
          <w:szCs w:val="25"/>
        </w:rPr>
        <w:t>　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全社会建筑业完成增加值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87516万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，与去年基本持平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。具有资质等级的建筑企业完成营业收入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82967.6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0.18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%，营业税金及附加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848.5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29.7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%，实现利润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3582.6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403.5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四、固定资产投资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全年固定资产投资增长</w:t>
      </w:r>
      <w:r>
        <w:rPr>
          <w:rFonts w:hint="eastAsia" w:ascii="宋体" w:hAnsi="宋体" w:eastAsia="PMingLiU" w:cs="宋体"/>
          <w:color w:val="000000" w:themeColor="text1"/>
          <w:sz w:val="25"/>
          <w:szCs w:val="25"/>
          <w:lang w:val="en-US" w:eastAsia="zh-TW"/>
          <w14:textFill>
            <w14:solidFill>
              <w14:schemeClr w14:val="tx1"/>
            </w14:solidFill>
          </w14:textFill>
        </w:rPr>
        <w:t>9.4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%。固定资产投资中，亿元以上项目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PMingLiU" w:cs="宋体"/>
          <w:color w:val="000000" w:themeColor="text1"/>
          <w:sz w:val="25"/>
          <w:szCs w:val="25"/>
          <w:lang w:val="en-US" w:eastAsia="zh-TW"/>
          <w14:textFill>
            <w14:solidFill>
              <w14:schemeClr w14:val="tx1"/>
            </w14:solidFill>
          </w14:textFill>
        </w:rPr>
        <w:t>154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个，完成投资</w:t>
      </w:r>
      <w:r>
        <w:rPr>
          <w:rFonts w:hint="eastAsia" w:ascii="宋体" w:hAnsi="宋体" w:eastAsia="PMingLiU" w:cs="宋体"/>
          <w:color w:val="000000" w:themeColor="text1"/>
          <w:sz w:val="25"/>
          <w:szCs w:val="25"/>
          <w:lang w:val="en-US" w:eastAsia="zh-TW"/>
          <w14:textFill>
            <w14:solidFill>
              <w14:schemeClr w14:val="tx1"/>
            </w14:solidFill>
          </w14:textFill>
        </w:rPr>
        <w:t>150.6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亿元，其中当年新开工亿元以上工业项目</w:t>
      </w:r>
      <w:r>
        <w:rPr>
          <w:rFonts w:hint="eastAsia" w:ascii="宋体" w:hAnsi="宋体" w:eastAsia="PMingLiU" w:cs="宋体"/>
          <w:color w:val="000000" w:themeColor="text1"/>
          <w:sz w:val="25"/>
          <w:szCs w:val="25"/>
          <w:lang w:val="en-US" w:eastAsia="zh-TW"/>
          <w14:textFill>
            <w14:solidFill>
              <w14:schemeClr w14:val="tx1"/>
            </w14:solidFill>
          </w14:textFill>
        </w:rPr>
        <w:t>66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个，完成投资额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PMingLiU" w:cs="宋体"/>
          <w:color w:val="000000" w:themeColor="text1"/>
          <w:sz w:val="25"/>
          <w:szCs w:val="25"/>
          <w:lang w:val="en-US" w:eastAsia="zh-TW"/>
          <w14:textFill>
            <w14:solidFill>
              <w14:schemeClr w14:val="tx1"/>
            </w14:solidFill>
          </w14:textFill>
        </w:rPr>
        <w:t>25.7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亿元。当年竣工亿元以上项目</w:t>
      </w:r>
      <w:r>
        <w:rPr>
          <w:rFonts w:hint="eastAsia" w:ascii="宋体" w:hAnsi="宋体" w:eastAsia="PMingLiU" w:cs="宋体"/>
          <w:color w:val="000000" w:themeColor="text1"/>
          <w:sz w:val="25"/>
          <w:szCs w:val="25"/>
          <w:lang w:val="en-US" w:eastAsia="zh-TW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个，完成投资额</w:t>
      </w:r>
      <w:r>
        <w:rPr>
          <w:rFonts w:hint="eastAsia" w:ascii="宋体" w:hAnsi="宋体" w:eastAsia="PMingLiU" w:cs="宋体"/>
          <w:color w:val="000000" w:themeColor="text1"/>
          <w:sz w:val="25"/>
          <w:szCs w:val="25"/>
          <w:lang w:val="en-US" w:eastAsia="zh-TW"/>
          <w14:textFill>
            <w14:solidFill>
              <w14:schemeClr w14:val="tx1"/>
            </w14:solidFill>
          </w14:textFill>
        </w:rPr>
        <w:t>35.2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亿元，其中工业项目</w:t>
      </w:r>
      <w:r>
        <w:rPr>
          <w:rFonts w:hint="eastAsia" w:ascii="宋体" w:hAnsi="宋体" w:eastAsia="PMingLiU" w:cs="宋体"/>
          <w:color w:val="000000" w:themeColor="text1"/>
          <w:sz w:val="25"/>
          <w:szCs w:val="25"/>
          <w:lang w:val="en-US" w:eastAsia="zh-TW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个，完成投资额</w:t>
      </w:r>
      <w:r>
        <w:rPr>
          <w:rFonts w:hint="eastAsia" w:ascii="宋体" w:hAnsi="宋体" w:eastAsia="PMingLiU" w:cs="宋体"/>
          <w:color w:val="000000" w:themeColor="text1"/>
          <w:sz w:val="25"/>
          <w:szCs w:val="25"/>
          <w:lang w:val="en-US" w:eastAsia="zh-TW"/>
          <w14:textFill>
            <w14:solidFill>
              <w14:schemeClr w14:val="tx1"/>
            </w14:solidFill>
          </w14:textFill>
        </w:rPr>
        <w:t>30.1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亿元。</w:t>
      </w:r>
    </w:p>
    <w:p>
      <w:pPr>
        <w:pStyle w:val="2"/>
        <w:widowControl/>
        <w:spacing w:beforeAutospacing="0" w:afterAutospacing="0" w:line="510" w:lineRule="atLeast"/>
        <w:jc w:val="center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宋体"/>
          <w:color w:val="auto"/>
          <w:kern w:val="0"/>
          <w:sz w:val="21"/>
          <w:szCs w:val="21"/>
        </w:rPr>
        <w:object>
          <v:shape id="_x0000_i1028" o:spt="75" type="#_x0000_t75" style="height:213.7pt;width:396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xcel.Sheet.8" ShapeID="_x0000_i1028" DrawAspect="Content" ObjectID="_1468075728" r:id="rId10">
            <o:LockedField>false</o:LockedField>
          </o:OLEObject>
        </w:objec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在固定资产投资中，第一产业投资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2.5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%，第二产业投资增长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16.8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%，第三产业投资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全年房地产开发投资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%；其中商品住宅投资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5.2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%。商品房施工面积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93.7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万平方米，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 11.7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%；竣工面积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1.4  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万平方米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，下降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52.4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%；商品房销售面积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15.5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万平方米，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1.5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%；商品房销售额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22.1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固定资产投资施工项目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 256 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个,其中本年新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入库项目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 135  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个。</w:t>
      </w:r>
    </w:p>
    <w:p>
      <w:pPr>
        <w:pStyle w:val="2"/>
        <w:widowControl/>
        <w:spacing w:beforeAutospacing="0" w:afterAutospacing="0" w:line="510" w:lineRule="atLeast"/>
        <w:rPr>
          <w:rFonts w:hint="eastAsia" w:ascii="黑体" w:hAnsi="黑体" w:eastAsia="黑体" w:cs="黑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五、国内贸易和开放型经济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全年社会消费品零售总额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551627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%。分城乡看，城镇消费品零售总额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439329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%，乡村消费品零售额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112297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6.0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行业看，批发零售业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零售总额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456366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%；住宿业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餐饮业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零售总额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95261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jc w:val="center"/>
        <w:rPr>
          <w:rFonts w:ascii="仿宋_GB2312" w:eastAsia="仿宋_GB2312" w:cs="宋体"/>
          <w:color w:val="auto"/>
          <w:kern w:val="0"/>
          <w:sz w:val="21"/>
          <w:szCs w:val="21"/>
        </w:rPr>
      </w:pPr>
      <w:r>
        <w:rPr>
          <w:rFonts w:ascii="仿宋_GB2312" w:eastAsia="仿宋_GB2312" w:cs="宋体"/>
          <w:color w:val="auto"/>
          <w:kern w:val="0"/>
          <w:sz w:val="21"/>
          <w:szCs w:val="21"/>
        </w:rPr>
        <w:object>
          <v:shape id="_x0000_i1029" o:spt="75" type="#_x0000_t75" style="height:216.5pt;width:366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xcel.Sheet.8" ShapeID="_x0000_i1029" DrawAspect="Content" ObjectID="_1468075729" r:id="rId12">
            <o:LockedField>false</o:LockedField>
          </o:OLEObject>
        </w:object>
      </w:r>
    </w:p>
    <w:p>
      <w:pPr>
        <w:pStyle w:val="2"/>
        <w:widowControl/>
        <w:spacing w:beforeAutospacing="0" w:afterAutospacing="0" w:line="510" w:lineRule="atLeast"/>
        <w:jc w:val="both"/>
        <w:rPr>
          <w:rFonts w:hint="default" w:ascii="宋体" w:hAnsi="宋体" w:eastAsia="仿宋_GB2312" w:cs="宋体"/>
          <w:b/>
          <w:bCs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b/>
          <w:bCs/>
          <w:color w:val="auto"/>
          <w:kern w:val="0"/>
          <w:sz w:val="21"/>
          <w:szCs w:val="21"/>
          <w:lang w:val="en-US" w:eastAsia="zh-CN"/>
        </w:rPr>
        <w:t>(2018年根据全国第四次经济普查重新核定后社消总额由309871万元修订为465518万元)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全年实际利用境外资金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18113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万美元，增长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6.1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%，外贸出口（出口值）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   39149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万美元，比上年增长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40.7%,全年进口额34.32亿元，较去年同期增长24.17%；全年进出口总额实现61.46亿元，较去年同期增长31.6%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全年引进市外2</w:t>
      </w:r>
      <w:r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万元以上项目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个，其中亿元以上项目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个、合同总投资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166.84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亿元。当年进资（含续建项目）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168.94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全年接待旅游总人数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323.59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万人次，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9.2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%；其中国内游客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323.59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万人次，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9.2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2020年受疫情影响，没有境外游客。全年完成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旅游总收入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21.43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31.8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六、财政和金融业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全年财政总收入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375931万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元，比上年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13.2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%，其中各项税收收入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317726万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%。全年地方一般预算收入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206656万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%，其中增值税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86894万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%；企业所得税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24814万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%；个人所得税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2587万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%。财政总收入占生产总值的比重为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15.3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%；税收收入占财政总收入的比重达到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84.5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个百分点。全年财政支出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342889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2.9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%，其中农林水事务支出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45056万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40.4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%，科教文卫体等支出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112095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7.4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　</w:t>
      </w:r>
    </w:p>
    <w:p>
      <w:pPr>
        <w:pStyle w:val="2"/>
        <w:widowControl/>
        <w:spacing w:beforeAutospacing="0" w:afterAutospacing="0" w:line="510" w:lineRule="atLeast"/>
        <w:jc w:val="center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宋体"/>
          <w:color w:val="auto"/>
          <w:kern w:val="0"/>
          <w:sz w:val="21"/>
          <w:szCs w:val="21"/>
        </w:rPr>
        <w:object>
          <v:shape id="_x0000_i1030" o:spt="75" type="#_x0000_t75" style="height:230.6pt;width:379.1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xcel.Sheet.8" ShapeID="_x0000_i1030" DrawAspect="Content" ObjectID="_1468075730" r:id="rId14">
            <o:LockedField>false</o:LockedField>
          </o:OLEObject>
        </w:objec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年末全县金融机构各项存款余额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197.58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亿元，比上年末增加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18.34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亿元。其中，住户存款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111.26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11.51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亿元，非金融企业存款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44.7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0.57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亿元，广义政府存款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41.6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6.26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亿元。金融机构各项贷款余额为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141.7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16.7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亿元。其中，住户贷款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47.33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7.33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亿元；非金融企业及机关团体贷款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94.35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亿元，增加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9.38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亿元。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社会事业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全县普通高中招生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1877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人，在校学生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5741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人，毕业生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1786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人。初中招生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2776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人，在校学生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9880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人，毕业生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3318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人。普通小学招生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2799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人，在校学生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17592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人，毕业生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2843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人。初中阶段适龄人口入学率和小学学龄儿童入学率均达到100%。学前教育幼儿数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8207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入园人数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3296人，离园2932人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hint="eastAsia"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年末有各类医疗卫生机构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180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个，其中医院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个、卫生院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个、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村卫生室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132个，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诊所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卫生监督机构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1个，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其他医疗卫生机构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个。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全县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卫生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人员共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1943人，其中：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执业医师和执业助理医师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505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人，注册护士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543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，药师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98人，技师101人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全县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卫生机构共有床位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1285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张。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hint="eastAsia" w:ascii="黑体" w:hAnsi="黑体" w:eastAsia="黑体" w:cs="黑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八、人口、人民生活和社会保障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ascii="宋体" w:hAnsi="宋体" w:eastAsia="宋体" w:cs="宋体"/>
          <w:color w:val="FF0000"/>
          <w:sz w:val="25"/>
          <w:szCs w:val="25"/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年末全县户籍人口为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292126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人；其中城镇人口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95039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人，乡村人口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197087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人。根据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2020年第七次全国人口普查标准时点11月1日零时汇总数据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年末全县常住人口为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227462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其中城镇人口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124172人，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城镇化率为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54.6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全年出生人数2662人，人口出生率7.92‰，死亡人数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1473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人，死亡率3.4‰，自然增长率4.52‰。出生人口性别比为116.95。</w:t>
      </w:r>
    </w:p>
    <w:p>
      <w:pPr>
        <w:pStyle w:val="2"/>
        <w:widowControl/>
        <w:spacing w:beforeAutospacing="0" w:afterAutospacing="0" w:line="510" w:lineRule="atLeast"/>
        <w:ind w:firstLine="500" w:firstLineChars="200"/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全年实现新增城镇就业3568人，城镇就业率98.3%；困难群体就业425人，新增转移农村劳动力4150人，其中省内转移2795人。“零就业家庭”安置率100%；工业园区定向培训1971人，创业培训875人，新增发放创业担保贷款 9790万元，新增小额贷款担保基金75万元，贷款回收率达100%。全县城乡居民养老保险参保人数为136531人，执行城镇企业职工基本养老保险参保人数46034人；执行机关事业单位养老保险参保人数5759人。</w:t>
      </w:r>
      <w:r>
        <w:rPr>
          <w:rFonts w:hint="eastAsia" w:ascii="宋体" w:hAnsi="宋体" w:eastAsia="宋体" w:cs="宋体"/>
          <w:color w:val="FF0000"/>
          <w:sz w:val="25"/>
          <w:szCs w:val="25"/>
        </w:rPr>
        <w:t>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城镇居民全年人均可支配收入40009元，比上年增加2407元，增长6.4%，城镇居民人均生活消费支出20330元，下降1.3%。年末城镇居民人均拥有住房面积43平方米。农村居民全年人均可支配收入18659元，比上年增加1305元，增长7.5%;农村居民人均生活消费支出14754元，增长9.3%。年末农村居民人均拥有住房面积43平方米。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参加基本医疗保险年末人数为284039人。其中：参加城乡居民医疗保险人数250470人，参加职工基本医疗保险人数33569人。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全县城乡居民住院46218人次，统筹支付17705万元。其中：建档立卡人员统筹支付1596万元，大病支付317万元。参加工伤保险年末人数39502人。参加失业保险年末人数16947人。</w:t>
      </w: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全县共有961户1664名城镇居民得到政府最低生活保障，4787户8300名农村居民得到政府最低生活保障。农村特困人员救助供养1014人，其中集中供养311人，分散供养703人；城镇特困人员救助供养63人。实施临时救助1330人次，发放资金290.67万元。全县养老机构共13家，拥有床位1980张，年末在院人员323人（不含民办石钟情养老城）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注1.　　　　本公报中数据均为初步统计数。</w:t>
      </w:r>
    </w:p>
    <w:p>
      <w:pPr>
        <w:pStyle w:val="2"/>
        <w:widowControl/>
        <w:spacing w:beforeAutospacing="0" w:afterAutospacing="0" w:line="510" w:lineRule="atLeast"/>
        <w:rPr>
          <w:rFonts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　　注2.　　　　地区生产总值、各产业增加值绝对数按现价计算，增长速度按不变价格计算。部分年度增加值增加研发支出有略微变动。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注3.　　　　部分数据因四舍五入的原因，存在着与分项合计不等的情况。</w:t>
      </w:r>
    </w:p>
    <w:p>
      <w:pPr>
        <w:pStyle w:val="2"/>
        <w:widowControl/>
        <w:spacing w:beforeAutospacing="0" w:afterAutospacing="0" w:line="510" w:lineRule="atLeast"/>
        <w:ind w:firstLine="500"/>
        <w:rPr>
          <w:rFonts w:hint="eastAsia" w:ascii="宋体" w:hAnsi="宋体" w:eastAsia="宋体" w:cs="宋体"/>
          <w:color w:val="FF0000"/>
          <w:sz w:val="25"/>
          <w:szCs w:val="2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BE"/>
    <w:rsid w:val="002457A9"/>
    <w:rsid w:val="00386F11"/>
    <w:rsid w:val="00562533"/>
    <w:rsid w:val="006920BE"/>
    <w:rsid w:val="00751640"/>
    <w:rsid w:val="008A7212"/>
    <w:rsid w:val="00C334F1"/>
    <w:rsid w:val="00CC61D8"/>
    <w:rsid w:val="00D26FEA"/>
    <w:rsid w:val="00DF78B8"/>
    <w:rsid w:val="00FE0E12"/>
    <w:rsid w:val="01523893"/>
    <w:rsid w:val="02171942"/>
    <w:rsid w:val="036A6FE0"/>
    <w:rsid w:val="03CE4375"/>
    <w:rsid w:val="03EF2773"/>
    <w:rsid w:val="05163CDE"/>
    <w:rsid w:val="089900FE"/>
    <w:rsid w:val="08D86739"/>
    <w:rsid w:val="097D27E8"/>
    <w:rsid w:val="0A766F1C"/>
    <w:rsid w:val="0BB635DC"/>
    <w:rsid w:val="0C691F46"/>
    <w:rsid w:val="0CF50134"/>
    <w:rsid w:val="0F282B96"/>
    <w:rsid w:val="0F66739C"/>
    <w:rsid w:val="0F8504D4"/>
    <w:rsid w:val="0FFC5A30"/>
    <w:rsid w:val="111F6D5B"/>
    <w:rsid w:val="1131451D"/>
    <w:rsid w:val="12030629"/>
    <w:rsid w:val="127934E7"/>
    <w:rsid w:val="12B22F82"/>
    <w:rsid w:val="145B75E5"/>
    <w:rsid w:val="160D155A"/>
    <w:rsid w:val="16866CB5"/>
    <w:rsid w:val="169707E8"/>
    <w:rsid w:val="188117D4"/>
    <w:rsid w:val="18AC41A5"/>
    <w:rsid w:val="1C3B6028"/>
    <w:rsid w:val="1C3F6764"/>
    <w:rsid w:val="1CB560EE"/>
    <w:rsid w:val="1D082B2E"/>
    <w:rsid w:val="1E9C54EC"/>
    <w:rsid w:val="1EC10ED8"/>
    <w:rsid w:val="1FCD2014"/>
    <w:rsid w:val="20EE14FC"/>
    <w:rsid w:val="21140958"/>
    <w:rsid w:val="2149267D"/>
    <w:rsid w:val="216C33A2"/>
    <w:rsid w:val="21A07F21"/>
    <w:rsid w:val="21A4598F"/>
    <w:rsid w:val="21A470DC"/>
    <w:rsid w:val="225369A4"/>
    <w:rsid w:val="22BE4F7D"/>
    <w:rsid w:val="22FE764E"/>
    <w:rsid w:val="23A051F1"/>
    <w:rsid w:val="23A4601F"/>
    <w:rsid w:val="24961910"/>
    <w:rsid w:val="25654FDF"/>
    <w:rsid w:val="256D6D7F"/>
    <w:rsid w:val="256F3EC8"/>
    <w:rsid w:val="26BE7B11"/>
    <w:rsid w:val="26CF66A0"/>
    <w:rsid w:val="28423755"/>
    <w:rsid w:val="28C37E13"/>
    <w:rsid w:val="292834FB"/>
    <w:rsid w:val="2AD2172B"/>
    <w:rsid w:val="2C603119"/>
    <w:rsid w:val="2DD64B9A"/>
    <w:rsid w:val="2E4501C6"/>
    <w:rsid w:val="2E706ECE"/>
    <w:rsid w:val="2E8C2741"/>
    <w:rsid w:val="2EA84EDF"/>
    <w:rsid w:val="2F215572"/>
    <w:rsid w:val="2FDD5543"/>
    <w:rsid w:val="31003E4E"/>
    <w:rsid w:val="310D072D"/>
    <w:rsid w:val="314A4D56"/>
    <w:rsid w:val="31941D73"/>
    <w:rsid w:val="31B25AE1"/>
    <w:rsid w:val="32165557"/>
    <w:rsid w:val="326D51EF"/>
    <w:rsid w:val="33283EDC"/>
    <w:rsid w:val="336521EC"/>
    <w:rsid w:val="338424D8"/>
    <w:rsid w:val="33A11ABC"/>
    <w:rsid w:val="33E37433"/>
    <w:rsid w:val="3439591A"/>
    <w:rsid w:val="345F4E9A"/>
    <w:rsid w:val="34A57B41"/>
    <w:rsid w:val="35976106"/>
    <w:rsid w:val="369B2401"/>
    <w:rsid w:val="37505871"/>
    <w:rsid w:val="38454C18"/>
    <w:rsid w:val="385C00AD"/>
    <w:rsid w:val="388D5984"/>
    <w:rsid w:val="3A074368"/>
    <w:rsid w:val="3AF11557"/>
    <w:rsid w:val="3C28661B"/>
    <w:rsid w:val="3EE76A8D"/>
    <w:rsid w:val="3FDF6A5E"/>
    <w:rsid w:val="3FFB6DD7"/>
    <w:rsid w:val="3FFD377D"/>
    <w:rsid w:val="40CE5A7B"/>
    <w:rsid w:val="42546AFC"/>
    <w:rsid w:val="43693BB1"/>
    <w:rsid w:val="43F70643"/>
    <w:rsid w:val="4496751C"/>
    <w:rsid w:val="44E42D36"/>
    <w:rsid w:val="45183829"/>
    <w:rsid w:val="45585B89"/>
    <w:rsid w:val="45AE376C"/>
    <w:rsid w:val="46704AEE"/>
    <w:rsid w:val="46C02F31"/>
    <w:rsid w:val="482F6C04"/>
    <w:rsid w:val="489F79E6"/>
    <w:rsid w:val="49664255"/>
    <w:rsid w:val="4A2E1CFA"/>
    <w:rsid w:val="4A537008"/>
    <w:rsid w:val="4B012D7A"/>
    <w:rsid w:val="4B2A4D82"/>
    <w:rsid w:val="4B2B0188"/>
    <w:rsid w:val="4D173030"/>
    <w:rsid w:val="4D2646C2"/>
    <w:rsid w:val="4D2B588F"/>
    <w:rsid w:val="4E2D09A2"/>
    <w:rsid w:val="4F3B2DFF"/>
    <w:rsid w:val="4F731879"/>
    <w:rsid w:val="4F9A7446"/>
    <w:rsid w:val="5022023D"/>
    <w:rsid w:val="50456443"/>
    <w:rsid w:val="505A0016"/>
    <w:rsid w:val="50F735CE"/>
    <w:rsid w:val="5150570D"/>
    <w:rsid w:val="518F15C4"/>
    <w:rsid w:val="522755EB"/>
    <w:rsid w:val="54D91177"/>
    <w:rsid w:val="55051B11"/>
    <w:rsid w:val="557A33B0"/>
    <w:rsid w:val="5612672A"/>
    <w:rsid w:val="56DC5A7E"/>
    <w:rsid w:val="5704400F"/>
    <w:rsid w:val="59250F86"/>
    <w:rsid w:val="59A97328"/>
    <w:rsid w:val="5A404725"/>
    <w:rsid w:val="5A8311ED"/>
    <w:rsid w:val="5A91575C"/>
    <w:rsid w:val="5AAA11EA"/>
    <w:rsid w:val="5B5D4760"/>
    <w:rsid w:val="5BD634C3"/>
    <w:rsid w:val="5D32307F"/>
    <w:rsid w:val="5D3A2DD5"/>
    <w:rsid w:val="5D607D82"/>
    <w:rsid w:val="5E011121"/>
    <w:rsid w:val="5E0217CB"/>
    <w:rsid w:val="5E097458"/>
    <w:rsid w:val="5E147D04"/>
    <w:rsid w:val="5FB5593A"/>
    <w:rsid w:val="600728A4"/>
    <w:rsid w:val="61BC62EB"/>
    <w:rsid w:val="63016CDE"/>
    <w:rsid w:val="649457E5"/>
    <w:rsid w:val="64AD7F5A"/>
    <w:rsid w:val="65FE311E"/>
    <w:rsid w:val="66767E3B"/>
    <w:rsid w:val="68302DD4"/>
    <w:rsid w:val="6A0206BE"/>
    <w:rsid w:val="6A605A46"/>
    <w:rsid w:val="6AE82E8A"/>
    <w:rsid w:val="6AF72699"/>
    <w:rsid w:val="6B665ADE"/>
    <w:rsid w:val="6C2E7228"/>
    <w:rsid w:val="6C5211DA"/>
    <w:rsid w:val="6C9940F1"/>
    <w:rsid w:val="6D0D397F"/>
    <w:rsid w:val="6E7819E2"/>
    <w:rsid w:val="6ED17499"/>
    <w:rsid w:val="703B3482"/>
    <w:rsid w:val="70550B3E"/>
    <w:rsid w:val="70CF2E85"/>
    <w:rsid w:val="70D93D75"/>
    <w:rsid w:val="70F86F75"/>
    <w:rsid w:val="713565B5"/>
    <w:rsid w:val="71846B44"/>
    <w:rsid w:val="71940B2D"/>
    <w:rsid w:val="71DC2BBA"/>
    <w:rsid w:val="73AF0DE6"/>
    <w:rsid w:val="73CB74B8"/>
    <w:rsid w:val="7411637D"/>
    <w:rsid w:val="79350635"/>
    <w:rsid w:val="7A2F5066"/>
    <w:rsid w:val="7D7C54B4"/>
    <w:rsid w:val="7DDC5493"/>
    <w:rsid w:val="7E8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555555"/>
      <w:u w:val="none"/>
    </w:rPr>
  </w:style>
  <w:style w:type="character" w:styleId="6">
    <w:name w:val="Hyperlink"/>
    <w:basedOn w:val="4"/>
    <w:qFormat/>
    <w:uiPriority w:val="0"/>
    <w:rPr>
      <w:color w:val="55555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607</Words>
  <Characters>3464</Characters>
  <Lines>28</Lines>
  <Paragraphs>8</Paragraphs>
  <TotalTime>33</TotalTime>
  <ScaleCrop>false</ScaleCrop>
  <LinksUpToDate>false</LinksUpToDate>
  <CharactersWithSpaces>4063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2020-10-20T02:00:00Z</cp:lastPrinted>
  <dcterms:modified xsi:type="dcterms:W3CDTF">2021-06-28T03:06:18Z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D22072468B80420B9DF8C99447D6FF32</vt:lpwstr>
  </property>
</Properties>
</file>