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附表1</w:t>
      </w:r>
    </w:p>
    <w:p>
      <w:pPr>
        <w:pStyle w:val="2"/>
      </w:pPr>
    </w:p>
    <w:p>
      <w:pPr>
        <w:pStyle w:val="2"/>
        <w:keepNext w:val="0"/>
        <w:keepLines w:val="0"/>
        <w:pageBreakBefore w:val="0"/>
        <w:widowControl w:val="0"/>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bCs/>
          <w:color w:val="000000"/>
          <w:kern w:val="0"/>
          <w:sz w:val="44"/>
          <w:szCs w:val="44"/>
        </w:rPr>
      </w:pPr>
      <w:bookmarkStart w:id="0" w:name="_GoBack"/>
      <w:r>
        <w:rPr>
          <w:rFonts w:hint="eastAsia" w:ascii="宋体" w:hAnsi="宋体" w:eastAsia="宋体" w:cs="宋体"/>
          <w:b/>
          <w:bCs/>
          <w:color w:val="000000"/>
          <w:kern w:val="0"/>
          <w:sz w:val="44"/>
          <w:szCs w:val="44"/>
        </w:rPr>
        <w:t>城市社区日间照料（社区养老服务）</w:t>
      </w:r>
    </w:p>
    <w:p>
      <w:pPr>
        <w:pStyle w:val="2"/>
        <w:keepNext w:val="0"/>
        <w:keepLines w:val="0"/>
        <w:pageBreakBefore w:val="0"/>
        <w:widowControl w:val="0"/>
        <w:kinsoku/>
        <w:wordWrap/>
        <w:overflowPunct/>
        <w:topLinePunct w:val="0"/>
        <w:autoSpaceDE/>
        <w:autoSpaceDN/>
        <w:bidi w:val="0"/>
        <w:adjustRightInd/>
        <w:snapToGrid w:val="0"/>
        <w:ind w:left="0" w:leftChars="0" w:firstLine="0" w:firstLineChars="0"/>
        <w:jc w:val="center"/>
        <w:textAlignment w:val="auto"/>
        <w:rPr>
          <w:rFonts w:hint="eastAsia" w:ascii="宋体" w:hAnsi="宋体" w:eastAsia="宋体" w:cs="宋体"/>
          <w:b/>
          <w:bCs/>
          <w:sz w:val="44"/>
          <w:szCs w:val="44"/>
        </w:rPr>
      </w:pPr>
      <w:r>
        <w:rPr>
          <w:rFonts w:hint="eastAsia" w:ascii="宋体" w:hAnsi="宋体" w:eastAsia="宋体" w:cs="宋体"/>
          <w:b/>
          <w:bCs/>
          <w:color w:val="000000"/>
          <w:kern w:val="0"/>
          <w:sz w:val="44"/>
          <w:szCs w:val="44"/>
        </w:rPr>
        <w:t>中心设施设备配置标准</w:t>
      </w:r>
    </w:p>
    <w:bookmarkEnd w:id="0"/>
    <w:p>
      <w:pPr>
        <w:pStyle w:val="2"/>
        <w:ind w:left="640" w:firstLine="640"/>
        <w:rPr>
          <w:rFonts w:ascii="仿宋_GB2312"/>
          <w:szCs w:val="32"/>
        </w:rPr>
      </w:pPr>
    </w:p>
    <w:tbl>
      <w:tblPr>
        <w:tblStyle w:val="4"/>
        <w:tblW w:w="101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513"/>
        <w:gridCol w:w="1204"/>
        <w:gridCol w:w="2361"/>
        <w:gridCol w:w="758"/>
        <w:gridCol w:w="2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jc w:val="center"/>
        </w:trPr>
        <w:tc>
          <w:tcPr>
            <w:tcW w:w="1360" w:type="dxa"/>
            <w:vAlign w:val="center"/>
          </w:tcPr>
          <w:p>
            <w:pPr>
              <w:widowControl/>
              <w:spacing w:line="0" w:lineRule="atLeast"/>
              <w:ind w:firstLine="0" w:firstLineChars="0"/>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类别</w:t>
            </w:r>
          </w:p>
        </w:tc>
        <w:tc>
          <w:tcPr>
            <w:tcW w:w="1513" w:type="dxa"/>
            <w:vAlign w:val="center"/>
          </w:tcPr>
          <w:p>
            <w:pPr>
              <w:widowControl/>
              <w:spacing w:line="0" w:lineRule="atLeast"/>
              <w:ind w:firstLine="0" w:firstLineChars="0"/>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总建筑</w:t>
            </w:r>
          </w:p>
          <w:p>
            <w:pPr>
              <w:widowControl/>
              <w:spacing w:line="0" w:lineRule="atLeast"/>
              <w:ind w:firstLine="0" w:firstLineChars="0"/>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面积</w:t>
            </w:r>
          </w:p>
          <w:p>
            <w:pPr>
              <w:widowControl/>
              <w:spacing w:line="0" w:lineRule="atLeast"/>
              <w:ind w:firstLine="0" w:firstLineChars="0"/>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（平方米）</w:t>
            </w:r>
          </w:p>
        </w:tc>
        <w:tc>
          <w:tcPr>
            <w:tcW w:w="4323" w:type="dxa"/>
            <w:gridSpan w:val="3"/>
            <w:vAlign w:val="center"/>
          </w:tcPr>
          <w:p>
            <w:pPr>
              <w:widowControl/>
              <w:spacing w:line="0" w:lineRule="atLeast"/>
              <w:ind w:firstLine="0" w:firstLineChars="0"/>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配置功能用房使用面积指标</w:t>
            </w:r>
          </w:p>
          <w:p>
            <w:pPr>
              <w:widowControl/>
              <w:spacing w:line="0" w:lineRule="atLeast"/>
              <w:ind w:firstLine="0" w:firstLineChars="0"/>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（平方米）</w:t>
            </w:r>
          </w:p>
        </w:tc>
        <w:tc>
          <w:tcPr>
            <w:tcW w:w="2906" w:type="dxa"/>
            <w:vAlign w:val="center"/>
          </w:tcPr>
          <w:p>
            <w:pPr>
              <w:widowControl/>
              <w:spacing w:line="0" w:lineRule="atLeast"/>
              <w:ind w:firstLine="0" w:firstLineChars="0"/>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服务基本要求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360" w:type="dxa"/>
            <w:vMerge w:val="restart"/>
            <w:vAlign w:val="center"/>
          </w:tcPr>
          <w:p>
            <w:pPr>
              <w:widowControl/>
              <w:spacing w:line="0" w:lineRule="atLeast"/>
              <w:ind w:firstLine="0" w:firstLineChars="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一类社区日间照料（社区养老服务）中心</w:t>
            </w:r>
          </w:p>
        </w:tc>
        <w:tc>
          <w:tcPr>
            <w:tcW w:w="1513" w:type="dxa"/>
            <w:vMerge w:val="restart"/>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1600</w:t>
            </w:r>
          </w:p>
        </w:tc>
        <w:tc>
          <w:tcPr>
            <w:tcW w:w="1204" w:type="dxa"/>
            <w:vMerge w:val="restart"/>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生活服务用房</w:t>
            </w: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休息室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321</w:t>
            </w:r>
          </w:p>
        </w:tc>
        <w:tc>
          <w:tcPr>
            <w:tcW w:w="2906" w:type="dxa"/>
            <w:vMerge w:val="restart"/>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总建筑面积在1085平方米以上，可设置床位15张以上，生活服务用房、保健康复用房、娱乐用房、辅助用房按照《社区老年人日间照料中心建设标准》一类用房标准配置。配备相应的管理人员、财务人员、医疗保健人员、养老护理员、工勤人员、社工和应急支持人员，明确岗位职责。开展基本服务包括：就餐服务、精神文化和休闲娱乐服务、午间休息服务、协助如厕服务等；除具备基本服务功能外，应组织开展个人照护服务、助餐服务康复护理、心理咨询、法律援助等延伸服务，并根据老年人需求提供专业护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沐浴间（含理发室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48</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餐厅（含配餐间）</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78</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7"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restart"/>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保健康复用房</w:t>
            </w: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医疗保健室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48</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康复训练室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58</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心理疏导室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restart"/>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娱乐用房</w:t>
            </w: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阅览室（含图书室）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64</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2"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网络室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多功能活动室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96</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restart"/>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辅助用房</w:t>
            </w: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办公室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36</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厨房</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159</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洗衣房</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公共卫生间</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36</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7"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其他用房</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 w:hRule="atLeast"/>
          <w:jc w:val="center"/>
        </w:trPr>
        <w:tc>
          <w:tcPr>
            <w:tcW w:w="1360" w:type="dxa"/>
            <w:vMerge w:val="restart"/>
            <w:vAlign w:val="center"/>
          </w:tcPr>
          <w:p>
            <w:pPr>
              <w:widowControl/>
              <w:spacing w:line="0" w:lineRule="atLeast"/>
              <w:ind w:firstLine="0" w:firstLineChars="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二类社区日间照料（社区养老服务）中心</w:t>
            </w:r>
          </w:p>
        </w:tc>
        <w:tc>
          <w:tcPr>
            <w:tcW w:w="1513" w:type="dxa"/>
            <w:vMerge w:val="restart"/>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1085</w:t>
            </w:r>
          </w:p>
        </w:tc>
        <w:tc>
          <w:tcPr>
            <w:tcW w:w="1204" w:type="dxa"/>
            <w:vMerge w:val="restart"/>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生活服务用房</w:t>
            </w: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休息室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180</w:t>
            </w:r>
          </w:p>
        </w:tc>
        <w:tc>
          <w:tcPr>
            <w:tcW w:w="2906" w:type="dxa"/>
            <w:vMerge w:val="restart"/>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总建筑面积在750-1085平方米，可设置床位10-15张，生活服务用房、保健康复用房、娱乐用房、辅助用房按照《社区老年人日间照料中心建设标准》二类用房标准配置。配备一定比例的管理人员、养老护理员、工勤人员、社工和必要的应急支持人员，明确岗位职责。除具备基本服务功能外，根据实际需求开展个人照护服务、助餐服务、康复护理、心理咨询、法律援助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沐浴间（含理发室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42</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餐厅（含配餐间）</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55</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restart"/>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保健康复用房</w:t>
            </w: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医疗保健室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42</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1"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康复训练室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54</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心理疏导室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restart"/>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娱乐用房</w:t>
            </w: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阅览室（含图书室）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36</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网络室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多功能活动室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54</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restart"/>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辅助用房</w:t>
            </w: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办公室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厨房</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89</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洗衣房</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公共卫生间</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36</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4"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其他用房</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1360" w:type="dxa"/>
            <w:vMerge w:val="restart"/>
            <w:vAlign w:val="center"/>
          </w:tcPr>
          <w:p>
            <w:pPr>
              <w:widowControl/>
              <w:spacing w:line="0" w:lineRule="atLeast"/>
              <w:ind w:firstLine="0" w:firstLineChars="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三类社区日间照料（社区养老服务）中心</w:t>
            </w:r>
          </w:p>
        </w:tc>
        <w:tc>
          <w:tcPr>
            <w:tcW w:w="1513" w:type="dxa"/>
            <w:vMerge w:val="restart"/>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750</w:t>
            </w:r>
          </w:p>
        </w:tc>
        <w:tc>
          <w:tcPr>
            <w:tcW w:w="1204" w:type="dxa"/>
            <w:vMerge w:val="restart"/>
            <w:vAlign w:val="center"/>
          </w:tcPr>
          <w:p>
            <w:pPr>
              <w:spacing w:line="0" w:lineRule="atLeast"/>
              <w:ind w:firstLine="0" w:firstLineChars="0"/>
              <w:jc w:val="center"/>
              <w:rPr>
                <w:rFonts w:hint="eastAsia" w:ascii="仿宋_GB2312" w:hAnsi="仿宋_GB2312" w:eastAsia="仿宋_GB2312" w:cs="仿宋_GB2312"/>
                <w:color w:val="000000"/>
                <w:kern w:val="0"/>
                <w:sz w:val="28"/>
                <w:szCs w:val="28"/>
              </w:rPr>
            </w:pPr>
          </w:p>
          <w:p>
            <w:pPr>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生活服务用房</w:t>
            </w: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休息室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101</w:t>
            </w:r>
          </w:p>
        </w:tc>
        <w:tc>
          <w:tcPr>
            <w:tcW w:w="2906"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ind w:firstLine="44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总建筑面积在450-750平方米，可设置床位5-10张，生活服务用房、保健康复用房、娱乐用房、辅助用房按照《社区老年人日间照料中心建设标准》三类用房标准配置。配备一定比例的管理人员、养老护理员和必要的应急支持人员，明确岗位职责。除具备基本服务功能外，根据实际需求开展个人照护服务、助餐服务、休闲娱乐、上门探视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沐浴间（含理发室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36</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餐厅（含配餐间）</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38</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restart"/>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保健康复用房</w:t>
            </w: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医疗保健室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36</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康复训练室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48</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心理疏导室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restart"/>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娱乐用房</w:t>
            </w: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pacing w:val="-17"/>
                <w:kern w:val="0"/>
                <w:sz w:val="28"/>
                <w:szCs w:val="28"/>
              </w:rPr>
              <w:t>阅览室（含图书室）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27</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网络室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多功能活动室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restart"/>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辅助用房</w:t>
            </w: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办公室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厨房</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55</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洗衣房</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公共卫生间</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其他用房</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restart"/>
            <w:vAlign w:val="center"/>
          </w:tcPr>
          <w:p>
            <w:pPr>
              <w:widowControl/>
              <w:spacing w:line="0" w:lineRule="atLeast"/>
              <w:ind w:firstLine="0" w:firstLineChars="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四类社区日间照料（社区养老服务）中心</w:t>
            </w:r>
          </w:p>
        </w:tc>
        <w:tc>
          <w:tcPr>
            <w:tcW w:w="1513" w:type="dxa"/>
            <w:vMerge w:val="restart"/>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450</w:t>
            </w:r>
          </w:p>
        </w:tc>
        <w:tc>
          <w:tcPr>
            <w:tcW w:w="1204" w:type="dxa"/>
            <w:vMerge w:val="restart"/>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生活服务用房</w:t>
            </w: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休息室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60</w:t>
            </w:r>
          </w:p>
        </w:tc>
        <w:tc>
          <w:tcPr>
            <w:tcW w:w="2906" w:type="dxa"/>
            <w:vMerge w:val="restart"/>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总建筑面积在450平方米以下，可设置床位2-5张，生活服务用房、保健康复用房、娱乐用房、辅助用房可整合社区其他公共服务设施合理配置。配备3名以上工作人员，明确岗位职责；具备日间照料、呼叫服务、助餐服务、健康指导、文化娱乐、心理蔚藉等基本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spacing w:line="0" w:lineRule="atLeast"/>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沐浴间（含理发室</w:t>
            </w:r>
          </w:p>
        </w:tc>
        <w:tc>
          <w:tcPr>
            <w:tcW w:w="758" w:type="dxa"/>
            <w:vAlign w:val="center"/>
          </w:tcPr>
          <w:p>
            <w:pPr>
              <w:widowControl/>
              <w:spacing w:line="0" w:lineRule="atLeas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w:t>
            </w:r>
          </w:p>
        </w:tc>
        <w:tc>
          <w:tcPr>
            <w:tcW w:w="2906" w:type="dxa"/>
            <w:vMerge w:val="continue"/>
            <w:vAlign w:val="center"/>
          </w:tcPr>
          <w:p>
            <w:pPr>
              <w:widowControl/>
              <w:spacing w:line="0" w:lineRule="atLeast"/>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餐厅（含配餐间）</w:t>
            </w:r>
          </w:p>
        </w:tc>
        <w:tc>
          <w:tcPr>
            <w:tcW w:w="758"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w:t>
            </w:r>
          </w:p>
        </w:tc>
        <w:tc>
          <w:tcPr>
            <w:tcW w:w="2906"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1204" w:type="dxa"/>
            <w:vMerge w:val="restart"/>
            <w:vAlign w:val="center"/>
          </w:tcPr>
          <w:p>
            <w:pPr>
              <w:widowControl/>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保健康复用房</w:t>
            </w:r>
          </w:p>
        </w:tc>
        <w:tc>
          <w:tcPr>
            <w:tcW w:w="2361"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医疗保健室</w:t>
            </w:r>
          </w:p>
        </w:tc>
        <w:tc>
          <w:tcPr>
            <w:tcW w:w="758"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w:t>
            </w:r>
          </w:p>
        </w:tc>
        <w:tc>
          <w:tcPr>
            <w:tcW w:w="2906"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康复训练室</w:t>
            </w:r>
          </w:p>
        </w:tc>
        <w:tc>
          <w:tcPr>
            <w:tcW w:w="758"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28</w:t>
            </w:r>
          </w:p>
        </w:tc>
        <w:tc>
          <w:tcPr>
            <w:tcW w:w="2906"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心理疏导室</w:t>
            </w:r>
          </w:p>
        </w:tc>
        <w:tc>
          <w:tcPr>
            <w:tcW w:w="758"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2906"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1204" w:type="dxa"/>
            <w:vMerge w:val="restart"/>
            <w:vAlign w:val="center"/>
          </w:tcPr>
          <w:p>
            <w:pPr>
              <w:widowControl/>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娱乐用房</w:t>
            </w:r>
          </w:p>
        </w:tc>
        <w:tc>
          <w:tcPr>
            <w:tcW w:w="2361"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阅览室（含图书室）</w:t>
            </w:r>
          </w:p>
        </w:tc>
        <w:tc>
          <w:tcPr>
            <w:tcW w:w="758"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w:t>
            </w:r>
          </w:p>
        </w:tc>
        <w:tc>
          <w:tcPr>
            <w:tcW w:w="2906"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网络室</w:t>
            </w:r>
          </w:p>
        </w:tc>
        <w:tc>
          <w:tcPr>
            <w:tcW w:w="758"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c>
          <w:tcPr>
            <w:tcW w:w="2906"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多功能活动室</w:t>
            </w:r>
          </w:p>
        </w:tc>
        <w:tc>
          <w:tcPr>
            <w:tcW w:w="758"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c>
          <w:tcPr>
            <w:tcW w:w="2906"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1204" w:type="dxa"/>
            <w:vMerge w:val="restart"/>
            <w:vAlign w:val="center"/>
          </w:tcPr>
          <w:p>
            <w:pPr>
              <w:widowControl/>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辅助用房</w:t>
            </w:r>
          </w:p>
        </w:tc>
        <w:tc>
          <w:tcPr>
            <w:tcW w:w="2361"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办公室</w:t>
            </w:r>
          </w:p>
        </w:tc>
        <w:tc>
          <w:tcPr>
            <w:tcW w:w="758"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c>
          <w:tcPr>
            <w:tcW w:w="2906"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厨房</w:t>
            </w:r>
          </w:p>
        </w:tc>
        <w:tc>
          <w:tcPr>
            <w:tcW w:w="758"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33</w:t>
            </w:r>
          </w:p>
        </w:tc>
        <w:tc>
          <w:tcPr>
            <w:tcW w:w="2906"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洗衣房</w:t>
            </w:r>
          </w:p>
        </w:tc>
        <w:tc>
          <w:tcPr>
            <w:tcW w:w="758"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2906"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360" w:type="dxa"/>
            <w:vMerge w:val="continue"/>
            <w:vAlign w:val="center"/>
          </w:tcPr>
          <w:p>
            <w:pPr>
              <w:widowControl/>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公共卫生间</w:t>
            </w:r>
          </w:p>
        </w:tc>
        <w:tc>
          <w:tcPr>
            <w:tcW w:w="758"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c>
          <w:tcPr>
            <w:tcW w:w="2906"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 w:hRule="atLeast"/>
          <w:jc w:val="center"/>
        </w:trPr>
        <w:tc>
          <w:tcPr>
            <w:tcW w:w="1360" w:type="dxa"/>
            <w:vMerge w:val="continue"/>
            <w:vAlign w:val="center"/>
          </w:tcPr>
          <w:p>
            <w:pPr>
              <w:widowControl/>
              <w:ind w:firstLine="442"/>
              <w:jc w:val="center"/>
              <w:rPr>
                <w:rFonts w:hint="eastAsia" w:ascii="仿宋_GB2312" w:hAnsi="仿宋_GB2312" w:eastAsia="仿宋_GB2312" w:cs="仿宋_GB2312"/>
                <w:b/>
                <w:bCs/>
                <w:color w:val="000000"/>
                <w:kern w:val="0"/>
                <w:sz w:val="28"/>
                <w:szCs w:val="28"/>
              </w:rPr>
            </w:pPr>
          </w:p>
        </w:tc>
        <w:tc>
          <w:tcPr>
            <w:tcW w:w="1513"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1204"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c>
          <w:tcPr>
            <w:tcW w:w="2361"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其他用房</w:t>
            </w:r>
          </w:p>
        </w:tc>
        <w:tc>
          <w:tcPr>
            <w:tcW w:w="758" w:type="dxa"/>
            <w:vAlign w:val="center"/>
          </w:tcPr>
          <w:p>
            <w:pPr>
              <w:widowControl/>
              <w:spacing w:line="360" w:lineRule="exact"/>
              <w:ind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w:t>
            </w:r>
          </w:p>
        </w:tc>
        <w:tc>
          <w:tcPr>
            <w:tcW w:w="2906" w:type="dxa"/>
            <w:vMerge w:val="continue"/>
            <w:vAlign w:val="center"/>
          </w:tcPr>
          <w:p>
            <w:pPr>
              <w:widowControl/>
              <w:ind w:firstLine="440"/>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jc w:val="center"/>
        </w:trPr>
        <w:tc>
          <w:tcPr>
            <w:tcW w:w="10102" w:type="dxa"/>
            <w:gridSpan w:val="6"/>
            <w:vAlign w:val="center"/>
          </w:tcPr>
          <w:p>
            <w:pPr>
              <w:widowControl/>
              <w:spacing w:line="0" w:lineRule="atLeast"/>
              <w:ind w:firstLine="442"/>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备注：</w:t>
            </w:r>
            <w:r>
              <w:rPr>
                <w:rFonts w:hint="eastAsia" w:ascii="仿宋_GB2312" w:hAnsi="仿宋_GB2312" w:eastAsia="仿宋_GB2312" w:cs="仿宋_GB2312"/>
                <w:color w:val="000000"/>
                <w:kern w:val="0"/>
                <w:sz w:val="28"/>
                <w:szCs w:val="28"/>
              </w:rPr>
              <w:t>考虑到人口老龄化水平较高的社区适当增加社区老年人日间照料中心建筑面积的需要，为便于实际操作，在对各类用房使用面积测算的基础上，给出了各类用房使用面积中所占的比例。可因地制宜，在保持中心总建筑面积不变的前提下，适当调整各业务用房的面积分配。</w:t>
            </w:r>
          </w:p>
        </w:tc>
      </w:tr>
    </w:tbl>
    <w:p>
      <w:pPr>
        <w:pStyle w:val="2"/>
        <w:ind w:left="0" w:leftChars="0" w:firstLine="0" w:firstLineChars="0"/>
      </w:pPr>
    </w:p>
    <w:p>
      <w:pPr>
        <w:ind w:firstLine="640"/>
      </w:pPr>
    </w:p>
    <w:p>
      <w:pPr>
        <w:widowControl/>
        <w:ind w:firstLine="0" w:firstLineChars="0"/>
        <w:jc w:val="left"/>
        <w:rPr>
          <w:rFonts w:ascii="黑体" w:hAnsi="黑体" w:eastAsia="黑体" w:cs="仿宋_GB231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E1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2019-12-24T03:47:36Z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