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附表2</w:t>
      </w: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11"/>
          <w:kern w:val="0"/>
          <w:sz w:val="44"/>
          <w:szCs w:val="44"/>
        </w:rPr>
        <w:t>农村居家养老服务中心设施设备配置参考标准</w:t>
      </w:r>
    </w:p>
    <w:p/>
    <w:tbl>
      <w:tblPr>
        <w:tblStyle w:val="6"/>
        <w:tblW w:w="98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02"/>
        <w:gridCol w:w="1701"/>
        <w:gridCol w:w="2533"/>
        <w:gridCol w:w="5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00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502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总建筑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面积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4819" w:type="dxa"/>
            <w:gridSpan w:val="3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配置功能用房使用面积指标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（平方米）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服务基本要求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农村互助养老服务设施</w:t>
            </w:r>
          </w:p>
        </w:tc>
        <w:tc>
          <w:tcPr>
            <w:tcW w:w="1502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450-1085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生活服务用房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日间休息室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农村居家养老服务中心坚持以“党建+农村养老服务”为抓手，以满足老年人就餐、文化娱乐、休息住宿等基本需求为阶段目标，逐步向医疗康复、精神慰藉等需求延伸。加强农村留守老年人关爱服务，建立农村留守老年人信息台账和定期探访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沐浴间（含理发室）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餐厅（含配餐间）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保健康复用房（可结合农村医疗所设置）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医疗保健室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心理疏导室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娱乐用房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阅览室（含图书室）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电视室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多功能活动室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辅助用房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厨房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洗衣房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公共卫生间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其他用房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spacing w:line="0" w:lineRule="atLeast"/>
              <w:ind w:firstLine="44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889" w:type="dxa"/>
            <w:gridSpan w:val="6"/>
            <w:vAlign w:val="center"/>
          </w:tcPr>
          <w:p>
            <w:pPr>
              <w:widowControl/>
              <w:spacing w:line="0" w:lineRule="atLeast"/>
              <w:ind w:firstLine="442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农村互助养老服务设施要“村级主办、政府支持、社会参与、因地制宜、自主管理、互助服务”原则，充分利用闲置的校舍、老村部、民房、等资源，在建制村、较大自然村配建互助养老服务设施。各地可因地制宜，适当调整各业务用房的面积分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5" w:h="16838" w:orient="landscape"/>
      <w:pgMar w:top="1701" w:right="1701" w:bottom="1701" w:left="1701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5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ind w:firstLine="5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2019-12-24T03:55:27Z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