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color w:val="404040"/>
          <w:kern w:val="0"/>
          <w:sz w:val="44"/>
          <w:szCs w:val="44"/>
          <w:lang w:val="en-US" w:eastAsia="zh-CN" w:bidi="ar"/>
        </w:rPr>
      </w:pPr>
      <w:r>
        <w:rPr>
          <w:rFonts w:hint="eastAsia" w:ascii="方正小标宋简体" w:hAnsi="方正小标宋简体" w:eastAsia="方正小标宋简体" w:cs="方正小标宋简体"/>
          <w:b w:val="0"/>
          <w:bCs/>
          <w:color w:val="404040"/>
          <w:kern w:val="0"/>
          <w:sz w:val="44"/>
          <w:szCs w:val="44"/>
          <w:lang w:val="en-US" w:eastAsia="zh-CN" w:bidi="ar"/>
        </w:rPr>
        <w:t>湖口县应急管理局2020年政府信息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default" w:ascii="sans-serif" w:hAnsi="sans-serif" w:eastAsia="sans-serif" w:cs="sans-serif"/>
          <w:i w:val="0"/>
          <w:caps w:val="0"/>
          <w:color w:val="000000"/>
          <w:spacing w:val="0"/>
          <w:sz w:val="44"/>
          <w:szCs w:val="44"/>
        </w:rPr>
      </w:pPr>
      <w:r>
        <w:rPr>
          <w:rFonts w:hint="eastAsia" w:ascii="方正小标宋简体" w:hAnsi="方正小标宋简体" w:eastAsia="方正小标宋简体" w:cs="方正小标宋简体"/>
          <w:b w:val="0"/>
          <w:bCs/>
          <w:color w:val="404040"/>
          <w:kern w:val="0"/>
          <w:sz w:val="44"/>
          <w:szCs w:val="44"/>
          <w:lang w:val="en-US" w:eastAsia="zh-CN" w:bidi="ar"/>
        </w:rPr>
        <w:t>公开工作年度报告</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本报告根据《</w:t>
      </w:r>
      <w:r>
        <w:rPr>
          <w:rFonts w:hint="eastAsia" w:ascii="仿宋_GB2312" w:hAnsi="仿宋_GB2312" w:eastAsia="仿宋_GB2312" w:cs="仿宋_GB2312"/>
          <w:sz w:val="32"/>
          <w:szCs w:val="32"/>
          <w:lang w:eastAsia="zh-CN"/>
        </w:rPr>
        <w:t>江西省人民政府办公厅</w:t>
      </w:r>
      <w:r>
        <w:rPr>
          <w:rFonts w:hint="eastAsia" w:ascii="仿宋_GB2312" w:hAnsi="仿宋_GB2312" w:eastAsia="仿宋_GB2312" w:cs="仿宋_GB2312"/>
          <w:sz w:val="32"/>
          <w:szCs w:val="32"/>
          <w:lang w:val="en-US" w:eastAsia="zh-CN"/>
        </w:rPr>
        <w:t>&lt;关于转发国办公子爱办函【2019】60、61号文件</w:t>
      </w:r>
      <w:r>
        <w:rPr>
          <w:rFonts w:hint="default" w:ascii="仿宋_GB2312" w:hAnsi="仿宋_GB2312" w:eastAsia="仿宋_GB2312" w:cs="仿宋_GB2312"/>
          <w:sz w:val="32"/>
          <w:szCs w:val="32"/>
        </w:rPr>
        <w:t>要求编制。报告全文由总体情况、主动公开政府信息情况、收到和处理政府信息公开申请情况、政府信息公开行政复议、行政诉讼情况、存在的主要问题及改进情况、其他需要报告的事项等六部分组成。报告所列数据统计期限自20</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止</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（一）强化体制机制</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1、持续强化政务公开工作的组织领导，进一步明确了由局党</w:t>
      </w:r>
      <w:r>
        <w:rPr>
          <w:rFonts w:hint="eastAsia" w:ascii="仿宋_GB2312" w:hAnsi="仿宋_GB2312" w:eastAsia="仿宋_GB2312" w:cs="仿宋_GB2312"/>
          <w:sz w:val="32"/>
          <w:szCs w:val="32"/>
          <w:lang w:eastAsia="zh-CN"/>
        </w:rPr>
        <w:t>委</w:t>
      </w:r>
      <w:r>
        <w:rPr>
          <w:rFonts w:hint="default" w:ascii="仿宋_GB2312" w:hAnsi="仿宋_GB2312" w:eastAsia="仿宋_GB2312" w:cs="仿宋_GB2312"/>
          <w:sz w:val="32"/>
          <w:szCs w:val="32"/>
        </w:rPr>
        <w:t>书记、局长任组长，党</w:t>
      </w:r>
      <w:r>
        <w:rPr>
          <w:rFonts w:hint="eastAsia" w:ascii="仿宋_GB2312" w:hAnsi="仿宋_GB2312" w:eastAsia="仿宋_GB2312" w:cs="仿宋_GB2312"/>
          <w:sz w:val="32"/>
          <w:szCs w:val="32"/>
          <w:lang w:eastAsia="zh-CN"/>
        </w:rPr>
        <w:t>委</w:t>
      </w:r>
      <w:r>
        <w:rPr>
          <w:rFonts w:hint="default" w:ascii="仿宋_GB2312" w:hAnsi="仿宋_GB2312" w:eastAsia="仿宋_GB2312" w:cs="仿宋_GB2312"/>
          <w:sz w:val="32"/>
          <w:szCs w:val="32"/>
        </w:rPr>
        <w:t>其他成员任副组长，局各股室为成员的政务公开领导小组。领导小组下设办公室，负责牵头组织协调。</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2、对于主动公开信息，我局主要采取网上公开形式，并通过对外公开电话接受群众咨询，告知或者指引获取有关政府信息的途径和方式。</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3、县政府门户网站设政府信息公开专栏，我局政府信息公开内容由专门工作人员通过后台上传到县政府门户网站政府信息公开专栏内，是我局政府信息公开的主要渠道。　　　　　　　</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（二）完善规范制度</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1、贯彻省、市、县有关文件精神，建立完善政府信息公开发布协调、政府信息公开监督保障和政府信息发布保密审核等三项工作规范。  </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2、根据《</w:t>
      </w:r>
      <w:r>
        <w:rPr>
          <w:rFonts w:hint="eastAsia" w:ascii="仿宋_GB2312" w:hAnsi="仿宋_GB2312" w:eastAsia="仿宋_GB2312" w:cs="仿宋_GB2312"/>
          <w:sz w:val="32"/>
          <w:szCs w:val="32"/>
          <w:lang w:eastAsia="zh-CN"/>
        </w:rPr>
        <w:t>江西省人民政府办公厅</w:t>
      </w:r>
      <w:r>
        <w:rPr>
          <w:rFonts w:hint="eastAsia" w:ascii="仿宋_GB2312" w:hAnsi="仿宋_GB2312" w:eastAsia="仿宋_GB2312" w:cs="仿宋_GB2312"/>
          <w:sz w:val="32"/>
          <w:szCs w:val="32"/>
          <w:lang w:val="en-US" w:eastAsia="zh-CN"/>
        </w:rPr>
        <w:t>&lt;关于转发国办公子爱办函【2019】60、61号文件</w:t>
      </w:r>
      <w:r>
        <w:rPr>
          <w:rFonts w:hint="default" w:ascii="仿宋_GB2312" w:hAnsi="仿宋_GB2312" w:eastAsia="仿宋_GB2312" w:cs="仿宋_GB2312"/>
          <w:sz w:val="32"/>
          <w:szCs w:val="32"/>
        </w:rPr>
        <w:t>的要求，进一步做好我局应急监管信息公开工作，提升应急工作的透明度。  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firstLine="640" w:firstLineChars="200"/>
        <w:textAlignment w:val="auto"/>
        <w:rPr>
          <w:rFonts w:hint="default" w:ascii="sans-serif" w:hAnsi="sans-serif" w:eastAsia="sans-serif" w:cs="sans-serif"/>
          <w:i w:val="0"/>
          <w:caps w:val="0"/>
          <w:color w:val="000000"/>
          <w:spacing w:val="0"/>
          <w:sz w:val="27"/>
          <w:szCs w:val="27"/>
        </w:rPr>
      </w:pPr>
      <w:r>
        <w:rPr>
          <w:rFonts w:hint="eastAsia" w:ascii="黑体" w:hAnsi="黑体" w:eastAsia="黑体" w:cs="黑体"/>
          <w:i w:val="0"/>
          <w:caps w:val="0"/>
          <w:color w:val="000000"/>
          <w:spacing w:val="0"/>
          <w:sz w:val="32"/>
          <w:szCs w:val="32"/>
        </w:rPr>
        <w:t>二、主动公开政府信息情况</w:t>
      </w:r>
    </w:p>
    <w:tbl>
      <w:tblPr>
        <w:tblStyle w:val="6"/>
        <w:tblW w:w="81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150" w:type="dxa"/>
          <w:bottom w:w="75" w:type="dxa"/>
          <w:right w:w="150" w:type="dxa"/>
        </w:tblCellMar>
      </w:tblPr>
      <w:tblGrid>
        <w:gridCol w:w="3120"/>
        <w:gridCol w:w="1875"/>
        <w:gridCol w:w="127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150" w:type="dxa"/>
            <w:bottom w:w="75" w:type="dxa"/>
            <w:right w:w="150" w:type="dxa"/>
          </w:tblCellMar>
        </w:tblPrEx>
        <w:trPr>
          <w:trHeight w:val="1395"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3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信息内容</w:t>
            </w:r>
          </w:p>
        </w:tc>
        <w:tc>
          <w:tcPr>
            <w:tcW w:w="1875" w:type="dxa"/>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本年新</w:t>
            </w:r>
            <w:r>
              <w:rPr>
                <w:rFonts w:hint="eastAsia" w:ascii="宋体" w:hAnsi="宋体" w:eastAsia="宋体" w:cs="宋体"/>
                <w:i w:val="0"/>
                <w:caps w:val="0"/>
                <w:color w:val="000000"/>
                <w:spacing w:val="0"/>
                <w:sz w:val="19"/>
                <w:szCs w:val="19"/>
              </w:rPr>
              <w:br w:type="textWrapping"/>
            </w:r>
            <w:r>
              <w:rPr>
                <w:rFonts w:ascii="Calibri" w:hAnsi="Calibri" w:eastAsia="sans-serif" w:cs="Calibri"/>
                <w:i w:val="0"/>
                <w:caps w:val="0"/>
                <w:color w:val="000000"/>
                <w:spacing w:val="0"/>
                <w:sz w:val="19"/>
                <w:szCs w:val="19"/>
              </w:rPr>
              <w:t>制作数量</w:t>
            </w:r>
          </w:p>
        </w:tc>
        <w:tc>
          <w:tcPr>
            <w:tcW w:w="1275" w:type="dxa"/>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本年新</w:t>
            </w:r>
            <w:r>
              <w:rPr>
                <w:rFonts w:hint="eastAsia" w:ascii="宋体" w:hAnsi="宋体" w:eastAsia="宋体" w:cs="宋体"/>
                <w:i w:val="0"/>
                <w:caps w:val="0"/>
                <w:color w:val="000000"/>
                <w:spacing w:val="0"/>
                <w:sz w:val="19"/>
                <w:szCs w:val="19"/>
              </w:rPr>
              <w:br w:type="textWrapping"/>
            </w:r>
            <w:r>
              <w:rPr>
                <w:rFonts w:hint="default" w:ascii="Calibri" w:hAnsi="Calibri" w:eastAsia="sans-serif" w:cs="Calibri"/>
                <w:i w:val="0"/>
                <w:caps w:val="0"/>
                <w:color w:val="000000"/>
                <w:spacing w:val="0"/>
                <w:sz w:val="19"/>
                <w:szCs w:val="19"/>
              </w:rPr>
              <w:t>公开数量</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0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规章</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0</w:t>
            </w:r>
          </w:p>
        </w:tc>
        <w:tc>
          <w:tcPr>
            <w:tcW w:w="12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0</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6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规范性文件</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94</w:t>
            </w:r>
          </w:p>
        </w:tc>
        <w:tc>
          <w:tcPr>
            <w:tcW w:w="12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36</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95" w:hRule="atLeast"/>
          <w:jc w:val="center"/>
        </w:trPr>
        <w:tc>
          <w:tcPr>
            <w:tcW w:w="8145" w:type="dxa"/>
            <w:gridSpan w:val="4"/>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信息内容</w:t>
            </w:r>
          </w:p>
        </w:tc>
        <w:tc>
          <w:tcPr>
            <w:tcW w:w="1875" w:type="dxa"/>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上一年项目数量</w:t>
            </w:r>
          </w:p>
        </w:tc>
        <w:tc>
          <w:tcPr>
            <w:tcW w:w="1275" w:type="dxa"/>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本年增/减</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52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rPr>
                <w:color w:val="auto"/>
              </w:rPr>
            </w:pPr>
            <w:r>
              <w:rPr>
                <w:rFonts w:hint="eastAsia" w:ascii="宋体" w:hAnsi="宋体" w:eastAsia="宋体" w:cs="宋体"/>
                <w:i w:val="0"/>
                <w:caps w:val="0"/>
                <w:color w:val="auto"/>
                <w:spacing w:val="0"/>
                <w:sz w:val="19"/>
                <w:szCs w:val="19"/>
              </w:rPr>
              <w:t>行政许可</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16</w:t>
            </w:r>
          </w:p>
        </w:tc>
        <w:tc>
          <w:tcPr>
            <w:tcW w:w="1260"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10</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9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rPr>
                <w:color w:val="auto"/>
              </w:rPr>
            </w:pPr>
            <w:r>
              <w:rPr>
                <w:rFonts w:hint="eastAsia" w:ascii="宋体" w:hAnsi="宋体" w:eastAsia="宋体" w:cs="宋体"/>
                <w:i w:val="0"/>
                <w:caps w:val="0"/>
                <w:color w:val="auto"/>
                <w:spacing w:val="0"/>
                <w:sz w:val="19"/>
                <w:szCs w:val="19"/>
              </w:rPr>
              <w:t>其他对外管理服务事项</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0</w:t>
            </w:r>
          </w:p>
        </w:tc>
        <w:tc>
          <w:tcPr>
            <w:tcW w:w="1260"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0</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392" w:hRule="atLeast"/>
          <w:jc w:val="center"/>
        </w:trPr>
        <w:tc>
          <w:tcPr>
            <w:tcW w:w="8145" w:type="dxa"/>
            <w:gridSpan w:val="4"/>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30"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信息内容</w:t>
            </w:r>
          </w:p>
        </w:tc>
        <w:tc>
          <w:tcPr>
            <w:tcW w:w="1875" w:type="dxa"/>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上一年项目数量</w:t>
            </w:r>
          </w:p>
        </w:tc>
        <w:tc>
          <w:tcPr>
            <w:tcW w:w="1275" w:type="dxa"/>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本年增/减</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auto"/>
              </w:rPr>
            </w:pPr>
            <w:r>
              <w:rPr>
                <w:rFonts w:hint="eastAsia" w:ascii="宋体" w:hAnsi="宋体" w:eastAsia="宋体" w:cs="宋体"/>
                <w:i w:val="0"/>
                <w:caps w:val="0"/>
                <w:color w:val="auto"/>
                <w:spacing w:val="0"/>
                <w:sz w:val="19"/>
                <w:szCs w:val="19"/>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3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rPr>
                <w:color w:val="auto"/>
              </w:rPr>
            </w:pPr>
            <w:r>
              <w:rPr>
                <w:rFonts w:hint="eastAsia" w:ascii="宋体" w:hAnsi="宋体" w:eastAsia="宋体" w:cs="宋体"/>
                <w:i w:val="0"/>
                <w:caps w:val="0"/>
                <w:color w:val="auto"/>
                <w:spacing w:val="0"/>
                <w:sz w:val="19"/>
                <w:szCs w:val="19"/>
              </w:rPr>
              <w:t>行政处罚</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34</w:t>
            </w:r>
          </w:p>
        </w:tc>
        <w:tc>
          <w:tcPr>
            <w:tcW w:w="1260"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22</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4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宋体" w:hAnsi="宋体" w:eastAsia="宋体" w:cs="宋体"/>
                <w:i w:val="0"/>
                <w:caps w:val="0"/>
                <w:color w:val="000000"/>
                <w:spacing w:val="0"/>
                <w:sz w:val="19"/>
                <w:szCs w:val="19"/>
              </w:rPr>
              <w:t>行政强制</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0</w:t>
            </w:r>
          </w:p>
        </w:tc>
        <w:tc>
          <w:tcPr>
            <w:tcW w:w="1260"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0</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15" w:hRule="atLeast"/>
          <w:jc w:val="center"/>
        </w:trPr>
        <w:tc>
          <w:tcPr>
            <w:tcW w:w="8145" w:type="dxa"/>
            <w:gridSpan w:val="4"/>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79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信息内容</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宋体" w:hAnsi="宋体" w:eastAsia="宋体" w:cs="宋体"/>
                <w:i w:val="0"/>
                <w:caps w:val="0"/>
                <w:color w:val="000000"/>
                <w:spacing w:val="0"/>
                <w:sz w:val="19"/>
                <w:szCs w:val="19"/>
              </w:rPr>
              <w:t>上一年项目数量</w:t>
            </w:r>
          </w:p>
        </w:tc>
        <w:tc>
          <w:tcPr>
            <w:tcW w:w="3150" w:type="dxa"/>
            <w:gridSpan w:val="2"/>
            <w:tcBorders>
              <w:top w:val="single" w:color="auto" w:sz="6" w:space="0"/>
              <w:left w:val="single" w:color="ECE9D8"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12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宋体" w:hAnsi="宋体" w:eastAsia="宋体" w:cs="宋体"/>
                <w:i w:val="0"/>
                <w:caps w:val="0"/>
                <w:color w:val="000000"/>
                <w:spacing w:val="0"/>
                <w:sz w:val="19"/>
                <w:szCs w:val="19"/>
              </w:rPr>
              <w:t>行政事业性收费</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default" w:ascii="sans-serif" w:hAnsi="sans-serif" w:eastAsia="sans-serif" w:cs="sans-serif"/>
                <w:i w:val="0"/>
                <w:caps w:val="0"/>
                <w:color w:val="000000"/>
                <w:spacing w:val="0"/>
                <w:sz w:val="27"/>
                <w:szCs w:val="27"/>
              </w:rPr>
              <w:t>　</w:t>
            </w:r>
            <w:r>
              <w:rPr>
                <w:rFonts w:hint="eastAsia" w:ascii="宋体" w:hAnsi="宋体" w:eastAsia="宋体" w:cs="宋体"/>
                <w:i w:val="0"/>
                <w:caps w:val="0"/>
                <w:color w:val="000000"/>
                <w:spacing w:val="0"/>
                <w:sz w:val="19"/>
                <w:szCs w:val="19"/>
              </w:rPr>
              <w:t>0</w:t>
            </w:r>
          </w:p>
        </w:tc>
        <w:tc>
          <w:tcPr>
            <w:tcW w:w="3150" w:type="dxa"/>
            <w:gridSpan w:val="2"/>
            <w:tcBorders>
              <w:top w:val="single" w:color="ECE9D8" w:sz="6" w:space="0"/>
              <w:left w:val="single" w:color="ECE9D8"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1215" w:hRule="atLeast"/>
          <w:jc w:val="center"/>
        </w:trPr>
        <w:tc>
          <w:tcPr>
            <w:tcW w:w="8145" w:type="dxa"/>
            <w:gridSpan w:val="4"/>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19"/>
                <w:szCs w:val="19"/>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88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宋体" w:hAnsi="宋体" w:eastAsia="宋体" w:cs="宋体"/>
                <w:i w:val="0"/>
                <w:caps w:val="0"/>
                <w:color w:val="000000"/>
                <w:spacing w:val="0"/>
                <w:sz w:val="19"/>
                <w:szCs w:val="19"/>
              </w:rPr>
              <w:t>信息内容</w:t>
            </w:r>
          </w:p>
        </w:tc>
        <w:tc>
          <w:tcPr>
            <w:tcW w:w="1875" w:type="dxa"/>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宋体" w:hAnsi="宋体" w:eastAsia="宋体" w:cs="宋体"/>
                <w:i w:val="0"/>
                <w:caps w:val="0"/>
                <w:color w:val="000000"/>
                <w:spacing w:val="0"/>
                <w:sz w:val="19"/>
                <w:szCs w:val="19"/>
              </w:rPr>
              <w:t>采购项目数量</w:t>
            </w:r>
          </w:p>
        </w:tc>
        <w:tc>
          <w:tcPr>
            <w:tcW w:w="3150" w:type="dxa"/>
            <w:gridSpan w:val="2"/>
            <w:tcBorders>
              <w:top w:val="single" w:color="auto"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宋体" w:hAnsi="宋体" w:eastAsia="宋体" w:cs="宋体"/>
                <w:i w:val="0"/>
                <w:caps w:val="0"/>
                <w:color w:val="000000"/>
                <w:spacing w:val="0"/>
                <w:sz w:val="19"/>
                <w:szCs w:val="19"/>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2925" w:hRule="atLeast"/>
          <w:jc w:val="center"/>
        </w:trPr>
        <w:tc>
          <w:tcPr>
            <w:tcW w:w="3120" w:type="dxa"/>
            <w:tcBorders>
              <w:top w:val="single" w:color="ECE9D8"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Fonts w:hint="eastAsia" w:ascii="宋体" w:hAnsi="宋体" w:eastAsia="宋体" w:cs="宋体"/>
                <w:i w:val="0"/>
                <w:caps w:val="0"/>
                <w:color w:val="000000"/>
                <w:spacing w:val="0"/>
                <w:sz w:val="18"/>
                <w:szCs w:val="18"/>
              </w:rPr>
              <w:t>政府集中采购</w:t>
            </w:r>
          </w:p>
        </w:tc>
        <w:tc>
          <w:tcPr>
            <w:tcW w:w="1875" w:type="dxa"/>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rPr>
                <w:rFonts w:hint="default" w:ascii="宋体" w:hAnsi="宋体" w:eastAsia="宋体" w:cs="宋体"/>
                <w:i w:val="0"/>
                <w:caps w:val="0"/>
                <w:color w:val="auto"/>
                <w:spacing w:val="0"/>
                <w:sz w:val="19"/>
                <w:szCs w:val="19"/>
                <w:lang w:val="en-US" w:eastAsia="zh-CN"/>
              </w:rPr>
            </w:pPr>
            <w:r>
              <w:rPr>
                <w:rFonts w:hint="eastAsia" w:ascii="宋体" w:hAnsi="宋体" w:eastAsia="宋体" w:cs="宋体"/>
                <w:i w:val="0"/>
                <w:caps w:val="0"/>
                <w:color w:val="auto"/>
                <w:spacing w:val="0"/>
                <w:sz w:val="19"/>
                <w:szCs w:val="19"/>
                <w:lang w:val="en-US" w:eastAsia="zh-CN"/>
              </w:rPr>
              <w:t>森林消防水泵若干、森林消防队服装用品若干、办公电脑9台、办公桌椅若干</w:t>
            </w:r>
          </w:p>
        </w:tc>
        <w:tc>
          <w:tcPr>
            <w:tcW w:w="3150" w:type="dxa"/>
            <w:gridSpan w:val="2"/>
            <w:tcBorders>
              <w:top w:val="single" w:color="ECE9D8" w:sz="6" w:space="0"/>
              <w:left w:val="single" w:color="ECE9D8"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rPr>
                <w:rFonts w:hint="default" w:ascii="宋体" w:hAnsi="宋体" w:eastAsia="宋体" w:cs="宋体"/>
                <w:i w:val="0"/>
                <w:caps w:val="0"/>
                <w:color w:val="auto"/>
                <w:spacing w:val="0"/>
                <w:sz w:val="22"/>
                <w:szCs w:val="22"/>
                <w:lang w:val="en-US" w:eastAsia="zh-CN"/>
              </w:rPr>
            </w:pPr>
            <w:r>
              <w:rPr>
                <w:rFonts w:hint="eastAsia" w:ascii="宋体" w:hAnsi="宋体" w:eastAsia="宋体" w:cs="宋体"/>
                <w:i w:val="0"/>
                <w:caps w:val="0"/>
                <w:color w:val="auto"/>
                <w:spacing w:val="0"/>
                <w:sz w:val="22"/>
                <w:szCs w:val="22"/>
                <w:lang w:val="en-US" w:eastAsia="zh-CN"/>
              </w:rPr>
              <w:t>106000</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atLeast"/>
        <w:ind w:left="0" w:right="0" w:firstLine="646"/>
        <w:jc w:val="both"/>
        <w:textAlignment w:val="auto"/>
        <w:rPr>
          <w:rFonts w:hint="eastAsia" w:ascii="黑体" w:hAnsi="黑体" w:eastAsia="黑体" w:cs="黑体"/>
          <w:i w:val="0"/>
          <w:caps w:val="0"/>
          <w:color w:val="000000"/>
          <w:spacing w:val="0"/>
          <w:sz w:val="32"/>
          <w:szCs w:val="32"/>
        </w:rPr>
      </w:pPr>
      <w:r>
        <w:rPr>
          <w:rFonts w:hint="default" w:ascii="sans-serif" w:hAnsi="sans-serif" w:eastAsia="sans-serif" w:cs="sans-serif"/>
          <w:i w:val="0"/>
          <w:caps w:val="0"/>
          <w:color w:val="000000"/>
          <w:spacing w:val="0"/>
          <w:sz w:val="27"/>
          <w:szCs w:val="27"/>
          <w:shd w:val="clear" w:fill="FFFFFF"/>
        </w:rPr>
        <w:t> </w:t>
      </w:r>
      <w:r>
        <w:rPr>
          <w:rFonts w:hint="eastAsia" w:ascii="黑体" w:hAnsi="黑体" w:eastAsia="黑体" w:cs="黑体"/>
          <w:i w:val="0"/>
          <w:caps w:val="0"/>
          <w:color w:val="000000"/>
          <w:spacing w:val="0"/>
          <w:sz w:val="32"/>
          <w:szCs w:val="32"/>
          <w:shd w:val="clear" w:fill="FFFFFF"/>
        </w:rPr>
        <w:t>三、收到和处理政府信息公开申请情况 </w:t>
      </w:r>
      <w:r>
        <w:rPr>
          <w:rFonts w:hint="default" w:ascii="sans-serif" w:hAnsi="sans-serif" w:eastAsia="sans-serif" w:cs="sans-serif"/>
          <w:i w:val="0"/>
          <w:caps w:val="0"/>
          <w:color w:val="000000"/>
          <w:spacing w:val="0"/>
          <w:sz w:val="27"/>
          <w:szCs w:val="27"/>
        </w:rPr>
        <w:drawing>
          <wp:inline distT="0" distB="0" distL="114300" distR="114300">
            <wp:extent cx="5934075" cy="8277225"/>
            <wp:effectExtent l="0" t="0" r="9525" b="9525"/>
            <wp:docPr id="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56"/>
                    <pic:cNvPicPr>
                      <a:picLocks noChangeAspect="1"/>
                    </pic:cNvPicPr>
                  </pic:nvPicPr>
                  <pic:blipFill>
                    <a:blip r:embed="rId4"/>
                    <a:stretch>
                      <a:fillRect/>
                    </a:stretch>
                  </pic:blipFill>
                  <pic:spPr>
                    <a:xfrm>
                      <a:off x="0" y="0"/>
                      <a:ext cx="5934075" cy="8277225"/>
                    </a:xfrm>
                    <a:prstGeom prst="rect">
                      <a:avLst/>
                    </a:prstGeom>
                    <a:noFill/>
                    <a:ln w="9525">
                      <a:noFill/>
                    </a:ln>
                  </pic:spPr>
                </pic:pic>
              </a:graphicData>
            </a:graphic>
          </wp:inline>
        </w:drawing>
      </w:r>
    </w:p>
    <w:p>
      <w:pPr>
        <w:pStyle w:val="4"/>
        <w:keepNext w:val="0"/>
        <w:keepLines w:val="0"/>
        <w:widowControl/>
        <w:suppressLineNumbers w:val="0"/>
        <w:spacing w:line="315" w:lineRule="atLeast"/>
        <w:ind w:left="0" w:firstLine="0"/>
        <w:jc w:val="center"/>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line="315" w:lineRule="atLeast"/>
        <w:ind w:lef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drawing>
          <wp:inline distT="0" distB="0" distL="114300" distR="114300">
            <wp:extent cx="5838825" cy="7353300"/>
            <wp:effectExtent l="0" t="0" r="9525" b="0"/>
            <wp:docPr id="7"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7"/>
                    <pic:cNvPicPr>
                      <a:picLocks noChangeAspect="1"/>
                    </pic:cNvPicPr>
                  </pic:nvPicPr>
                  <pic:blipFill>
                    <a:blip r:embed="rId5"/>
                    <a:stretch>
                      <a:fillRect/>
                    </a:stretch>
                  </pic:blipFill>
                  <pic:spPr>
                    <a:xfrm>
                      <a:off x="0" y="0"/>
                      <a:ext cx="5838825" cy="7353300"/>
                    </a:xfrm>
                    <a:prstGeom prst="rect">
                      <a:avLst/>
                    </a:prstGeom>
                    <a:noFill/>
                    <a:ln w="9525">
                      <a:noFill/>
                    </a:ln>
                  </pic:spPr>
                </pic:pic>
              </a:graphicData>
            </a:graphic>
          </wp:inline>
        </w:drawing>
      </w:r>
    </w:p>
    <w:p>
      <w:pPr>
        <w:pStyle w:val="4"/>
        <w:keepNext w:val="0"/>
        <w:keepLines w:val="0"/>
        <w:widowControl/>
        <w:suppressLineNumbers w:val="0"/>
        <w:spacing w:line="315" w:lineRule="atLeast"/>
        <w:ind w:lef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drawing>
          <wp:inline distT="0" distB="0" distL="114300" distR="114300">
            <wp:extent cx="5810250" cy="2486025"/>
            <wp:effectExtent l="0" t="0" r="0" b="9525"/>
            <wp:docPr id="6"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58"/>
                    <pic:cNvPicPr>
                      <a:picLocks noChangeAspect="1"/>
                    </pic:cNvPicPr>
                  </pic:nvPicPr>
                  <pic:blipFill>
                    <a:blip r:embed="rId6"/>
                    <a:stretch>
                      <a:fillRect/>
                    </a:stretch>
                  </pic:blipFill>
                  <pic:spPr>
                    <a:xfrm>
                      <a:off x="0" y="0"/>
                      <a:ext cx="5810250" cy="2486025"/>
                    </a:xfrm>
                    <a:prstGeom prst="rect">
                      <a:avLst/>
                    </a:prstGeom>
                    <a:noFill/>
                    <a:ln w="9525">
                      <a:noFill/>
                    </a:ln>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atLeast"/>
        <w:ind w:left="0" w:right="0" w:firstLine="640" w:firstLineChars="200"/>
        <w:textAlignment w:val="auto"/>
        <w:rPr>
          <w:rFonts w:hint="default" w:ascii="sans-serif" w:hAnsi="sans-serif" w:eastAsia="sans-serif" w:cs="sans-serif"/>
          <w:i w:val="0"/>
          <w:caps w:val="0"/>
          <w:color w:val="000000"/>
          <w:spacing w:val="0"/>
          <w:sz w:val="27"/>
          <w:szCs w:val="27"/>
        </w:rPr>
      </w:pPr>
      <w:r>
        <w:rPr>
          <w:rFonts w:hint="eastAsia" w:ascii="黑体" w:hAnsi="黑体" w:eastAsia="黑体" w:cs="黑体"/>
          <w:i w:val="0"/>
          <w:caps w:val="0"/>
          <w:color w:val="000000"/>
          <w:spacing w:val="0"/>
          <w:sz w:val="32"/>
          <w:szCs w:val="32"/>
        </w:rPr>
        <w:t>四、政府信息公开行政复议、行政诉讼情况</w:t>
      </w:r>
    </w:p>
    <w:p>
      <w:pPr>
        <w:pStyle w:val="4"/>
        <w:keepNext w:val="0"/>
        <w:keepLines w:val="0"/>
        <w:widowControl/>
        <w:suppressLineNumbers w:val="0"/>
        <w:spacing w:line="315" w:lineRule="atLeast"/>
        <w:ind w:lef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drawing>
          <wp:inline distT="0" distB="0" distL="114300" distR="114300">
            <wp:extent cx="6000750" cy="3143250"/>
            <wp:effectExtent l="0" t="0" r="0" b="0"/>
            <wp:docPr id="5"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59"/>
                    <pic:cNvPicPr>
                      <a:picLocks noChangeAspect="1"/>
                    </pic:cNvPicPr>
                  </pic:nvPicPr>
                  <pic:blipFill>
                    <a:blip r:embed="rId7"/>
                    <a:stretch>
                      <a:fillRect/>
                    </a:stretch>
                  </pic:blipFill>
                  <pic:spPr>
                    <a:xfrm>
                      <a:off x="0" y="0"/>
                      <a:ext cx="6000750" cy="3143250"/>
                    </a:xfrm>
                    <a:prstGeom prst="rect">
                      <a:avLst/>
                    </a:prstGeom>
                    <a:noFill/>
                    <a:ln w="9525">
                      <a:noFill/>
                    </a:ln>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default" w:ascii="黑体" w:hAnsi="黑体" w:eastAsia="黑体" w:cs="黑体"/>
          <w:i w:val="0"/>
          <w:caps w:val="0"/>
          <w:color w:val="000000"/>
          <w:spacing w:val="0"/>
          <w:sz w:val="32"/>
          <w:szCs w:val="32"/>
        </w:rPr>
      </w:pPr>
      <w:r>
        <w:rPr>
          <w:rFonts w:hint="default" w:ascii="黑体" w:hAnsi="黑体" w:eastAsia="黑体" w:cs="黑体"/>
          <w:i w:val="0"/>
          <w:caps w:val="0"/>
          <w:color w:val="000000"/>
          <w:spacing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年，我局信息公开工作取得一定成绩，但同时，与《条例》要求还存在着一定的差距。主要表现在业务工作及通知公告内容需进一步规范。</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针对以上问题，20</w:t>
      </w:r>
      <w:r>
        <w:rPr>
          <w:rFonts w:hint="eastAsia"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rPr>
        <w:t>年，我局将继续深入贯彻落实《条例》精神，重点改进20</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年政府信息公开工作中的不足之处，继续按照上三级文件要求，扩大主动公开信息范围，继续规范信息公开工作制度建设，持续推进部门信息公开工作。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default" w:ascii="黑体" w:hAnsi="黑体" w:eastAsia="黑体" w:cs="黑体"/>
          <w:i w:val="0"/>
          <w:caps w:val="0"/>
          <w:color w:val="000000"/>
          <w:spacing w:val="0"/>
          <w:sz w:val="32"/>
          <w:szCs w:val="32"/>
        </w:rPr>
      </w:pPr>
      <w:r>
        <w:rPr>
          <w:rFonts w:hint="default" w:ascii="黑体" w:hAnsi="黑体" w:eastAsia="黑体" w:cs="黑体"/>
          <w:i w:val="0"/>
          <w:caps w:val="0"/>
          <w:color w:val="000000"/>
          <w:spacing w:val="0"/>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firstLine="540" w:firstLineChars="200"/>
        <w:textAlignment w:val="auto"/>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无</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93F26"/>
    <w:rsid w:val="5C5737F0"/>
    <w:rsid w:val="630B4507"/>
    <w:rsid w:val="78CC0650"/>
    <w:rsid w:val="7FBA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qFormat/>
    <w:uiPriority w:val="0"/>
    <w:pPr>
      <w:spacing w:after="20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2021-01-22T08:35:00Z</dcterms:created>
  <dc:creator>Administrator</dc:creator>
  <cp:lastModifiedBy>一夏。</cp:lastModifiedBy>
  <cp:lastPrinted>2021-01-26T03:24:36Z</cp:lastPrinted>
  <dcterms:modified xsi:type="dcterms:W3CDTF">2021-01-26T03:34:02Z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