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D743" w14:textId="77777777" w:rsidR="0021365E" w:rsidRDefault="00000000">
      <w:pPr>
        <w:pStyle w:val="a3"/>
        <w:widowControl/>
        <w:spacing w:beforeAutospacing="0" w:afterAutospacing="0" w:line="510" w:lineRule="atLeast"/>
        <w:jc w:val="center"/>
        <w:rPr>
          <w:rFonts w:ascii="宋体" w:eastAsia="宋体" w:hAnsi="宋体" w:cs="宋体"/>
          <w:b/>
          <w:color w:val="000000" w:themeColor="text1"/>
          <w:sz w:val="27"/>
          <w:szCs w:val="27"/>
        </w:rPr>
      </w:pPr>
      <w:r>
        <w:rPr>
          <w:rFonts w:ascii="宋体" w:eastAsia="宋体" w:hAnsi="宋体" w:cs="宋体" w:hint="eastAsia"/>
          <w:b/>
          <w:color w:val="000000" w:themeColor="text1"/>
          <w:sz w:val="27"/>
          <w:szCs w:val="27"/>
        </w:rPr>
        <w:t xml:space="preserve"> </w:t>
      </w:r>
    </w:p>
    <w:p w14:paraId="774813DB" w14:textId="77777777" w:rsidR="0021365E" w:rsidRDefault="00000000">
      <w:pPr>
        <w:pStyle w:val="a3"/>
        <w:widowControl/>
        <w:spacing w:beforeAutospacing="0" w:afterAutospacing="0" w:line="510" w:lineRule="atLeast"/>
        <w:jc w:val="center"/>
        <w:rPr>
          <w:rFonts w:ascii="宋体" w:eastAsia="宋体" w:hAnsi="宋体" w:cs="宋体"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 w:themeColor="text1"/>
          <w:sz w:val="36"/>
          <w:szCs w:val="36"/>
        </w:rPr>
        <w:t>2021年湖口县国民经济和社会发展统计公报</w:t>
      </w:r>
    </w:p>
    <w:p w14:paraId="232EB5B1" w14:textId="77777777" w:rsidR="0021365E" w:rsidRDefault="0021365E">
      <w:pPr>
        <w:pStyle w:val="a3"/>
        <w:widowControl/>
        <w:spacing w:beforeAutospacing="0" w:afterAutospacing="0" w:line="510" w:lineRule="atLeast"/>
        <w:ind w:firstLineChars="200"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</w:p>
    <w:p w14:paraId="51FD07F7" w14:textId="77777777" w:rsidR="0021365E" w:rsidRDefault="00000000">
      <w:pPr>
        <w:pStyle w:val="a3"/>
        <w:widowControl/>
        <w:spacing w:beforeAutospacing="0" w:afterAutospacing="0" w:line="480" w:lineRule="atLeast"/>
        <w:ind w:firstLineChars="200"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2021年，在县委、县政府的坚强领导下，全县上下坚持以习近平新时代中国特色社会主义思想为指导，深入贯彻习近平总书记视察江西重要讲话精神，统筹推进常态化疫情防控和经济社会发展，扎实做好“六稳”工作、全面落实“六保”任务，全县经济持续稳定恢复，生产需求稳定提速，质量效益同步提升，展现了全县经济“强韧性、高动能”的特点，实现了“十四五”良好开局。</w:t>
      </w:r>
    </w:p>
    <w:p w14:paraId="73275F33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b/>
          <w:bCs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5"/>
          <w:szCs w:val="25"/>
        </w:rPr>
        <w:t xml:space="preserve">　　一、综合</w:t>
      </w:r>
    </w:p>
    <w:p w14:paraId="487C2AE0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初步核算，全年地区生产总值（GDP）283.1亿元，按可比价格计算，比上年增长8.9%。其中第一产业增加值17.32亿元，增长6.8%，第二产业增加值192.82亿元，增长8.8%，第三产业增加值72.97亿元，增长9.6%。三次产业结构比为6.1:68.1:25.8。人均GDP125909元。非公有制经济稳步发展，实现增加值210.28亿元，增长11.3%，占GDP比重为75.8%。</w:t>
      </w:r>
    </w:p>
    <w:p w14:paraId="5E85BD3F" w14:textId="77777777" w:rsidR="0021365E" w:rsidRDefault="00000000">
      <w:pPr>
        <w:pStyle w:val="a3"/>
        <w:widowControl/>
        <w:spacing w:beforeAutospacing="0" w:afterAutospacing="0" w:line="480" w:lineRule="atLeast"/>
        <w:jc w:val="center"/>
        <w:rPr>
          <w:rFonts w:ascii="仿宋_GB2312" w:eastAsia="仿宋_GB2312" w:cs="宋体"/>
          <w:sz w:val="21"/>
          <w:szCs w:val="21"/>
        </w:rPr>
      </w:pPr>
      <w:r>
        <w:rPr>
          <w:rFonts w:ascii="仿宋_GB2312" w:eastAsia="仿宋_GB2312" w:cs="宋体"/>
          <w:sz w:val="21"/>
          <w:szCs w:val="21"/>
        </w:rPr>
        <w:object w:dxaOrig="7534" w:dyaOrig="4126" w14:anchorId="4C410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206.25pt" o:ole="">
            <v:imagedata r:id="rId4" o:title=""/>
          </v:shape>
          <o:OLEObject Type="Embed" ProgID="MSGraph.Chart.8" ShapeID="_x0000_i1025" DrawAspect="Content" ObjectID="_1811925932" r:id="rId5"/>
        </w:object>
      </w:r>
    </w:p>
    <w:p w14:paraId="4BBA0CFA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 xml:space="preserve">　　</w:t>
      </w: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二、农业</w:t>
      </w:r>
    </w:p>
    <w:p w14:paraId="3B90ACA9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全年粮食种植面积23.8万亩，比上年增加0.2万亩；棉花种植面积3.0万亩,较上年减少3.1</w:t>
      </w:r>
      <w:r>
        <w:rPr>
          <w:rFonts w:ascii="宋体" w:eastAsia="宋体" w:hAnsi="宋体" w:cs="宋体"/>
          <w:color w:val="000000" w:themeColor="text1"/>
          <w:sz w:val="25"/>
          <w:szCs w:val="25"/>
        </w:rPr>
        <w:t>万亩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；油料种植面积17.5万亩，较上年增加1.7万亩；蔬菜种植面积3.2万亩，较上年增加0.1万亩；年末果园面积2.1万亩,较上年同期基本持平。</w:t>
      </w:r>
    </w:p>
    <w:p w14:paraId="383CA111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FF0000"/>
          <w:sz w:val="25"/>
          <w:szCs w:val="25"/>
        </w:rPr>
      </w:pP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粮食总产量7.95万吨，比上年增长3.2%。其中，早稻1.3万吨，下降7.1%；二晚1.6万吨，下降30.4%；一晚和中稻3.5万吨，增长29.6%。全年油料产量2.3万吨，较上年增长9.5%。棉花产量3317吨。蔬菜产量7.4万吨，较上年增长5.7%。水果产量6210吨，较上年增长4.3%。</w:t>
      </w:r>
    </w:p>
    <w:p w14:paraId="08FBE292" w14:textId="77777777" w:rsidR="0021365E" w:rsidRDefault="00000000">
      <w:pPr>
        <w:pStyle w:val="a3"/>
        <w:widowControl/>
        <w:spacing w:beforeAutospacing="0" w:afterAutospacing="0" w:line="480" w:lineRule="atLeast"/>
        <w:jc w:val="center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仿宋_GB2312" w:eastAsia="仿宋_GB2312" w:cs="宋体"/>
          <w:sz w:val="21"/>
          <w:szCs w:val="21"/>
        </w:rPr>
        <w:object w:dxaOrig="7909" w:dyaOrig="5989" w14:anchorId="76637D7F">
          <v:shape id="_x0000_i1026" type="#_x0000_t75" style="width:395.25pt;height:299.25pt" o:ole="">
            <v:imagedata r:id="rId6" o:title=""/>
          </v:shape>
          <o:OLEObject Type="Embed" ProgID="MSGraph.Chart.8" ShapeID="_x0000_i1026" DrawAspect="Content" ObjectID="_1811925933" r:id="rId7"/>
        </w:object>
      </w:r>
    </w:p>
    <w:p w14:paraId="422FA2E7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FF0000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全年肉类总产量6536吨，增长24.85%。生猪出栏7.3万头，增长43.1%；生猪存栏4.9万头，增长25.6%。家禽存栏34万只；禽蛋产量456吨。水产品产量4.4万吨，较去年基本持平。</w:t>
      </w:r>
    </w:p>
    <w:p w14:paraId="388943AC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FF0000"/>
          <w:sz w:val="25"/>
          <w:szCs w:val="25"/>
        </w:rPr>
      </w:pPr>
      <w:r>
        <w:rPr>
          <w:rFonts w:ascii="宋体" w:eastAsia="宋体" w:hAnsi="宋体" w:cs="宋体" w:hint="eastAsia"/>
          <w:color w:val="FF0000"/>
          <w:sz w:val="25"/>
          <w:szCs w:val="25"/>
        </w:rPr>
        <w:lastRenderedPageBreak/>
        <w:t xml:space="preserve">　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全年完成人工造林任务4028.82亩；完成退化林修复8309.59亩，完成封山育林0.71万亩，森林抚育工作按计划进度推进中，成功申报2个乡村森林公园，4个森林乡村，全县森林覆盖率28.06%。</w:t>
      </w:r>
    </w:p>
    <w:p w14:paraId="04F5E977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FF0000"/>
          <w:sz w:val="25"/>
          <w:szCs w:val="25"/>
        </w:rPr>
      </w:pP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县有效灌溉面积达20.78万亩；水土流失综合治理面积85.4平方公里，新增3.5平方公里。年末农业机械总动力7.77万千瓦，全县拖拉机741台，联合收割机达188台,全县机耕面积22261公顷，机播面积12686公顷，机电灌溉面积11000公顷，机械植保面积21000公顷，机收面积27945公顷。</w:t>
      </w:r>
    </w:p>
    <w:p w14:paraId="690A34BF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三、工业和建筑业</w:t>
      </w:r>
    </w:p>
    <w:p w14:paraId="47967E45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FF0000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规模以上工业实现增加值增长11.6%,其中：国有控股企业增加值下降8%。规模以上工业中，股份制企业增加值增长4.7%，港澳台和外商投资企业增长60.6%。规模以上工业中，重工业增加值增长11.2%，轻工业增加值下降14.7%。全年工业产品销售率98.5%。</w:t>
      </w:r>
    </w:p>
    <w:p w14:paraId="7376F2B5" w14:textId="77777777" w:rsidR="0021365E" w:rsidRDefault="00000000">
      <w:pPr>
        <w:pStyle w:val="a3"/>
        <w:widowControl/>
        <w:spacing w:beforeAutospacing="0" w:afterAutospacing="0" w:line="480" w:lineRule="atLeast"/>
        <w:jc w:val="center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仿宋_GB2312" w:eastAsia="仿宋_GB2312" w:cs="宋体"/>
          <w:sz w:val="21"/>
          <w:szCs w:val="21"/>
        </w:rPr>
        <w:object w:dxaOrig="8108" w:dyaOrig="4645" w14:anchorId="61D27A54">
          <v:shape id="_x0000_i1027" type="#_x0000_t75" style="width:405.75pt;height:232.5pt" o:ole="">
            <v:imagedata r:id="rId8" o:title=""/>
          </v:shape>
          <o:OLEObject Type="Embed" ProgID="MSGraph.Chart.8" ShapeID="_x0000_i1027" DrawAspect="Content" ObjectID="_1811925934" r:id="rId9"/>
        </w:object>
      </w:r>
    </w:p>
    <w:p w14:paraId="3549FB32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全年规模以上工业实现营业收入完成743.7亿元，增长41.4%；实现利税总额94.08亿元，增长54.4%，其中实现利润74.8亿元，增长45.7%。工业经济效益综合指数552.3%，比上年增长99.9个百分点。</w:t>
      </w:r>
    </w:p>
    <w:p w14:paraId="7236874D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>工业园区实际开发面积13.4平方公里，年末投产企业91家，从事工业生产活动人数19159人，增长5.08%。园区企业完成工业营业收入723.4亿元，增长44.4%，实现利润总额 73.1亿元，增长50.7%。</w:t>
      </w:r>
    </w:p>
    <w:p w14:paraId="30F18285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全社会建筑业完成增加值2.3亿元，同比增加26.2%。具有资质等级的建筑企业完成营业收入2.7亿元，增长33%，营业税金及附加649.7万元，下降23.4%。</w:t>
      </w:r>
    </w:p>
    <w:p w14:paraId="3C28F15F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四、固定资产投资</w:t>
      </w:r>
    </w:p>
    <w:p w14:paraId="09C0A72D" w14:textId="62B56B67" w:rsidR="0021365E" w:rsidRPr="006E4110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 w:hint="eastAsia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全年固定资产投资增长</w:t>
      </w:r>
      <w:r>
        <w:rPr>
          <w:rFonts w:ascii="宋体" w:eastAsia="PMingLiU" w:hAnsi="宋体" w:cs="宋体" w:hint="eastAsia"/>
          <w:color w:val="000000" w:themeColor="text1"/>
          <w:sz w:val="25"/>
          <w:szCs w:val="25"/>
        </w:rPr>
        <w:t>9.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2%。</w:t>
      </w:r>
      <w:r w:rsidR="006E4110">
        <w:rPr>
          <w:rFonts w:ascii="宋体" w:eastAsia="宋体" w:hAnsi="宋体" w:cs="宋体" w:hint="eastAsia"/>
          <w:color w:val="000000" w:themeColor="text1"/>
          <w:sz w:val="25"/>
          <w:szCs w:val="25"/>
        </w:rPr>
        <w:t>在固定资产投资中，第一产业投资增长46.8 %，第二产业投资增长3.4%，第三产业投资下降25.4%。</w:t>
      </w:r>
    </w:p>
    <w:p w14:paraId="3EDA1EC6" w14:textId="77777777" w:rsidR="0021365E" w:rsidRDefault="00000000">
      <w:pPr>
        <w:pStyle w:val="a3"/>
        <w:widowControl/>
        <w:spacing w:beforeAutospacing="0" w:afterAutospacing="0" w:line="480" w:lineRule="atLeast"/>
        <w:jc w:val="center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仿宋_GB2312" w:eastAsia="仿宋_GB2312" w:cs="宋体"/>
          <w:sz w:val="21"/>
          <w:szCs w:val="21"/>
        </w:rPr>
        <w:object w:dxaOrig="7920" w:dyaOrig="4830" w14:anchorId="62ABD8D5">
          <v:shape id="_x0000_i1028" type="#_x0000_t75" style="width:396pt;height:241.5pt" o:ole="">
            <v:imagedata r:id="rId10" o:title=""/>
          </v:shape>
          <o:OLEObject Type="Embed" ProgID="MSGraph.Chart.8" ShapeID="_x0000_i1028" DrawAspect="Content" ObjectID="_1811925935" r:id="rId11"/>
        </w:object>
      </w:r>
    </w:p>
    <w:p w14:paraId="09F0B6B4" w14:textId="0E3B62E0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全年房地产开发投资增长17.6%；其中商品住宅投资增加44%。商品房施工面积下降24.4 %；竣工面积增加66.2%；商品房销售面积增长31.4 %；商品房销售额增长36%。</w:t>
      </w:r>
    </w:p>
    <w:p w14:paraId="729DC8FE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固定资产投资施工项目 301个,其中本年新入库项目 199个。</w:t>
      </w:r>
    </w:p>
    <w:p w14:paraId="2A349B8E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黑体" w:eastAsia="黑体" w:hAnsi="黑体" w:cs="黑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五、国内贸易和开放型经济</w:t>
      </w:r>
    </w:p>
    <w:p w14:paraId="3F4063FD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>全年社会消费品零售总额647632万元，增长17.4%。分城乡看，城镇消费品零售总额531058万元，增长20.9%，乡村消费品零售额116574万元，增长3.8%。从行业看，批发零售业零售总额530357万元，增长16.2%；住宿业营餐饮业零售总额117275万元，增长23.1%。</w:t>
      </w:r>
    </w:p>
    <w:p w14:paraId="2448ACBD" w14:textId="77777777" w:rsidR="0021365E" w:rsidRDefault="00000000">
      <w:pPr>
        <w:pStyle w:val="a3"/>
        <w:widowControl/>
        <w:spacing w:beforeAutospacing="0" w:afterAutospacing="0" w:line="480" w:lineRule="atLeast"/>
        <w:jc w:val="center"/>
        <w:rPr>
          <w:rFonts w:ascii="仿宋_GB2312" w:eastAsia="仿宋_GB2312" w:cs="宋体"/>
          <w:sz w:val="21"/>
          <w:szCs w:val="21"/>
        </w:rPr>
      </w:pPr>
      <w:r>
        <w:rPr>
          <w:rFonts w:ascii="仿宋_GB2312" w:eastAsia="仿宋_GB2312" w:cs="宋体"/>
          <w:sz w:val="21"/>
          <w:szCs w:val="21"/>
        </w:rPr>
        <w:object w:dxaOrig="7324" w:dyaOrig="4850" w14:anchorId="75AA47EE">
          <v:shape id="_x0000_i1029" type="#_x0000_t75" style="width:366pt;height:242.25pt" o:ole="">
            <v:imagedata r:id="rId12" o:title=""/>
          </v:shape>
          <o:OLEObject Type="Embed" ProgID="MSGraph.Chart.8" ShapeID="_x0000_i1029" DrawAspect="Content" ObjectID="_1811925936" r:id="rId13"/>
        </w:object>
      </w:r>
    </w:p>
    <w:p w14:paraId="1317A19C" w14:textId="77777777" w:rsidR="0021365E" w:rsidRDefault="00000000">
      <w:pPr>
        <w:pStyle w:val="a3"/>
        <w:widowControl/>
        <w:spacing w:beforeAutospacing="0" w:afterAutospacing="0" w:line="480" w:lineRule="atLeast"/>
        <w:jc w:val="both"/>
        <w:rPr>
          <w:rFonts w:ascii="宋体" w:eastAsia="仿宋_GB2312" w:hAnsi="宋体" w:cs="宋体"/>
          <w:b/>
          <w:bCs/>
          <w:color w:val="000000" w:themeColor="text1"/>
          <w:sz w:val="25"/>
          <w:szCs w:val="25"/>
        </w:rPr>
      </w:pPr>
      <w:r>
        <w:rPr>
          <w:rFonts w:ascii="仿宋_GB2312" w:eastAsia="仿宋_GB2312" w:cs="宋体" w:hint="eastAsia"/>
          <w:b/>
          <w:bCs/>
          <w:sz w:val="21"/>
          <w:szCs w:val="21"/>
        </w:rPr>
        <w:t>(2018年根据全国第四次经济普查重新核定后社消总额由309871万元修订为465518万元)</w:t>
      </w:r>
    </w:p>
    <w:p w14:paraId="0C9F9413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2021年实际利用外资19468万美元，增长7.48%；外贸出口（出口值）   36.93亿元，比上年增长46%,全年进口额66.54亿元，较去年同期增长109%；全年进出口总额103.47亿元，较去年同期增长81%。</w:t>
      </w:r>
    </w:p>
    <w:p w14:paraId="61004B6E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全年引进市外2000万元以上项目42个，亿元以上项目35个、合同总投资148亿元。当年进资（含续建项目）183.96亿元，增长8.89%。</w:t>
      </w:r>
    </w:p>
    <w:p w14:paraId="635AB372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FF0000"/>
          <w:sz w:val="25"/>
          <w:szCs w:val="25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2021年我县旅游接待人数累计为628.2万人次，较2020年增长94.13%，旅游综合收入51.74亿元，较2020年增长141.43%。全年规模以上服务业实现营业收入完成142563万元，增长33.6%。</w:t>
      </w:r>
    </w:p>
    <w:p w14:paraId="29A2F940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六、财政和金融业</w:t>
      </w:r>
    </w:p>
    <w:p w14:paraId="6C40E81C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 xml:space="preserve">全年财政总收入466585万元，比上年增长24.1%，其中各项税收收入410091万元，增长29.1%。全年地方一般预算收入214638万元，增长3.9%，其中增值税82882万元，下降4.6%；企业所得税34020万元，增长37.1%；个人所得税3622万元，增长40.0%。财政总收入占生产总值的比重为16.5%；税收收入占财政总收入的比重达到87.9%，增长3.4个百分点。全年财政支出377266万元，增长10.0%，其中农林水事务支出58276万元，增长29.3%，科教文卫体等支出105188万元，下降6.2%。　</w:t>
      </w:r>
    </w:p>
    <w:p w14:paraId="11156E8A" w14:textId="77777777" w:rsidR="0021365E" w:rsidRDefault="00000000">
      <w:pPr>
        <w:pStyle w:val="a3"/>
        <w:widowControl/>
        <w:spacing w:beforeAutospacing="0" w:afterAutospacing="0" w:line="480" w:lineRule="atLeast"/>
        <w:jc w:val="center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仿宋_GB2312" w:eastAsia="仿宋_GB2312" w:cs="宋体"/>
          <w:sz w:val="21"/>
          <w:szCs w:val="21"/>
        </w:rPr>
        <w:object w:dxaOrig="7582" w:dyaOrig="4822" w14:anchorId="20966C86">
          <v:shape id="_x0000_i1030" type="#_x0000_t75" style="width:378.75pt;height:240.75pt" o:ole="">
            <v:imagedata r:id="rId14" o:title=""/>
          </v:shape>
          <o:OLEObject Type="Embed" ProgID="MSGraph.Chart.8" ShapeID="_x0000_i1030" DrawAspect="Content" ObjectID="_1811925937" r:id="rId15"/>
        </w:object>
      </w:r>
    </w:p>
    <w:p w14:paraId="7E3E5B0D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年末全县金融机构各项存款余额205.5亿元，比上年末增加7.91亿元。其中，住户存款122.42亿元，增加11.16亿元，非金融企业存款48.65亿元，增加3.95亿元，广义政府存款34.4亿元，增加-7.2亿元。金融机构各项贷款余额为161.71亿元，增加20.01亿元。其中，住户贷款52.61亿元，增加5.28亿元；非金融企业及机关团体贷款109.08亿元，增加14.73亿元。</w:t>
      </w:r>
    </w:p>
    <w:p w14:paraId="39380765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七、社会事业</w:t>
      </w:r>
    </w:p>
    <w:p w14:paraId="35808954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>全县普通高中招生1799人，在校学生5613人，毕业生1906人。初中招生2989人，在校学生9309人，毕业生3533人。普通小学招生2534人，在校学生16747人，毕业生3129人。初中阶段适龄人口入学率和小学学龄儿童入学率均达到100%。学前教育幼儿数7798人，入园人数2574人，离园2745人。</w:t>
      </w:r>
    </w:p>
    <w:p w14:paraId="1F213AFA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年末有各类医疗卫生机构180个，其中医院3个、卫生院13个、村卫生室132个，诊所26个,门诊部1个，专业公共卫生机构5个。全县卫生人员共1840人，其中：执业医师和执业助理医师512人，注册护士546人，药师91人，技师114人。全县卫生机构共有床位1170张。</w:t>
      </w:r>
    </w:p>
    <w:p w14:paraId="58E04C08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黑体" w:eastAsia="黑体" w:hAnsi="黑体" w:cs="黑体"/>
          <w:color w:val="000000" w:themeColor="text1"/>
          <w:sz w:val="25"/>
          <w:szCs w:val="25"/>
        </w:rPr>
      </w:pPr>
      <w:r>
        <w:rPr>
          <w:rFonts w:ascii="黑体" w:eastAsia="黑体" w:hAnsi="黑体" w:cs="黑体" w:hint="eastAsia"/>
          <w:color w:val="000000" w:themeColor="text1"/>
          <w:sz w:val="25"/>
          <w:szCs w:val="25"/>
        </w:rPr>
        <w:t>八、人口、人民生活和社会保障</w:t>
      </w:r>
    </w:p>
    <w:p w14:paraId="2FD1A620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FF0000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年末全县户籍人口为289065人；其中城镇人口95025人，乡村人口194040人。根据2021年湖口县人口变动抽样调查数据推算，湖口县2021年末常住人口222197人，较2020年第七次全国人口普查相比人口减少5265人，下降2.3%。其中，城镇常住人口122827人，农村常住人口99370人，城镇化率达到55.28%。全年出生人数2065人，人口出生率6.12‰，死亡人数1076人，死亡率2.98‰，自然增长率3.14‰。出生人口性别比为120.38。</w:t>
      </w:r>
    </w:p>
    <w:p w14:paraId="18DEDD96" w14:textId="77777777" w:rsidR="0021365E" w:rsidRDefault="00000000">
      <w:pPr>
        <w:pStyle w:val="a3"/>
        <w:widowControl/>
        <w:spacing w:beforeAutospacing="0" w:afterAutospacing="0" w:line="480" w:lineRule="atLeast"/>
        <w:ind w:firstLineChars="200"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新增城镇就业人数：2926人，完成计划任务数2650人的129.7%；城镇就业率99.2%，困难群体就业297人，完成任务数200人的148.5%；新增转移农村劳动力4150人，完成任务数3600人的115.2%；高校毕业生及失业青年见习人数103人，完成任务数70人的148%；零就业家庭安置率100%，城镇失业再就业人数835人，完成任务数830人的100.6%；城镇登记失业率为2.52%以内；培训全县完成职业培训人数6273人，占全年任务5000人的</w:t>
      </w: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 xml:space="preserve">125.4%，开展职业技能提升培训2984人，占年计划 1700人的175.5%。向200家企业拨付稳岗补贴183.71万元，惠及人数14949人。发放创业贷款总额9497万元，其中个贷7587万元364人，小微企业6家贷款1910万元。  </w:t>
      </w:r>
    </w:p>
    <w:p w14:paraId="38E793AB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城镇居民全年人均可支配收入42890元，比上年增加2881元，增长7.2%，城镇居民人均生活消费支出22434元，增长10.4%。年末城镇居民人均拥有住房面积43平方米。农村居民全年人均可支配收入20362元，比上年增加1704元，增长9.1%;农村居民人均生活消费支出16768元，增长13.7%。年末农村居民人均拥有住房面积43平方米。</w:t>
      </w:r>
    </w:p>
    <w:p w14:paraId="2718C83C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>全县城乡居民基本养老保险参保134136人，机关事业单位养老保险参保8870人，企业职工养老保险参保58552人，工伤保险参保28479人，失业保险参保20227人。参加基本医疗保险年末人数为257883人。其中：参加城乡居民医疗保险人数220503人，参加职工基本医疗保险人数37380人。全县城乡居民住院 40785 人次，统筹支付 23273.60万元。全县共有895户1437名城镇居民得到政府最低生活保障，4480户7421名农村居民得到政府最低生活保障。农村特困人员救助供养1071人，其中集中供养327人，分散供养744人；城镇特困人员救助供养66人。实施临时救助794人次，发放资金172.9万元。全县养老机构共13家，拥有床位2228张，年末在院人员506人，其中特困集中供养339人、社会托养167人（不含民办石钟情养老城）。</w:t>
      </w:r>
    </w:p>
    <w:p w14:paraId="7CC679B7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注1.　　　　本公报中数据均为初步统计数。</w:t>
      </w:r>
    </w:p>
    <w:p w14:paraId="65384C1A" w14:textId="77777777" w:rsidR="0021365E" w:rsidRDefault="00000000">
      <w:pPr>
        <w:pStyle w:val="a3"/>
        <w:widowControl/>
        <w:spacing w:beforeAutospacing="0" w:afterAutospacing="0" w:line="480" w:lineRule="atLeast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t xml:space="preserve">　　注2.　　　　地区生产总值、各产业增加值绝对数按现价计算，增长速度按不变价格计算。部分年度增加值增加研发支出有略微变动。</w:t>
      </w:r>
    </w:p>
    <w:p w14:paraId="3BCC6D91" w14:textId="77777777" w:rsidR="0021365E" w:rsidRDefault="00000000">
      <w:pPr>
        <w:pStyle w:val="a3"/>
        <w:widowControl/>
        <w:spacing w:beforeAutospacing="0" w:afterAutospacing="0" w:line="480" w:lineRule="atLeast"/>
        <w:ind w:firstLine="500"/>
        <w:rPr>
          <w:rFonts w:ascii="宋体" w:eastAsia="宋体" w:hAnsi="宋体" w:cs="宋体"/>
          <w:color w:val="000000" w:themeColor="text1"/>
          <w:sz w:val="25"/>
          <w:szCs w:val="25"/>
        </w:rPr>
      </w:pPr>
      <w:r>
        <w:rPr>
          <w:rFonts w:ascii="宋体" w:eastAsia="宋体" w:hAnsi="宋体" w:cs="宋体" w:hint="eastAsia"/>
          <w:color w:val="000000" w:themeColor="text1"/>
          <w:sz w:val="25"/>
          <w:szCs w:val="25"/>
        </w:rPr>
        <w:lastRenderedPageBreak/>
        <w:t>注3.　　　　部分数据因四舍五入的原因，存在着与分项合计不等的情况。</w:t>
      </w:r>
    </w:p>
    <w:p w14:paraId="2C9431A3" w14:textId="77777777" w:rsidR="0021365E" w:rsidRDefault="0021365E">
      <w:pPr>
        <w:pStyle w:val="a3"/>
        <w:widowControl/>
        <w:spacing w:beforeAutospacing="0" w:afterAutospacing="0" w:line="510" w:lineRule="atLeast"/>
        <w:ind w:firstLine="500"/>
        <w:rPr>
          <w:rFonts w:ascii="宋体" w:eastAsia="宋体" w:hAnsi="宋体" w:cs="宋体"/>
          <w:color w:val="FF0000"/>
          <w:sz w:val="25"/>
          <w:szCs w:val="25"/>
        </w:rPr>
      </w:pPr>
    </w:p>
    <w:sectPr w:rsidR="0021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0BE"/>
    <w:rsid w:val="0021365E"/>
    <w:rsid w:val="002457A9"/>
    <w:rsid w:val="00386F11"/>
    <w:rsid w:val="00562533"/>
    <w:rsid w:val="0066433F"/>
    <w:rsid w:val="006920BE"/>
    <w:rsid w:val="006E4110"/>
    <w:rsid w:val="00751640"/>
    <w:rsid w:val="008A7212"/>
    <w:rsid w:val="00C334F1"/>
    <w:rsid w:val="00CC61D8"/>
    <w:rsid w:val="00D26FEA"/>
    <w:rsid w:val="00DF78B8"/>
    <w:rsid w:val="00FE0E12"/>
    <w:rsid w:val="01523893"/>
    <w:rsid w:val="02171942"/>
    <w:rsid w:val="036A6FE0"/>
    <w:rsid w:val="03CE4375"/>
    <w:rsid w:val="03EF2773"/>
    <w:rsid w:val="05163CDE"/>
    <w:rsid w:val="089900FE"/>
    <w:rsid w:val="08D86739"/>
    <w:rsid w:val="097D27E8"/>
    <w:rsid w:val="0A766F1C"/>
    <w:rsid w:val="0BB635DC"/>
    <w:rsid w:val="0C691F46"/>
    <w:rsid w:val="0CF50134"/>
    <w:rsid w:val="0F282B96"/>
    <w:rsid w:val="0F66739C"/>
    <w:rsid w:val="0F8504D4"/>
    <w:rsid w:val="0FFC5A30"/>
    <w:rsid w:val="111F6D5B"/>
    <w:rsid w:val="1131451D"/>
    <w:rsid w:val="12030629"/>
    <w:rsid w:val="127934E7"/>
    <w:rsid w:val="12B22F82"/>
    <w:rsid w:val="145B75E5"/>
    <w:rsid w:val="160D155A"/>
    <w:rsid w:val="16866CB5"/>
    <w:rsid w:val="169707E8"/>
    <w:rsid w:val="17C3036E"/>
    <w:rsid w:val="188117D4"/>
    <w:rsid w:val="18AC41A5"/>
    <w:rsid w:val="1AD27947"/>
    <w:rsid w:val="1B4E427D"/>
    <w:rsid w:val="1C3B6028"/>
    <w:rsid w:val="1C3F6764"/>
    <w:rsid w:val="1CB560EE"/>
    <w:rsid w:val="1CDA698D"/>
    <w:rsid w:val="1D082B2E"/>
    <w:rsid w:val="1E9C54EC"/>
    <w:rsid w:val="1EC10ED8"/>
    <w:rsid w:val="1FCD2014"/>
    <w:rsid w:val="20EE14FC"/>
    <w:rsid w:val="21140958"/>
    <w:rsid w:val="2149267D"/>
    <w:rsid w:val="216C33A2"/>
    <w:rsid w:val="21A07F21"/>
    <w:rsid w:val="21A4598F"/>
    <w:rsid w:val="21A470DC"/>
    <w:rsid w:val="21A816AF"/>
    <w:rsid w:val="225369A4"/>
    <w:rsid w:val="22BE4F7D"/>
    <w:rsid w:val="22FE764E"/>
    <w:rsid w:val="23A051F1"/>
    <w:rsid w:val="23A4601F"/>
    <w:rsid w:val="24961910"/>
    <w:rsid w:val="25654FDF"/>
    <w:rsid w:val="256D6D7F"/>
    <w:rsid w:val="26BE7B11"/>
    <w:rsid w:val="26CF66A0"/>
    <w:rsid w:val="28423755"/>
    <w:rsid w:val="28C37E13"/>
    <w:rsid w:val="292834FB"/>
    <w:rsid w:val="29CA707C"/>
    <w:rsid w:val="2AD2172B"/>
    <w:rsid w:val="2B607E88"/>
    <w:rsid w:val="2C603119"/>
    <w:rsid w:val="2D847DAA"/>
    <w:rsid w:val="2DD64B9A"/>
    <w:rsid w:val="2E4501C6"/>
    <w:rsid w:val="2E706ECE"/>
    <w:rsid w:val="2E8C2741"/>
    <w:rsid w:val="2EA84EDF"/>
    <w:rsid w:val="2F215572"/>
    <w:rsid w:val="2FDD5543"/>
    <w:rsid w:val="305A1716"/>
    <w:rsid w:val="30D40B39"/>
    <w:rsid w:val="31003E4E"/>
    <w:rsid w:val="310D072D"/>
    <w:rsid w:val="314A4D56"/>
    <w:rsid w:val="31941D73"/>
    <w:rsid w:val="31B25AE1"/>
    <w:rsid w:val="32165557"/>
    <w:rsid w:val="326D51EF"/>
    <w:rsid w:val="33283EDC"/>
    <w:rsid w:val="336521EC"/>
    <w:rsid w:val="338424D8"/>
    <w:rsid w:val="33A11ABC"/>
    <w:rsid w:val="33E37433"/>
    <w:rsid w:val="3439591A"/>
    <w:rsid w:val="345F4E9A"/>
    <w:rsid w:val="34A57B41"/>
    <w:rsid w:val="35976106"/>
    <w:rsid w:val="367F4E17"/>
    <w:rsid w:val="369B2401"/>
    <w:rsid w:val="37505871"/>
    <w:rsid w:val="38454C18"/>
    <w:rsid w:val="385C00AD"/>
    <w:rsid w:val="388D5984"/>
    <w:rsid w:val="3A074368"/>
    <w:rsid w:val="3AF11557"/>
    <w:rsid w:val="3C28661B"/>
    <w:rsid w:val="3EE76A8D"/>
    <w:rsid w:val="3F540DE4"/>
    <w:rsid w:val="3FDF6A5E"/>
    <w:rsid w:val="3FFB6DD7"/>
    <w:rsid w:val="3FFD377D"/>
    <w:rsid w:val="40CE5A7B"/>
    <w:rsid w:val="412F6415"/>
    <w:rsid w:val="42546AFC"/>
    <w:rsid w:val="43693BB1"/>
    <w:rsid w:val="43F70643"/>
    <w:rsid w:val="444A7F0D"/>
    <w:rsid w:val="4496751C"/>
    <w:rsid w:val="44E42D36"/>
    <w:rsid w:val="45183829"/>
    <w:rsid w:val="45585B89"/>
    <w:rsid w:val="45AE376C"/>
    <w:rsid w:val="46704AEE"/>
    <w:rsid w:val="46C02F31"/>
    <w:rsid w:val="482F6C04"/>
    <w:rsid w:val="489F79E6"/>
    <w:rsid w:val="48F41BF7"/>
    <w:rsid w:val="49664255"/>
    <w:rsid w:val="49E64EA9"/>
    <w:rsid w:val="4A2E1CFA"/>
    <w:rsid w:val="4A537008"/>
    <w:rsid w:val="4B012D7A"/>
    <w:rsid w:val="4B2A4D82"/>
    <w:rsid w:val="4B2B0188"/>
    <w:rsid w:val="4D173030"/>
    <w:rsid w:val="4D2646C2"/>
    <w:rsid w:val="4D2B588F"/>
    <w:rsid w:val="4E2D09A2"/>
    <w:rsid w:val="4F3B2DFF"/>
    <w:rsid w:val="4F731879"/>
    <w:rsid w:val="4F9A7446"/>
    <w:rsid w:val="5022023D"/>
    <w:rsid w:val="50456443"/>
    <w:rsid w:val="505A0016"/>
    <w:rsid w:val="50F735CE"/>
    <w:rsid w:val="514E0ACB"/>
    <w:rsid w:val="5150570D"/>
    <w:rsid w:val="518F15C4"/>
    <w:rsid w:val="522755EB"/>
    <w:rsid w:val="525F17E0"/>
    <w:rsid w:val="54D91177"/>
    <w:rsid w:val="55051B11"/>
    <w:rsid w:val="557A33B0"/>
    <w:rsid w:val="5612672A"/>
    <w:rsid w:val="56DC5A7E"/>
    <w:rsid w:val="5704400F"/>
    <w:rsid w:val="59250F86"/>
    <w:rsid w:val="59897464"/>
    <w:rsid w:val="59A97328"/>
    <w:rsid w:val="5A404725"/>
    <w:rsid w:val="5A8311ED"/>
    <w:rsid w:val="5A91575C"/>
    <w:rsid w:val="5AAA11EA"/>
    <w:rsid w:val="5B5D4760"/>
    <w:rsid w:val="5BD634C3"/>
    <w:rsid w:val="5D32307F"/>
    <w:rsid w:val="5D3A2DD5"/>
    <w:rsid w:val="5D607D82"/>
    <w:rsid w:val="5E011121"/>
    <w:rsid w:val="5E0217CB"/>
    <w:rsid w:val="5E097458"/>
    <w:rsid w:val="5E147D04"/>
    <w:rsid w:val="5E8C610B"/>
    <w:rsid w:val="5FB5593A"/>
    <w:rsid w:val="600728A4"/>
    <w:rsid w:val="61BC62EB"/>
    <w:rsid w:val="63016CDE"/>
    <w:rsid w:val="649457E5"/>
    <w:rsid w:val="64AD7F5A"/>
    <w:rsid w:val="65FE311E"/>
    <w:rsid w:val="66767E3B"/>
    <w:rsid w:val="68302DD4"/>
    <w:rsid w:val="68E4464A"/>
    <w:rsid w:val="6A0206BE"/>
    <w:rsid w:val="6A605A46"/>
    <w:rsid w:val="6AE82E8A"/>
    <w:rsid w:val="6AF72699"/>
    <w:rsid w:val="6B665ADE"/>
    <w:rsid w:val="6C2E7228"/>
    <w:rsid w:val="6C5211DA"/>
    <w:rsid w:val="6C9940F1"/>
    <w:rsid w:val="6D0D397F"/>
    <w:rsid w:val="6E7819E2"/>
    <w:rsid w:val="6ED17499"/>
    <w:rsid w:val="6EDD0DA6"/>
    <w:rsid w:val="703B3482"/>
    <w:rsid w:val="70550B3E"/>
    <w:rsid w:val="70CF2E85"/>
    <w:rsid w:val="70D93D75"/>
    <w:rsid w:val="70F86F75"/>
    <w:rsid w:val="713565B5"/>
    <w:rsid w:val="71846B44"/>
    <w:rsid w:val="71940B2D"/>
    <w:rsid w:val="71DC2BBA"/>
    <w:rsid w:val="72F524A5"/>
    <w:rsid w:val="73AF0DE6"/>
    <w:rsid w:val="73CB74B8"/>
    <w:rsid w:val="7411637D"/>
    <w:rsid w:val="79350635"/>
    <w:rsid w:val="7A2F5066"/>
    <w:rsid w:val="7D7C54B4"/>
    <w:rsid w:val="7DD34375"/>
    <w:rsid w:val="7DDC5493"/>
    <w:rsid w:val="7E8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771AD"/>
  <w15:docId w15:val="{12D446EA-EC3D-46A4-9D5C-F49A05CE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555555"/>
      <w:u w:val="none"/>
    </w:rPr>
  </w:style>
  <w:style w:type="character" w:styleId="a5">
    <w:name w:val="Hyperlink"/>
    <w:basedOn w:val="a0"/>
    <w:qFormat/>
    <w:rPr>
      <w:color w:val="55555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9</Pages>
  <Words>650</Words>
  <Characters>3708</Characters>
  <Application>Microsoft Office Word</Application>
  <DocSecurity>0</DocSecurity>
  <Lines>30</Lines>
  <Paragraphs>8</Paragraphs>
  <ScaleCrop>false</ScaleCrop>
  <Company>微软中国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恒 蔡</cp:lastModifiedBy>
  <cp:revision>11</cp:revision>
  <cp:lastPrinted>2022-04-24T07:56:00Z</cp:lastPrinted>
  <dcterms:created xsi:type="dcterms:W3CDTF">2014-10-29T12:08:00Z</dcterms:created>
  <dcterms:modified xsi:type="dcterms:W3CDTF">2025-06-20T03:59:00Z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D22072468B80420B9DF8C99447D6FF32</vt:lpwstr>
  </property>
  <property fmtid="{D5CDD505-2E9C-101B-9397-08002B2CF9AE}" pid="4" name="commondata">
    <vt:lpwstr>eyJoZGlkIjoiMzQ3OWUyNWM1MjQwZTJiODAyN2JkMjRiNmVkYzAwYzkifQ==</vt:lpwstr>
  </property>
</Properties>
</file>