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F5FB7">
      <w:pPr>
        <w:widowControl/>
        <w:spacing w:line="640" w:lineRule="exact"/>
        <w:jc w:val="center"/>
        <w:rPr>
          <w:rFonts w:hint="eastAsia" w:ascii="楷体" w:hAnsi="楷体" w:eastAsia="楷体" w:cs="Times New Roman"/>
          <w:sz w:val="36"/>
          <w:szCs w:val="36"/>
        </w:rPr>
      </w:pPr>
    </w:p>
    <w:p w14:paraId="2FBFB502">
      <w:pPr>
        <w:widowControl/>
        <w:spacing w:line="640" w:lineRule="exact"/>
        <w:jc w:val="center"/>
        <w:rPr>
          <w:rFonts w:hint="eastAsia" w:ascii="楷体" w:hAnsi="楷体" w:eastAsia="楷体" w:cs="Times New Roman"/>
          <w:sz w:val="36"/>
          <w:szCs w:val="36"/>
        </w:rPr>
      </w:pPr>
      <w:r>
        <w:rPr>
          <w:rFonts w:hint="eastAsia" w:ascii="楷体" w:hAnsi="楷体" w:eastAsia="楷体" w:cs="Times New Roman"/>
          <w:sz w:val="36"/>
          <w:szCs w:val="36"/>
        </w:rPr>
        <w:t>九湖环评〔2025〕XX号</w:t>
      </w:r>
    </w:p>
    <w:p w14:paraId="7C065F57">
      <w:pPr>
        <w:widowControl/>
        <w:spacing w:line="640" w:lineRule="exact"/>
        <w:jc w:val="center"/>
        <w:rPr>
          <w:rFonts w:hint="eastAsia" w:ascii="楷体" w:hAnsi="楷体" w:eastAsia="楷体" w:cs="Times New Roman"/>
          <w:sz w:val="36"/>
          <w:szCs w:val="36"/>
        </w:rPr>
      </w:pPr>
    </w:p>
    <w:p w14:paraId="16922AA9">
      <w:pPr>
        <w:widowControl/>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关于《九江一德粮油有限公司天然气锅炉项目环境影响报告表》的批复</w:t>
      </w:r>
    </w:p>
    <w:p w14:paraId="5A0AB696">
      <w:pPr>
        <w:pStyle w:val="2"/>
        <w:spacing w:line="360" w:lineRule="auto"/>
        <w:ind w:firstLine="720" w:firstLineChars="200"/>
        <w:jc w:val="center"/>
        <w:rPr>
          <w:rFonts w:hint="eastAsia" w:ascii="楷体" w:hAnsi="楷体" w:eastAsia="楷体" w:cs="Times New Roman"/>
          <w:sz w:val="36"/>
          <w:szCs w:val="36"/>
        </w:rPr>
      </w:pPr>
    </w:p>
    <w:p w14:paraId="1A9922A2">
      <w:pPr>
        <w:widowControl/>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九江一德粮油有限公司：</w:t>
      </w:r>
    </w:p>
    <w:p w14:paraId="4F5D1C9E">
      <w:pPr>
        <w:widowControl/>
        <w:spacing w:line="580" w:lineRule="exact"/>
        <w:ind w:firstLine="640" w:firstLineChars="200"/>
        <w:rPr>
          <w:rFonts w:hint="eastAsia"/>
        </w:rPr>
      </w:pPr>
      <w:r>
        <w:rPr>
          <w:rFonts w:hint="eastAsia" w:ascii="仿宋_GB2312" w:hAnsi="仿宋_GB2312" w:eastAsia="仿宋_GB2312" w:cs="仿宋_GB2312"/>
          <w:sz w:val="32"/>
          <w:szCs w:val="32"/>
        </w:rPr>
        <w:t>你单位报送的《九江一德粮油有限公司天然气锅炉项目环境影响报告表》（以下简称《报告表》）收悉。经</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，现批复如下：</w:t>
      </w:r>
    </w:p>
    <w:p w14:paraId="01D7743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一、项目基本情况及批复意见</w:t>
      </w:r>
    </w:p>
    <w:p w14:paraId="1D0652A7">
      <w:pPr>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（一）项目基本情况</w:t>
      </w:r>
    </w:p>
    <w:p w14:paraId="28426BF4">
      <w:pPr>
        <w:ind w:firstLine="640" w:firstLineChars="200"/>
        <w:rPr>
          <w:rFonts w:hint="eastAsia"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选址位于湖口高新技术产业园银砂湾园区，地理中心坐标E116°23'4.998"，N29°50'36.239"。项目属扩建工程，建设内容包括：新建锅炉房480m²，配套燃气管道、软水处理设施等，其余依托现有供水、供电及污水处理设施。项目建成后年用天然气87万m³，年供蒸汽1.2万吨。</w:t>
      </w:r>
    </w:p>
    <w:p w14:paraId="0E28E35B">
      <w:pPr>
        <w:numPr>
          <w:ilvl w:val="0"/>
          <w:numId w:val="0"/>
        </w:numPr>
        <w:ind w:firstLine="643" w:firstLineChars="200"/>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（二）项目批复意见</w:t>
      </w:r>
    </w:p>
    <w:p w14:paraId="37AC1F82">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kern w:val="2"/>
          <w:sz w:val="32"/>
          <w:szCs w:val="32"/>
          <w:lang w:val="en-US" w:eastAsia="zh-CN" w:bidi="ar-SA"/>
        </w:rPr>
        <w:t>根据</w:t>
      </w:r>
      <w:r>
        <w:rPr>
          <w:rFonts w:hint="eastAsia" w:ascii="仿宋_GB2312" w:hAnsi="仿宋_GB2312" w:eastAsia="仿宋_GB2312" w:cs="仿宋_GB2312"/>
          <w:color w:val="auto"/>
          <w:sz w:val="32"/>
          <w:szCs w:val="32"/>
        </w:rPr>
        <w:t>“项目选址可行，总平面布置合理，环保措施可行，项目建设可行”</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kern w:val="2"/>
          <w:sz w:val="32"/>
          <w:szCs w:val="32"/>
          <w:lang w:val="en-US" w:eastAsia="zh-CN" w:bidi="ar-SA"/>
        </w:rPr>
        <w:t>《报告表》结论及专家评审意见，在全面落实</w:t>
      </w:r>
      <w:r>
        <w:rPr>
          <w:rFonts w:hint="eastAsia" w:ascii="仿宋_GB2312" w:hAnsi="仿宋_GB2312" w:eastAsia="仿宋_GB2312" w:cs="仿宋_GB2312"/>
          <w:color w:val="auto"/>
          <w:sz w:val="32"/>
          <w:szCs w:val="32"/>
        </w:rPr>
        <w:t>《报告表》提出的</w:t>
      </w:r>
      <w:r>
        <w:rPr>
          <w:rFonts w:hint="eastAsia" w:ascii="仿宋_GB2312" w:hAnsi="仿宋_GB2312" w:eastAsia="仿宋_GB2312" w:cs="仿宋_GB2312"/>
          <w:color w:val="auto"/>
          <w:sz w:val="32"/>
          <w:szCs w:val="32"/>
          <w:lang w:val="en-US" w:eastAsia="zh-CN"/>
        </w:rPr>
        <w:t>各项</w:t>
      </w:r>
      <w:r>
        <w:rPr>
          <w:rFonts w:hint="eastAsia" w:ascii="仿宋_GB2312" w:hAnsi="仿宋_GB2312" w:eastAsia="仿宋_GB2312" w:cs="仿宋_GB2312"/>
          <w:kern w:val="2"/>
          <w:sz w:val="32"/>
          <w:szCs w:val="32"/>
          <w:lang w:val="en-US" w:eastAsia="zh-CN" w:bidi="ar-SA"/>
        </w:rPr>
        <w:t>污染防治措施的前提下，我局原则同意项目按照《报告表》</w:t>
      </w:r>
      <w:r>
        <w:rPr>
          <w:rFonts w:hint="eastAsia" w:ascii="仿宋_GB2312" w:hAnsi="仿宋_GB2312" w:eastAsia="仿宋_GB2312" w:cs="仿宋_GB2312"/>
          <w:color w:val="auto"/>
          <w:sz w:val="32"/>
          <w:szCs w:val="32"/>
        </w:rPr>
        <w:t>中所列建设项目组成、规模、总平面及施工布置、施工方式、施工时序、运行方式等进行建设。</w:t>
      </w:r>
    </w:p>
    <w:p w14:paraId="7A84CDA9">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二、项目建设运营过程中必须认真落实《报告表》中提出的各项环保措施和要求</w:t>
      </w:r>
    </w:p>
    <w:p w14:paraId="3B917806">
      <w:pPr>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（一）施工期污染防治措施</w:t>
      </w:r>
    </w:p>
    <w:p w14:paraId="201224A3">
      <w:pPr>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项目施工期严格执行“八个百分百”工作标准，全面落实施工现场扬尘治理要求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废水经隔油、沉淀处理达标后上清液作为施工现场抑尘用水加以利用，生活污水依托本项目厂区现有的排水设施；施工期噪声主要通过选用低噪声设备及工艺，合理布局施工设施、合理安排施工过程、采取消声减振措施等方式减轻对周围环境带来的影响;工程中产生的弃土大部分用于回填地基，剩余部分用于厂区沟坑的填埋及厂区的平整，建筑垃圾送市政部门指定地点堆存，生活垃圾收集后统一交环卫部门处理。</w:t>
      </w:r>
    </w:p>
    <w:p w14:paraId="31B05A89">
      <w:pPr>
        <w:numPr>
          <w:ilvl w:val="0"/>
          <w:numId w:val="1"/>
        </w:numPr>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运营期废气防治措施</w:t>
      </w:r>
    </w:p>
    <w:p w14:paraId="55EF7B98">
      <w:pPr>
        <w:numPr>
          <w:ilvl w:val="0"/>
          <w:numId w:val="0"/>
        </w:num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运营期废气主要是锅炉燃烧废气（SO₂、NOx、颗粒物）。本项目采用低氮燃烧技术，燃烧废气经10m高排气筒（DA025）排放。项目有组织废气执行《锅炉大气污染物排放标准》（GB13271-2014）表2中燃气锅炉相应污染物的排放限值。</w:t>
      </w:r>
    </w:p>
    <w:p w14:paraId="5D0ED8C3">
      <w:pPr>
        <w:widowControl/>
        <w:numPr>
          <w:ilvl w:val="0"/>
          <w:numId w:val="1"/>
        </w:numPr>
        <w:spacing w:line="580" w:lineRule="exact"/>
        <w:ind w:left="0" w:leftChars="0"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运营期废水防治措施</w:t>
      </w:r>
    </w:p>
    <w:p w14:paraId="4CCE6198">
      <w:pPr>
        <w:widowControl/>
        <w:numPr>
          <w:ilvl w:val="0"/>
          <w:numId w:val="0"/>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运营期废水主要为锅炉废水（锅炉排放污水及软化处理废水）。经厂内现有污水处理站（处理工艺：隔油+两级气浮装置+UASB反应池+A/O反应池+二沉池+BAF反应池+终沉池，处理能力720t/d）处理达到园区污水处理厂纳管标准要求后，</w:t>
      </w:r>
      <w:r>
        <w:rPr>
          <w:rFonts w:hint="eastAsia" w:eastAsia="仿宋_GB2312"/>
          <w:bCs/>
          <w:sz w:val="32"/>
          <w:szCs w:val="32"/>
        </w:rPr>
        <w:t>排入园区污水处理厂处理</w:t>
      </w:r>
      <w:r>
        <w:rPr>
          <w:rFonts w:hint="eastAsia" w:ascii="仿宋_GB2312" w:hAnsi="仿宋_GB2312" w:eastAsia="仿宋_GB2312" w:cs="仿宋_GB2312"/>
          <w:kern w:val="2"/>
          <w:sz w:val="32"/>
          <w:szCs w:val="32"/>
          <w:lang w:val="en-US" w:eastAsia="zh-CN" w:bidi="ar-SA"/>
        </w:rPr>
        <w:t>。</w:t>
      </w:r>
    </w:p>
    <w:p w14:paraId="6481D45E">
      <w:pPr>
        <w:widowControl/>
        <w:numPr>
          <w:ilvl w:val="0"/>
          <w:numId w:val="1"/>
        </w:numPr>
        <w:spacing w:line="580" w:lineRule="exact"/>
        <w:ind w:left="0" w:leftChars="0"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运营期噪声防治措施</w:t>
      </w:r>
    </w:p>
    <w:p w14:paraId="42BBC454">
      <w:pPr>
        <w:widowControl/>
        <w:numPr>
          <w:ilvl w:val="0"/>
          <w:numId w:val="0"/>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运营期噪声主要为水泵、锅炉等设备运行时产生的噪声。通过选用低噪声高性能的设备、安装设备时采取减振隔振措施、加强设备维护保养等措施控制项目生产设备噪声对周边环境的影响。在厂界处合理布设噪声实时检测设备并做好相关台账记录。厂界噪声执行《工业企业厂界环境噪声排放标准》（GB12348-2008）3类标准。</w:t>
      </w:r>
    </w:p>
    <w:p w14:paraId="4391F4A2">
      <w:pPr>
        <w:widowControl/>
        <w:numPr>
          <w:ilvl w:val="0"/>
          <w:numId w:val="1"/>
        </w:numPr>
        <w:spacing w:line="580" w:lineRule="exact"/>
        <w:ind w:left="0" w:leftChars="0"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运营期固体废物处置措施</w:t>
      </w:r>
    </w:p>
    <w:p w14:paraId="56E9B6A0">
      <w:pPr>
        <w:widowControl/>
        <w:numPr>
          <w:ilvl w:val="0"/>
          <w:numId w:val="0"/>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eastAsia="仿宋_GB2312" w:cs="仿宋_GB2312"/>
          <w:bCs/>
          <w:sz w:val="32"/>
          <w:szCs w:val="32"/>
        </w:rPr>
        <w:t>按照“减量化、资源化、无害化”原则，对固体废物进行分类收集、处理和处置，并确保不造成二次污染。</w:t>
      </w:r>
      <w:r>
        <w:rPr>
          <w:rFonts w:hint="eastAsia" w:ascii="仿宋_GB2312" w:hAnsi="仿宋_GB2312" w:eastAsia="仿宋_GB2312" w:cs="仿宋_GB2312"/>
          <w:kern w:val="2"/>
          <w:sz w:val="32"/>
          <w:szCs w:val="32"/>
          <w:lang w:val="en-US" w:eastAsia="zh-CN" w:bidi="ar-SA"/>
        </w:rPr>
        <w:t>项目运营期固体废物主要为软水制备产生的废树脂,经集中收集后外售综合利用。</w:t>
      </w:r>
    </w:p>
    <w:p w14:paraId="4C4EBC49">
      <w:pPr>
        <w:widowControl/>
        <w:numPr>
          <w:ilvl w:val="0"/>
          <w:numId w:val="1"/>
        </w:numPr>
        <w:spacing w:line="58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排污口规范化要求</w:t>
      </w:r>
    </w:p>
    <w:p w14:paraId="79BE15AD">
      <w:pPr>
        <w:widowControl/>
        <w:numPr>
          <w:ilvl w:val="0"/>
          <w:numId w:val="0"/>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项目废气和废水排放设施按国家有关规定要求设置永久监测采样口、设置规范的污染物排放口并设立标识牌。</w:t>
      </w:r>
    </w:p>
    <w:p w14:paraId="281A99BD">
      <w:pPr>
        <w:widowControl/>
        <w:numPr>
          <w:ilvl w:val="0"/>
          <w:numId w:val="1"/>
        </w:numPr>
        <w:spacing w:line="580" w:lineRule="exact"/>
        <w:ind w:left="0" w:leftChars="0"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环境信息公开要求</w:t>
      </w:r>
    </w:p>
    <w:p w14:paraId="4BB1EDFF">
      <w:pPr>
        <w:widowControl/>
        <w:numPr>
          <w:ilvl w:val="0"/>
          <w:numId w:val="0"/>
        </w:numPr>
        <w:spacing w:line="58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严格落实环境影响报告表中提出的环境监测计划，委托有资质监测单位定期开展项目污染源和周边环境敏感点环境质量监测，并按要求实施企业环境信息公开，接受社会监督。</w:t>
      </w:r>
    </w:p>
    <w:p w14:paraId="60BB548F">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项目竣工验收要求</w:t>
      </w:r>
    </w:p>
    <w:p w14:paraId="48ED3504">
      <w:pPr>
        <w:widowControl/>
        <w:spacing w:line="580" w:lineRule="exact"/>
        <w:ind w:left="319" w:leftChars="152" w:firstLine="659" w:firstLineChars="206"/>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你单位应严格落实企业主体责任，保证生态环境保护设施建设进度和资金，认真落实各项生态环境保护和风险防范措施，严格执行配套建设的环保设施与主体工程同时设计、同时施工、同时投产的环保“三同时”和排污许可制度，确保各项污染物排放满足国家、地方相关标准和要求。</w:t>
      </w:r>
    </w:p>
    <w:p w14:paraId="0AEBFD65">
      <w:pPr>
        <w:widowControl/>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项目配套的环保设备设施应落实安全生产要求，依法依规履行安全生产相关手续，报经相关职能部门审批同意后方可实施。有效防范因污染物事故排放或安全生产事故可能引发的环境风险，确保周边环境安全。</w:t>
      </w:r>
    </w:p>
    <w:p w14:paraId="296228B3">
      <w:pPr>
        <w:widowControl/>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（三）应按规定设置专门环保管理机构，安排专职环保管理人员，建立健全环保制度，加强运营期环境保护管理，杜绝环境污染事故。</w:t>
      </w:r>
    </w:p>
    <w:p w14:paraId="1E0365B8">
      <w:pPr>
        <w:widowControl/>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项目竣工后，你单位应按照有关规定对配套建设的环保设施进行验收，并依法向社会公开，未经验收或验收不合格不得投入使用。你单位在开展环保设施验收过程中应如实查验、监测、记载项目环境保护设施的建设和调试情况，不得弄虚作假。</w:t>
      </w:r>
    </w:p>
    <w:p w14:paraId="71B73514">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bookmarkStart w:id="0" w:name="_GoBack"/>
      <w:bookmarkEnd w:id="0"/>
      <w:r>
        <w:rPr>
          <w:rFonts w:hint="eastAsia" w:ascii="黑体" w:hAnsi="黑体" w:eastAsia="黑体" w:cs="黑体"/>
          <w:sz w:val="32"/>
          <w:szCs w:val="32"/>
        </w:rPr>
        <w:t>、其他环保要求</w:t>
      </w:r>
    </w:p>
    <w:p w14:paraId="23534FBF">
      <w:pPr>
        <w:widowControl/>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报告表》经批准后，项目的性质、规模、地点、采用的工艺或者污染防治、防止生态破坏、防范环境风险的措施发生重大变动的，或自批准之日起超过五年方开工建设，应按照法律法规的规定，重新办理报批（审核）手续。</w:t>
      </w:r>
    </w:p>
    <w:p w14:paraId="6B1417A8">
      <w:pPr>
        <w:widowControl/>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（二）你单位应当在启动生产设施或者发生实际排污行为之前，向审批部门申请取得排污许可证或者填报排污登记表。</w:t>
      </w:r>
    </w:p>
    <w:p w14:paraId="626DDE0D">
      <w:pPr>
        <w:widowControl/>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（三）你单位应对所提交材料的真实性负责，如存在瞒报、假报行为，须承担由此产生的一切后果。</w:t>
      </w:r>
    </w:p>
    <w:p w14:paraId="34BD0404">
      <w:pPr>
        <w:widowControl/>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（四）由县生态环境综合行政执法大队对项目实施环境保护“三同时”情况进行环境监管。</w:t>
      </w:r>
    </w:p>
    <w:p w14:paraId="0D9F254C">
      <w:pPr>
        <w:widowControl/>
        <w:spacing w:line="580" w:lineRule="exact"/>
        <w:ind w:firstLine="643"/>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（五）未尽事宜须符合国家和我省相关规范及要求。</w:t>
      </w:r>
    </w:p>
    <w:p w14:paraId="666065FD">
      <w:pPr>
        <w:widowControl/>
        <w:spacing w:line="580" w:lineRule="exact"/>
        <w:ind w:firstLine="643"/>
        <w:rPr>
          <w:rFonts w:hint="eastAsia" w:ascii="仿宋_GB2312" w:hAnsi="仿宋_GB2312" w:eastAsia="仿宋_GB2312" w:cs="仿宋_GB2312"/>
          <w:kern w:val="2"/>
          <w:sz w:val="32"/>
          <w:szCs w:val="32"/>
          <w:lang w:val="en-US" w:eastAsia="zh-CN" w:bidi="ar-SA"/>
        </w:rPr>
      </w:pPr>
    </w:p>
    <w:p w14:paraId="126068E0">
      <w:pPr>
        <w:widowControl/>
        <w:spacing w:line="580" w:lineRule="exact"/>
        <w:ind w:firstLine="643"/>
        <w:rPr>
          <w:rFonts w:hint="eastAsia" w:ascii="仿宋_GB2312" w:hAnsi="仿宋_GB2312" w:eastAsia="仿宋_GB2312" w:cs="仿宋_GB2312"/>
          <w:kern w:val="2"/>
          <w:sz w:val="32"/>
          <w:szCs w:val="32"/>
          <w:lang w:val="en-US" w:eastAsia="zh-CN" w:bidi="ar-SA"/>
        </w:rPr>
      </w:pPr>
    </w:p>
    <w:p w14:paraId="1A073A47">
      <w:pPr>
        <w:tabs>
          <w:tab w:val="left" w:pos="540"/>
        </w:tabs>
        <w:spacing w:line="58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九江市湖口生态环境局</w:t>
      </w:r>
    </w:p>
    <w:p w14:paraId="03C55C2A">
      <w:pPr>
        <w:tabs>
          <w:tab w:val="left" w:pos="540"/>
        </w:tabs>
        <w:spacing w:line="58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2025年</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月日</w:t>
      </w:r>
    </w:p>
    <w:p w14:paraId="1403B2D7">
      <w:pPr>
        <w:tabs>
          <w:tab w:val="left" w:pos="540"/>
        </w:tabs>
        <w:spacing w:line="58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（此件主动公开）</w:t>
      </w:r>
    </w:p>
    <w:p w14:paraId="3BFD97DA">
      <w:pPr>
        <w:tabs>
          <w:tab w:val="left" w:pos="540"/>
        </w:tabs>
        <w:spacing w:line="580" w:lineRule="exact"/>
        <w:rPr>
          <w:rFonts w:hint="eastAsia" w:ascii="仿宋_GB2312" w:hAnsi="仿宋_GB2312" w:eastAsia="仿宋_GB2312" w:cs="仿宋_GB2312"/>
          <w:kern w:val="0"/>
          <w:sz w:val="32"/>
          <w:szCs w:val="32"/>
        </w:rPr>
      </w:pPr>
    </w:p>
    <w:p w14:paraId="3C090941">
      <w:pPr>
        <w:tabs>
          <w:tab w:val="left" w:pos="540"/>
        </w:tabs>
        <w:spacing w:line="580" w:lineRule="exact"/>
        <w:rPr>
          <w:rFonts w:hint="eastAsia" w:ascii="仿宋_GB2312" w:hAnsi="仿宋_GB2312" w:eastAsia="仿宋_GB2312" w:cs="仿宋_GB2312"/>
          <w:kern w:val="0"/>
          <w:sz w:val="32"/>
          <w:szCs w:val="32"/>
        </w:rPr>
      </w:pPr>
    </w:p>
    <w:p w14:paraId="01BA3A04">
      <w:pPr>
        <w:tabs>
          <w:tab w:val="left" w:pos="540"/>
        </w:tabs>
        <w:spacing w:line="580" w:lineRule="exact"/>
        <w:rPr>
          <w:rFonts w:hint="eastAsia" w:ascii="仿宋_GB2312" w:hAnsi="仿宋_GB2312" w:eastAsia="仿宋_GB2312" w:cs="仿宋_GB2312"/>
          <w:kern w:val="0"/>
          <w:sz w:val="32"/>
          <w:szCs w:val="32"/>
        </w:rPr>
      </w:pPr>
    </w:p>
    <w:p w14:paraId="64E9D62D">
      <w:pPr>
        <w:tabs>
          <w:tab w:val="left" w:pos="540"/>
        </w:tabs>
        <w:spacing w:line="580" w:lineRule="exact"/>
        <w:rPr>
          <w:rFonts w:hint="eastAsia" w:ascii="仿宋_GB2312" w:hAnsi="仿宋_GB2312" w:eastAsia="仿宋_GB2312" w:cs="仿宋_GB2312"/>
          <w:kern w:val="0"/>
          <w:sz w:val="32"/>
          <w:szCs w:val="32"/>
        </w:rPr>
      </w:pPr>
    </w:p>
    <w:p w14:paraId="24B4455E">
      <w:pPr>
        <w:tabs>
          <w:tab w:val="left" w:pos="540"/>
        </w:tabs>
        <w:spacing w:line="580" w:lineRule="exact"/>
        <w:rPr>
          <w:rFonts w:hint="eastAsia" w:ascii="仿宋_GB2312" w:hAnsi="仿宋_GB2312" w:eastAsia="仿宋_GB2312" w:cs="仿宋_GB2312"/>
          <w:kern w:val="0"/>
          <w:sz w:val="32"/>
          <w:szCs w:val="32"/>
        </w:rPr>
      </w:pPr>
    </w:p>
    <w:p w14:paraId="00F9BA3C">
      <w:pPr>
        <w:tabs>
          <w:tab w:val="left" w:pos="540"/>
        </w:tabs>
        <w:spacing w:line="580" w:lineRule="exact"/>
        <w:rPr>
          <w:rFonts w:hint="eastAsia" w:ascii="仿宋_GB2312" w:hAnsi="仿宋_GB2312" w:eastAsia="仿宋_GB2312" w:cs="仿宋_GB2312"/>
          <w:kern w:val="0"/>
          <w:sz w:val="32"/>
          <w:szCs w:val="32"/>
        </w:rPr>
      </w:pPr>
    </w:p>
    <w:p w14:paraId="7ED31610">
      <w:pPr>
        <w:tabs>
          <w:tab w:val="left" w:pos="540"/>
        </w:tabs>
        <w:spacing w:line="480" w:lineRule="exact"/>
        <w:ind w:firstLine="0" w:firstLineChars="0"/>
        <w:rPr>
          <w:rFonts w:hint="default" w:ascii="仿宋_GB2312" w:hAnsi="仿宋_GB2312" w:eastAsia="仿宋_GB2312" w:cs="仿宋_GB2312"/>
          <w:b/>
          <w:bCs/>
          <w:sz w:val="32"/>
          <w:szCs w:val="32"/>
          <w:u w:val="single"/>
          <w:lang w:val="en-US" w:eastAsia="zh-CN"/>
        </w:rPr>
      </w:pPr>
      <w:r>
        <w:rPr>
          <w:rFonts w:hint="eastAsia" w:ascii="黑体" w:hAnsi="宋体" w:eastAsia="黑体" w:cs="Times New Roman"/>
          <w:b/>
          <w:bCs/>
          <w:sz w:val="32"/>
          <w:szCs w:val="32"/>
          <w:u w:val="single"/>
        </w:rPr>
        <w:t>主题词：</w:t>
      </w:r>
      <w:r>
        <w:rPr>
          <w:rFonts w:hint="eastAsia" w:ascii="黑体" w:hAnsi="宋体" w:eastAsia="黑体" w:cs="Times New Roman"/>
          <w:b/>
          <w:bCs/>
          <w:sz w:val="32"/>
          <w:szCs w:val="32"/>
          <w:u w:val="single"/>
          <w:lang w:val="en-US" w:eastAsia="zh-CN"/>
        </w:rPr>
        <w:t xml:space="preserve"> </w:t>
      </w:r>
      <w:r>
        <w:rPr>
          <w:rFonts w:hint="eastAsia" w:ascii="仿宋_GB2312" w:hAnsi="仿宋_GB2312" w:eastAsia="仿宋_GB2312" w:cs="仿宋_GB2312"/>
          <w:b/>
          <w:bCs/>
          <w:sz w:val="32"/>
          <w:szCs w:val="32"/>
          <w:u w:val="single"/>
        </w:rPr>
        <w:t>环评</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 xml:space="preserve"> 报告表</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 xml:space="preserve"> 批复</w:t>
      </w:r>
      <w:r>
        <w:rPr>
          <w:rFonts w:hint="eastAsia" w:ascii="仿宋_GB2312" w:hAnsi="仿宋_GB2312" w:eastAsia="仿宋_GB2312" w:cs="仿宋_GB2312"/>
          <w:b/>
          <w:bCs/>
          <w:sz w:val="32"/>
          <w:szCs w:val="32"/>
          <w:u w:val="single"/>
          <w:lang w:val="en-US" w:eastAsia="zh-CN"/>
        </w:rPr>
        <w:t xml:space="preserve">                          </w:t>
      </w:r>
    </w:p>
    <w:p w14:paraId="5C754383">
      <w:pPr>
        <w:tabs>
          <w:tab w:val="left" w:pos="540"/>
        </w:tabs>
        <w:spacing w:line="480" w:lineRule="exact"/>
        <w:ind w:firstLine="0" w:firstLineChars="0"/>
        <w:rPr>
          <w:rFonts w:hint="eastAsia" w:ascii="仿宋_GB2312" w:hAnsi="仿宋_GB2312" w:eastAsia="仿宋_GB2312" w:cs="仿宋_GB2312"/>
        </w:rPr>
      </w:pPr>
      <w:r>
        <w:rPr>
          <w:rFonts w:hint="eastAsia" w:ascii="仿宋_GB2312"/>
          <w:kern w:val="0"/>
          <w:sz w:val="32"/>
          <w:szCs w:val="32"/>
          <w:u w:val="single"/>
        </w:rPr>
        <w:t xml:space="preserve"> </w:t>
      </w:r>
      <w:r>
        <w:rPr>
          <w:rFonts w:hint="eastAsia" w:ascii="仿宋_GB2312" w:hAnsi="仿宋_GB2312" w:eastAsia="仿宋_GB2312" w:cs="仿宋_GB2312"/>
          <w:kern w:val="0"/>
          <w:sz w:val="32"/>
          <w:szCs w:val="32"/>
          <w:u w:val="single"/>
        </w:rPr>
        <w:t>九江市湖口生态环境局办公室      202</w:t>
      </w:r>
      <w:r>
        <w:rPr>
          <w:rFonts w:hint="eastAsia" w:ascii="仿宋_GB2312" w:hAnsi="仿宋_GB2312" w:eastAsia="仿宋_GB2312" w:cs="仿宋_GB2312"/>
          <w:kern w:val="0"/>
          <w:sz w:val="32"/>
          <w:szCs w:val="32"/>
          <w:u w:val="single"/>
          <w:lang w:val="en-US" w:eastAsia="zh-CN"/>
        </w:rPr>
        <w:t>5</w:t>
      </w:r>
      <w:r>
        <w:rPr>
          <w:rFonts w:hint="eastAsia" w:ascii="仿宋_GB2312" w:hAnsi="仿宋_GB2312" w:eastAsia="仿宋_GB2312" w:cs="仿宋_GB2312"/>
          <w:kern w:val="0"/>
          <w:sz w:val="32"/>
          <w:szCs w:val="32"/>
          <w:u w:val="single"/>
        </w:rPr>
        <w:t>年</w:t>
      </w:r>
      <w:r>
        <w:rPr>
          <w:rFonts w:hint="eastAsia" w:ascii="仿宋_GB2312" w:hAnsi="仿宋_GB2312" w:eastAsia="仿宋_GB2312" w:cs="仿宋_GB2312"/>
          <w:kern w:val="0"/>
          <w:sz w:val="32"/>
          <w:szCs w:val="32"/>
          <w:u w:val="single"/>
          <w:lang w:val="en-US" w:eastAsia="zh-CN"/>
        </w:rPr>
        <w:t>4</w:t>
      </w:r>
      <w:r>
        <w:rPr>
          <w:rFonts w:hint="eastAsia" w:ascii="仿宋_GB2312" w:hAnsi="仿宋_GB2312" w:eastAsia="仿宋_GB2312" w:cs="仿宋_GB2312"/>
          <w:kern w:val="0"/>
          <w:sz w:val="32"/>
          <w:szCs w:val="32"/>
          <w:u w:val="single"/>
        </w:rPr>
        <w:t>月</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 xml:space="preserve">日印发 </w:t>
      </w:r>
    </w:p>
    <w:p w14:paraId="0868A68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487453"/>
    <w:multiLevelType w:val="singleLevel"/>
    <w:tmpl w:val="1948745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60CF8"/>
    <w:rsid w:val="017E6F26"/>
    <w:rsid w:val="02205CCD"/>
    <w:rsid w:val="193F7D58"/>
    <w:rsid w:val="1BB35E28"/>
    <w:rsid w:val="1C782A98"/>
    <w:rsid w:val="2C660CF8"/>
    <w:rsid w:val="2D8B6004"/>
    <w:rsid w:val="34801E2C"/>
    <w:rsid w:val="3BB9409D"/>
    <w:rsid w:val="40381A73"/>
    <w:rsid w:val="48455675"/>
    <w:rsid w:val="50FD5474"/>
    <w:rsid w:val="5226733B"/>
    <w:rsid w:val="59C22E50"/>
    <w:rsid w:val="6472185A"/>
    <w:rsid w:val="653E3102"/>
    <w:rsid w:val="659C346A"/>
    <w:rsid w:val="6EFA655B"/>
    <w:rsid w:val="6F931EA8"/>
    <w:rsid w:val="72C25048"/>
    <w:rsid w:val="79FF3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customStyle="1" w:styleId="5">
    <w:name w:val="环评正文常用字体"/>
    <w:basedOn w:val="1"/>
    <w:qFormat/>
    <w:uiPriority w:val="1"/>
    <w:pPr>
      <w:widowControl/>
      <w:contextualSpacing/>
    </w:pPr>
    <w:rPr>
      <w:rFonts w:ascii="Times New Roman" w:hAnsi="Times New Roman" w:eastAsia="宋体" w:cs="宋体"/>
      <w:kern w:val="0"/>
      <w:sz w:val="21"/>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2002</Words>
  <Characters>2088</Characters>
  <Lines>0</Lines>
  <Paragraphs>0</Paragraphs>
  <TotalTime>0</TotalTime>
  <ScaleCrop>false</ScaleCrop>
  <LinksUpToDate>false</LinksUpToDate>
  <CharactersWithSpaces>2132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2025-03-31T00:59:00Z</dcterms:created>
  <dc:creator>yz</dc:creator>
  <cp:lastModifiedBy>任吉萍</cp:lastModifiedBy>
  <dcterms:modified xsi:type="dcterms:W3CDTF">2025-04-11T07:43:12Z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8D1F8DC302CB423C811F282D8D1B617C_11</vt:lpwstr>
  </property>
  <property fmtid="{D5CDD505-2E9C-101B-9397-08002B2CF9AE}" pid="4" name="KSOTemplateDocerSaveRecord">
    <vt:lpwstr>eyJoZGlkIjoiNjUyOTBmYWEyZDJmOGY5OGQ3YThjNjNmNzRhMTlkYjQiLCJ1c2VySWQiOiI0ODU1NjM5NDUifQ==</vt:lpwstr>
  </property>
</Properties>
</file>