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ordWrap w:val="0"/>
        <w:ind w:right="120" w:firstLine="6023" w:firstLineChars="2500"/>
        <w:rPr>
          <w:b/>
          <w:bCs/>
          <w:color w:val="000000"/>
        </w:rPr>
      </w:pPr>
      <w:bookmarkStart w:id="0" w:name="_Toc12483"/>
      <w:r>
        <w:rPr>
          <w:rFonts w:hint="eastAsia"/>
          <w:b/>
          <w:bCs/>
          <w:color w:val="000000"/>
        </w:rPr>
        <w:t xml:space="preserve">应急预案编号：           </w:t>
      </w:r>
    </w:p>
    <w:p>
      <w:pPr>
        <w:ind w:firstLine="6023" w:firstLineChars="2500"/>
        <w:rPr>
          <w:rFonts w:eastAsia="仿宋"/>
          <w:b/>
          <w:bCs/>
          <w:color w:val="000000"/>
        </w:rPr>
      </w:pPr>
      <w:r>
        <w:rPr>
          <w:rFonts w:hint="eastAsia" w:cs="宋体"/>
          <w:b/>
          <w:bCs/>
          <w:color w:val="000000"/>
        </w:rPr>
        <w:t>应急预案版本号</w:t>
      </w:r>
      <w:r>
        <w:rPr>
          <w:b/>
          <w:bCs/>
          <w:color w:val="000000"/>
        </w:rPr>
        <w:t>: (20</w:t>
      </w:r>
      <w:r>
        <w:rPr>
          <w:rFonts w:hint="eastAsia"/>
          <w:b/>
          <w:bCs/>
          <w:color w:val="000000"/>
        </w:rPr>
        <w:t>21</w:t>
      </w:r>
      <w:r>
        <w:rPr>
          <w:b/>
          <w:bCs/>
          <w:color w:val="000000"/>
        </w:rPr>
        <w:t>)</w:t>
      </w:r>
      <w:r>
        <w:rPr>
          <w:rFonts w:hint="eastAsia" w:cs="宋体"/>
          <w:b/>
          <w:bCs/>
          <w:color w:val="000000"/>
        </w:rPr>
        <w:t>第一版</w:t>
      </w: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0" w:firstLineChars="0"/>
        <w:jc w:val="center"/>
        <w:rPr>
          <w:rFonts w:hAnsi="宋体"/>
          <w:b/>
          <w:color w:val="000000"/>
          <w:sz w:val="52"/>
          <w:szCs w:val="52"/>
        </w:rPr>
      </w:pPr>
      <w:r>
        <w:rPr>
          <w:rFonts w:hint="eastAsia" w:hAnsi="宋体"/>
          <w:b/>
          <w:color w:val="000000"/>
          <w:sz w:val="52"/>
          <w:szCs w:val="52"/>
        </w:rPr>
        <w:t>湖口县金砂湾工业园集中污水处理厂</w:t>
      </w:r>
    </w:p>
    <w:p>
      <w:pPr>
        <w:ind w:firstLine="0" w:firstLineChars="0"/>
        <w:jc w:val="center"/>
        <w:rPr>
          <w:rFonts w:eastAsia="仿宋_GB2312"/>
          <w:color w:val="000000"/>
          <w:sz w:val="48"/>
          <w:szCs w:val="48"/>
        </w:rPr>
      </w:pPr>
      <w:r>
        <w:rPr>
          <w:rFonts w:hint="eastAsia" w:cs="宋体"/>
          <w:b/>
          <w:bCs/>
          <w:color w:val="000000"/>
          <w:sz w:val="48"/>
          <w:szCs w:val="48"/>
        </w:rPr>
        <w:t>突发环境事件应急预案</w:t>
      </w: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480"/>
        <w:rPr>
          <w:color w:val="000000"/>
        </w:rPr>
      </w:pPr>
    </w:p>
    <w:p>
      <w:pPr>
        <w:ind w:firstLine="0" w:firstLineChars="0"/>
        <w:rPr>
          <w:color w:val="000000"/>
        </w:rPr>
      </w:pPr>
    </w:p>
    <w:p>
      <w:pPr>
        <w:ind w:firstLine="480"/>
        <w:rPr>
          <w:color w:val="000000"/>
        </w:rPr>
      </w:pPr>
    </w:p>
    <w:p>
      <w:pPr>
        <w:ind w:firstLine="0" w:firstLineChars="0"/>
        <w:jc w:val="center"/>
        <w:rPr>
          <w:rFonts w:cs="宋体"/>
          <w:b/>
          <w:bCs/>
          <w:color w:val="000000"/>
          <w:sz w:val="32"/>
          <w:szCs w:val="32"/>
        </w:rPr>
      </w:pPr>
      <w:r>
        <w:rPr>
          <w:rFonts w:hint="eastAsia" w:cs="宋体"/>
          <w:b/>
          <w:bCs/>
          <w:color w:val="000000"/>
          <w:sz w:val="32"/>
          <w:szCs w:val="32"/>
        </w:rPr>
        <w:t>编制单位: 湖口县金砂湾工业园污水处理厂建设办公室</w:t>
      </w:r>
    </w:p>
    <w:p>
      <w:pPr>
        <w:ind w:firstLine="0" w:firstLineChars="0"/>
        <w:jc w:val="center"/>
        <w:rPr>
          <w:rFonts w:eastAsia="仿宋_GB2312"/>
          <w:b/>
          <w:bCs/>
          <w:color w:val="000000"/>
          <w:sz w:val="32"/>
          <w:szCs w:val="32"/>
        </w:rPr>
        <w:sectPr>
          <w:headerReference r:id="rId7" w:type="first"/>
          <w:footerReference r:id="rId10" w:type="first"/>
          <w:headerReference r:id="rId5" w:type="default"/>
          <w:footerReference r:id="rId8" w:type="default"/>
          <w:headerReference r:id="rId6" w:type="even"/>
          <w:footerReference r:id="rId9" w:type="even"/>
          <w:pgSz w:w="11906" w:h="16838"/>
          <w:pgMar w:top="1418" w:right="1247" w:bottom="1418" w:left="1247" w:header="851" w:footer="992" w:gutter="0"/>
          <w:cols w:space="720" w:num="1"/>
          <w:docGrid w:type="lines" w:linePitch="326" w:charSpace="0"/>
        </w:sectPr>
      </w:pPr>
      <w:r>
        <w:rPr>
          <w:rFonts w:hint="eastAsia" w:cs="宋体"/>
          <w:b/>
          <w:bCs/>
          <w:color w:val="000000"/>
          <w:sz w:val="32"/>
          <w:szCs w:val="32"/>
        </w:rPr>
        <w:t>编制日期：</w:t>
      </w:r>
      <w:r>
        <w:rPr>
          <w:b/>
          <w:bCs/>
          <w:color w:val="000000"/>
          <w:sz w:val="32"/>
          <w:szCs w:val="32"/>
        </w:rPr>
        <w:t>20</w:t>
      </w:r>
      <w:r>
        <w:rPr>
          <w:rFonts w:hint="eastAsia"/>
          <w:b/>
          <w:bCs/>
          <w:color w:val="000000"/>
          <w:sz w:val="32"/>
          <w:szCs w:val="32"/>
        </w:rPr>
        <w:t>21</w:t>
      </w:r>
      <w:r>
        <w:rPr>
          <w:rFonts w:hint="eastAsia" w:cs="宋体"/>
          <w:b/>
          <w:bCs/>
          <w:color w:val="000000"/>
          <w:sz w:val="32"/>
          <w:szCs w:val="32"/>
        </w:rPr>
        <w:t>年</w:t>
      </w:r>
      <w:r>
        <w:rPr>
          <w:rFonts w:hint="eastAsia"/>
          <w:b/>
          <w:bCs/>
          <w:color w:val="000000"/>
          <w:sz w:val="32"/>
          <w:szCs w:val="32"/>
        </w:rPr>
        <w:t>10月</w:t>
      </w:r>
    </w:p>
    <w:p>
      <w:pPr>
        <w:spacing w:beforeLines="100" w:afterLines="100" w:line="240" w:lineRule="auto"/>
        <w:ind w:firstLine="0" w:firstLineChars="0"/>
        <w:jc w:val="center"/>
        <w:rPr>
          <w:rFonts w:ascii="Times New Roman" w:hAnsi="Times New Roman"/>
          <w:b/>
          <w:bCs/>
          <w:kern w:val="21"/>
          <w:sz w:val="44"/>
          <w:szCs w:val="44"/>
        </w:rPr>
      </w:pPr>
      <w:bookmarkStart w:id="1" w:name="_Toc21155"/>
      <w:bookmarkStart w:id="2" w:name="_Toc17563"/>
      <w:bookmarkStart w:id="3" w:name="_Toc28690"/>
      <w:bookmarkStart w:id="4" w:name="_Toc11056"/>
      <w:bookmarkStart w:id="5" w:name="_Toc11870"/>
      <w:bookmarkStart w:id="6" w:name="_Toc9672"/>
      <w:bookmarkStart w:id="7" w:name="_Toc17503"/>
      <w:bookmarkStart w:id="8" w:name="_Toc7101"/>
      <w:bookmarkStart w:id="9" w:name="_Toc29366"/>
      <w:bookmarkStart w:id="10" w:name="_Toc3407"/>
      <w:bookmarkStart w:id="11" w:name="_Toc14584"/>
      <w:r>
        <w:rPr>
          <w:rFonts w:ascii="Times New Roman" w:hAnsi="Times New Roman"/>
          <w:b/>
          <w:bCs/>
          <w:kern w:val="21"/>
          <w:sz w:val="44"/>
          <w:szCs w:val="44"/>
        </w:rPr>
        <w:t>编 制 说 明</w:t>
      </w:r>
      <w:bookmarkEnd w:id="1"/>
      <w:bookmarkEnd w:id="2"/>
      <w:bookmarkEnd w:id="3"/>
      <w:bookmarkEnd w:id="4"/>
      <w:bookmarkEnd w:id="5"/>
      <w:bookmarkEnd w:id="6"/>
      <w:bookmarkEnd w:id="7"/>
      <w:bookmarkEnd w:id="8"/>
      <w:bookmarkEnd w:id="9"/>
      <w:bookmarkEnd w:id="10"/>
      <w:bookmarkEnd w:id="11"/>
    </w:p>
    <w:p>
      <w:pPr>
        <w:adjustRightInd w:val="0"/>
        <w:snapToGrid w:val="0"/>
        <w:ind w:firstLine="480"/>
        <w:rPr>
          <w:rFonts w:ascii="Times New Roman" w:hAnsi="Times New Roman"/>
          <w:kern w:val="21"/>
        </w:rPr>
      </w:pPr>
      <w:r>
        <w:rPr>
          <w:rFonts w:hint="eastAsia" w:cs="宋体"/>
        </w:rPr>
        <w:t>为了进一步健全环境污染事件应急机制，有效预防、及时控制和消除突发环境污染事件的危害，提高环境保护方面人员的应急反应能力，确保迅速有效地处理突发环境污染和生态破坏等原因造成的局部或区域环境污染事件，指导和规范突发环境污染和生态破坏事件的应急处理工作，维护社会稳定，以最快的速度发挥最大的效能，将环境污染和生态破坏事件造成的损失降低到最小程度，最大限度地保障人民群众的身体健康和生命安全，特制定湖口县金砂湾工业园集中污水处理厂突发环境事件应急预案。</w:t>
      </w:r>
    </w:p>
    <w:p>
      <w:pPr>
        <w:adjustRightInd w:val="0"/>
        <w:snapToGrid w:val="0"/>
        <w:spacing w:beforeLines="50"/>
        <w:ind w:firstLine="482"/>
        <w:rPr>
          <w:rFonts w:ascii="Times New Roman" w:hAnsi="Times New Roman"/>
          <w:b/>
          <w:kern w:val="21"/>
        </w:rPr>
      </w:pPr>
      <w:r>
        <w:rPr>
          <w:rFonts w:ascii="Times New Roman" w:hAnsi="Times New Roman"/>
          <w:b/>
          <w:kern w:val="21"/>
        </w:rPr>
        <w:t>一、应急预案编制过程</w:t>
      </w:r>
    </w:p>
    <w:p>
      <w:pPr>
        <w:ind w:firstLine="480"/>
        <w:rPr>
          <w:color w:val="FF0000"/>
        </w:rPr>
      </w:pPr>
      <w:r>
        <w:rPr>
          <w:rFonts w:ascii="Times New Roman" w:hAnsi="Times New Roman"/>
          <w:kern w:val="21"/>
        </w:rPr>
        <w:t>成立应急预案编制小组。</w:t>
      </w:r>
      <w:r>
        <w:rPr>
          <w:rFonts w:hint="eastAsia" w:ascii="宋体" w:hAnsi="宋体"/>
          <w:color w:val="FF0000"/>
        </w:rPr>
        <w:t>主要成员有：</w:t>
      </w:r>
      <w:r>
        <w:rPr>
          <w:rFonts w:hint="eastAsia" w:ascii="Times New Roman" w:hAnsi="Times New Roman"/>
          <w:color w:val="FF0000"/>
          <w:kern w:val="21"/>
        </w:rPr>
        <w:t>彭辉金</w:t>
      </w:r>
      <w:r>
        <w:rPr>
          <w:rFonts w:hint="eastAsia" w:ascii="宋体" w:hAnsi="宋体"/>
          <w:color w:val="FF0000"/>
        </w:rPr>
        <w:t>（组长）</w:t>
      </w:r>
      <w:r>
        <w:rPr>
          <w:rFonts w:hint="eastAsia" w:ascii="Times New Roman" w:hAnsi="Times New Roman"/>
          <w:color w:val="FF0000"/>
          <w:kern w:val="21"/>
        </w:rPr>
        <w:t>、彭辉金（</w:t>
      </w:r>
      <w:r>
        <w:rPr>
          <w:rFonts w:hint="eastAsia" w:ascii="宋体" w:hAnsi="宋体"/>
          <w:color w:val="FF0000"/>
        </w:rPr>
        <w:t>编制）、</w:t>
      </w:r>
      <w:r>
        <w:rPr>
          <w:rFonts w:hint="eastAsia" w:ascii="Times New Roman" w:hAnsi="Times New Roman"/>
          <w:color w:val="FF0000"/>
          <w:kern w:val="21"/>
        </w:rPr>
        <w:t>黎宵月</w:t>
      </w:r>
      <w:r>
        <w:rPr>
          <w:rFonts w:hint="eastAsia" w:ascii="宋体" w:hAnsi="宋体"/>
          <w:color w:val="FF0000"/>
        </w:rPr>
        <w:t>（审核）。</w:t>
      </w:r>
    </w:p>
    <w:p>
      <w:pPr>
        <w:ind w:firstLine="480"/>
      </w:pPr>
      <w:r>
        <w:rPr>
          <w:rFonts w:hint="eastAsia" w:cs="宋体"/>
        </w:rPr>
        <w:t>主要工作任务为负责本公司突发环境事件应急预案编制工作。要求重点突出，针对性强；程序简单，步骤明确，保证发生事故时，能及时启动，有序实施；要统一指挥、责任明确。</w:t>
      </w:r>
    </w:p>
    <w:p>
      <w:pPr>
        <w:ind w:firstLine="480"/>
      </w:pPr>
      <w:r>
        <w:rPr>
          <w:rFonts w:hint="eastAsia" w:cs="宋体"/>
        </w:rPr>
        <w:t>各编制人员按照分工完成应急预案编制工作，在进行内部审核，组织专家评审会，根据专家意见，进一步完善应急预案。修订编制后的预案经公司领导签字后，将签字后的纸质版发布。</w:t>
      </w:r>
    </w:p>
    <w:p>
      <w:pPr>
        <w:ind w:firstLine="480"/>
      </w:pPr>
      <w:r>
        <w:rPr>
          <w:rFonts w:hint="eastAsia" w:cs="宋体"/>
        </w:rPr>
        <w:t>成立编制小组后，首先开展了环境风险评估，根据环境风险评估结果，调查公司应急资源情况。在完成环境风险评估报告和应急资源调查报告后，开始编制突发环境事件应急预案。编制过程中，发放调查表，征求员工及周边居民、单位代表的意见。经调查，周边公司对本公司印象良好，公司内部卫生良好，工作规范。</w:t>
      </w:r>
    </w:p>
    <w:p>
      <w:pPr>
        <w:adjustRightInd w:val="0"/>
        <w:snapToGrid w:val="0"/>
        <w:spacing w:beforeLines="50"/>
        <w:ind w:firstLine="482"/>
        <w:rPr>
          <w:rFonts w:ascii="Times New Roman" w:hAnsi="Times New Roman"/>
          <w:b/>
          <w:bCs/>
          <w:kern w:val="21"/>
        </w:rPr>
      </w:pPr>
      <w:r>
        <w:rPr>
          <w:rFonts w:ascii="Times New Roman" w:hAnsi="Times New Roman"/>
          <w:b/>
          <w:bCs/>
          <w:kern w:val="21"/>
        </w:rPr>
        <w:t>二、应急预案的主要内容</w:t>
      </w:r>
    </w:p>
    <w:p>
      <w:pPr>
        <w:adjustRightInd w:val="0"/>
        <w:snapToGrid w:val="0"/>
        <w:ind w:firstLine="480"/>
        <w:rPr>
          <w:rFonts w:ascii="Times New Roman" w:hAnsi="Times New Roman"/>
          <w:kern w:val="21"/>
        </w:rPr>
      </w:pPr>
      <w:r>
        <w:rPr>
          <w:rFonts w:ascii="Times New Roman" w:hAnsi="Times New Roman"/>
          <w:kern w:val="21"/>
        </w:rPr>
        <w:t>该《预案》是由总则、企业基本情况及周围环境概述、环境风险评价、组织机构体系与应急能力建设、预防和预警、应急响应、后期处置、应急救援保障、培训与演练、奖惩和附件组成。</w:t>
      </w:r>
    </w:p>
    <w:p>
      <w:pPr>
        <w:adjustRightInd w:val="0"/>
        <w:snapToGrid w:val="0"/>
        <w:spacing w:beforeLines="50"/>
        <w:ind w:firstLine="482"/>
        <w:rPr>
          <w:rFonts w:ascii="Times New Roman" w:hAnsi="Times New Roman"/>
          <w:b/>
          <w:bCs/>
          <w:kern w:val="21"/>
        </w:rPr>
      </w:pPr>
      <w:r>
        <w:rPr>
          <w:rFonts w:ascii="Times New Roman" w:hAnsi="Times New Roman"/>
          <w:b/>
          <w:bCs/>
          <w:kern w:val="21"/>
        </w:rPr>
        <w:t>三、企业内部征求意见情况</w:t>
      </w:r>
    </w:p>
    <w:p>
      <w:pPr>
        <w:adjustRightInd w:val="0"/>
        <w:snapToGrid w:val="0"/>
        <w:ind w:firstLine="480"/>
        <w:rPr>
          <w:rFonts w:ascii="Times New Roman" w:hAnsi="Times New Roman"/>
          <w:b/>
          <w:kern w:val="21"/>
          <w:sz w:val="44"/>
          <w:szCs w:val="44"/>
        </w:rPr>
      </w:pPr>
      <w:r>
        <w:rPr>
          <w:rFonts w:ascii="Times New Roman" w:hAnsi="Times New Roman"/>
          <w:kern w:val="21"/>
        </w:rPr>
        <w:t>202</w:t>
      </w:r>
      <w:r>
        <w:rPr>
          <w:rFonts w:hint="eastAsia" w:ascii="Times New Roman" w:hAnsi="Times New Roman"/>
          <w:kern w:val="21"/>
        </w:rPr>
        <w:t>1</w:t>
      </w:r>
      <w:r>
        <w:rPr>
          <w:rFonts w:ascii="Times New Roman" w:hAnsi="Times New Roman"/>
          <w:kern w:val="21"/>
        </w:rPr>
        <w:t>年</w:t>
      </w:r>
      <w:r>
        <w:rPr>
          <w:rFonts w:hint="eastAsia" w:ascii="Times New Roman" w:hAnsi="Times New Roman"/>
          <w:kern w:val="21"/>
        </w:rPr>
        <w:t>1</w:t>
      </w:r>
      <w:r>
        <w:rPr>
          <w:rFonts w:ascii="Times New Roman" w:hAnsi="Times New Roman"/>
          <w:kern w:val="21"/>
        </w:rPr>
        <w:t>1月，由总指挥</w:t>
      </w:r>
      <w:r>
        <w:rPr>
          <w:rFonts w:hint="eastAsia" w:ascii="Times New Roman" w:hAnsi="Times New Roman"/>
          <w:kern w:val="21"/>
        </w:rPr>
        <w:t>黎宵月</w:t>
      </w:r>
      <w:r>
        <w:rPr>
          <w:rFonts w:ascii="Times New Roman" w:hAnsi="Times New Roman"/>
          <w:kern w:val="21"/>
        </w:rPr>
        <w:t>组织企业有关部门人员，对编制的《</w:t>
      </w:r>
      <w:r>
        <w:rPr>
          <w:rFonts w:hint="eastAsia" w:ascii="Times New Roman" w:hAnsi="Times New Roman"/>
          <w:kern w:val="21"/>
        </w:rPr>
        <w:t>湖口县金砂湾工业园集中污水处理厂</w:t>
      </w:r>
      <w:r>
        <w:rPr>
          <w:rFonts w:ascii="Times New Roman" w:hAnsi="Times New Roman"/>
          <w:kern w:val="21"/>
        </w:rPr>
        <w:t>突发环境事件应急预案》进行了企业内部征求意见，经公司全体人员认真的讨论，大家一致认为编制的《</w:t>
      </w:r>
      <w:r>
        <w:rPr>
          <w:rFonts w:hint="eastAsia" w:ascii="Times New Roman" w:hAnsi="Times New Roman"/>
          <w:kern w:val="21"/>
        </w:rPr>
        <w:t>湖口县金砂湾工业园集中污水处理厂</w:t>
      </w:r>
      <w:r>
        <w:rPr>
          <w:rFonts w:ascii="Times New Roman" w:hAnsi="Times New Roman"/>
          <w:kern w:val="21"/>
        </w:rPr>
        <w:t>突发环境事件应急预案》基本符合《国家突发环境事件应急预案》、《江西省突发环境事件应急预案》、《企业突发环境污染事故应急预案编制指南》等的要求，同意报送专家评审会进行评审。</w:t>
      </w:r>
    </w:p>
    <w:p>
      <w:pPr>
        <w:ind w:firstLine="0" w:firstLineChars="0"/>
        <w:jc w:val="center"/>
        <w:rPr>
          <w:rFonts w:ascii="Times New Roman" w:hAnsi="Times New Roman"/>
          <w:kern w:val="21"/>
        </w:rPr>
      </w:pPr>
      <w:bookmarkStart w:id="12" w:name="_Toc26015"/>
      <w:bookmarkStart w:id="13" w:name="_Toc1038"/>
      <w:r>
        <w:rPr>
          <w:rFonts w:ascii="Times New Roman" w:hAnsi="Times New Roman"/>
          <w:kern w:val="21"/>
        </w:rPr>
        <w:br w:type="page"/>
      </w:r>
      <w:r>
        <w:rPr>
          <w:rFonts w:ascii="Times New Roman" w:hAnsi="Times New Roman"/>
          <w:b/>
          <w:bCs/>
          <w:kern w:val="21"/>
          <w:sz w:val="44"/>
          <w:szCs w:val="44"/>
        </w:rPr>
        <w:t>前 言</w:t>
      </w:r>
      <w:bookmarkEnd w:id="12"/>
      <w:bookmarkEnd w:id="13"/>
    </w:p>
    <w:p>
      <w:pPr>
        <w:adjustRightInd w:val="0"/>
        <w:snapToGrid w:val="0"/>
        <w:ind w:firstLine="480"/>
        <w:rPr>
          <w:rFonts w:ascii="Times New Roman" w:hAnsi="Times New Roman"/>
          <w:kern w:val="21"/>
        </w:rPr>
      </w:pPr>
      <w:r>
        <w:rPr>
          <w:rFonts w:hint="eastAsia" w:ascii="Times New Roman" w:hAnsi="Times New Roman"/>
          <w:kern w:val="21"/>
        </w:rPr>
        <w:t>湖口县金砂湾工业园集中污水处理厂</w:t>
      </w:r>
      <w:r>
        <w:rPr>
          <w:rFonts w:ascii="Times New Roman" w:hAnsi="Times New Roman"/>
          <w:kern w:val="21"/>
        </w:rPr>
        <w:t>位于</w:t>
      </w:r>
      <w:r>
        <w:rPr>
          <w:rFonts w:hint="eastAsia" w:ascii="Times New Roman" w:hAnsi="Times New Roman"/>
          <w:kern w:val="21"/>
        </w:rPr>
        <w:t>九江市湖口县金砂湾工业北区</w:t>
      </w:r>
      <w:r>
        <w:rPr>
          <w:rFonts w:ascii="Times New Roman" w:hAnsi="Times New Roman"/>
          <w:kern w:val="21"/>
        </w:rPr>
        <w:t>。污水处理工艺采用</w:t>
      </w:r>
      <w:r>
        <w:rPr>
          <w:rFonts w:hint="eastAsia" w:ascii="Times New Roman" w:hAnsi="Times New Roman"/>
          <w:kern w:val="21"/>
        </w:rPr>
        <w:t>“粗格栅+提升泵+细格栅+调节池+UASB水解池+厌氧池+缺氧池+好氧池+二沉池+芬顿氧化池+高效生物滤池+出水监测池”。</w:t>
      </w:r>
    </w:p>
    <w:p>
      <w:pPr>
        <w:adjustRightInd w:val="0"/>
        <w:snapToGrid w:val="0"/>
        <w:ind w:firstLine="480"/>
        <w:rPr>
          <w:rFonts w:ascii="Times New Roman" w:hAnsi="Times New Roman"/>
          <w:kern w:val="21"/>
        </w:rPr>
      </w:pPr>
      <w:r>
        <w:rPr>
          <w:rFonts w:hint="eastAsia" w:ascii="Times New Roman" w:hAnsi="Times New Roman"/>
          <w:kern w:val="21"/>
        </w:rPr>
        <w:t>本污水处理有限公司于2009年1月编制完成环境影响报告书，2009年2月20日取得九江市生态环境保护局核发的环评批复（九环督字【2009】17号）；项目于2012年8月通过环保验收，审批文号（九环评字【2012】115号）。2016年11月进行提升改造，2019年3月取得湖口生态环境保护局核发的环评批复（湖环评字【2019】19号）。</w:t>
      </w:r>
    </w:p>
    <w:p>
      <w:pPr>
        <w:adjustRightInd w:val="0"/>
        <w:snapToGrid w:val="0"/>
        <w:ind w:firstLine="480"/>
        <w:rPr>
          <w:rFonts w:ascii="Times New Roman" w:hAnsi="Times New Roman"/>
          <w:kern w:val="21"/>
        </w:rPr>
      </w:pPr>
      <w:r>
        <w:rPr>
          <w:rFonts w:ascii="Times New Roman" w:hAnsi="Times New Roman"/>
          <w:kern w:val="21"/>
        </w:rPr>
        <w:t>为加强对我公司突发环境污染事故的有效防范、处置和善后工作，指导和规范突发性环境污染事故的监测、监控与监督管理的应急处理工作，建立环境污染事故风险防范体系，积极预防，及时控制，消除隐患，将环境的危害和造成财产的损失降低到最低程度，最大限度地保障人民群众的生命财产安全，保证环保设施和治理运行的正常，维护社会稳定、保护国家和地方的生态体系，建立健全高效快速的应急反应机制，现根据《江西省人民政府办公厅关于印发江西省突发环境事件应急预案的通知》（赣府厅字〔2016〕14号），并参照《中华人民共和国环境保护法》、《中华人民共和国突发事件应对法》、《国家突发环境事件应急预案》、《企业事业单位突发环境事件应急预案备案管理办法（试行）》、《江西省突发环境事件应急预案》、《企业突发环境事件风险评估指南（试行）》、《企业突发环境事件风险分级方法》（HJ 941-2018）的要求，结合</w:t>
      </w:r>
      <w:r>
        <w:rPr>
          <w:rFonts w:hint="eastAsia" w:ascii="Times New Roman" w:hAnsi="Times New Roman"/>
          <w:kern w:val="21"/>
        </w:rPr>
        <w:t>湖口县金砂湾工业园污水处理厂</w:t>
      </w:r>
      <w:r>
        <w:rPr>
          <w:rFonts w:ascii="Times New Roman" w:hAnsi="Times New Roman"/>
          <w:kern w:val="21"/>
        </w:rPr>
        <w:t>运营项目实际情况编制本预案。通过对《</w:t>
      </w:r>
      <w:r>
        <w:rPr>
          <w:rFonts w:hint="eastAsia" w:ascii="Times New Roman" w:hAnsi="Times New Roman"/>
          <w:kern w:val="21"/>
        </w:rPr>
        <w:t>湖口县金砂湾工业园集中污水处理厂</w:t>
      </w:r>
      <w:r>
        <w:rPr>
          <w:rFonts w:ascii="Times New Roman" w:hAnsi="Times New Roman"/>
          <w:kern w:val="21"/>
        </w:rPr>
        <w:t>突发环境事件应急预案》的贯彻、执行、培训及演练，能够提高全体员工的安全意识，提高公司应对突发事故的处理能力，将突发事故对人体健康和环境的危害降到最低。</w:t>
      </w:r>
    </w:p>
    <w:p>
      <w:pPr>
        <w:pStyle w:val="58"/>
        <w:rPr>
          <w:rFonts w:ascii="Times New Roman" w:hAnsi="Times New Roman"/>
          <w:b/>
          <w:color w:val="auto"/>
          <w:kern w:val="21"/>
          <w:sz w:val="44"/>
          <w:szCs w:val="44"/>
        </w:rPr>
      </w:pPr>
    </w:p>
    <w:bookmarkEnd w:id="0"/>
    <w:p>
      <w:pPr>
        <w:pStyle w:val="32"/>
        <w:tabs>
          <w:tab w:val="right" w:leader="dot" w:pos="9690"/>
        </w:tabs>
        <w:spacing w:line="240" w:lineRule="auto"/>
        <w:ind w:firstLine="0" w:firstLineChars="0"/>
        <w:jc w:val="center"/>
        <w:rPr>
          <w:b w:val="0"/>
          <w:bCs w:val="0"/>
          <w:caps w:val="0"/>
          <w:kern w:val="21"/>
          <w:sz w:val="24"/>
          <w:szCs w:val="24"/>
        </w:rPr>
        <w:sectPr>
          <w:headerReference r:id="rId11" w:type="default"/>
          <w:footerReference r:id="rId12" w:type="default"/>
          <w:pgSz w:w="11850" w:h="16783"/>
          <w:pgMar w:top="1440" w:right="1080" w:bottom="1440" w:left="1080" w:header="720" w:footer="720" w:gutter="0"/>
          <w:pgNumType w:start="1"/>
          <w:cols w:space="720" w:num="1"/>
          <w:docGrid w:type="lines" w:linePitch="318" w:charSpace="0"/>
        </w:sectPr>
      </w:pPr>
    </w:p>
    <w:p>
      <w:pPr>
        <w:pStyle w:val="32"/>
        <w:tabs>
          <w:tab w:val="right" w:leader="dot" w:pos="9690"/>
        </w:tabs>
        <w:spacing w:line="240" w:lineRule="auto"/>
        <w:ind w:firstLine="0" w:firstLineChars="0"/>
        <w:jc w:val="center"/>
        <w:rPr>
          <w:b w:val="0"/>
          <w:bCs w:val="0"/>
          <w:caps w:val="0"/>
          <w:kern w:val="21"/>
          <w:sz w:val="24"/>
          <w:szCs w:val="24"/>
        </w:rPr>
      </w:pPr>
      <w:r>
        <w:rPr>
          <w:caps w:val="0"/>
          <w:kern w:val="21"/>
          <w:sz w:val="30"/>
          <w:szCs w:val="30"/>
        </w:rPr>
        <w:t>目    录</w:t>
      </w:r>
      <w:bookmarkStart w:id="14" w:name="_Toc262152773"/>
      <w:bookmarkStart w:id="15" w:name="_Toc262112473"/>
      <w:r>
        <w:rPr>
          <w:caps w:val="0"/>
          <w:kern w:val="21"/>
          <w:sz w:val="24"/>
          <w:szCs w:val="24"/>
        </w:rPr>
        <w:t xml:space="preserve"> </w:t>
      </w:r>
      <w:r>
        <w:rPr>
          <w:b w:val="0"/>
          <w:bCs w:val="0"/>
          <w:caps w:val="0"/>
          <w:kern w:val="21"/>
          <w:sz w:val="24"/>
          <w:szCs w:val="24"/>
        </w:rPr>
        <w:t xml:space="preserve">   </w:t>
      </w:r>
      <w:r>
        <w:rPr>
          <w:b w:val="0"/>
          <w:bCs w:val="0"/>
          <w:caps w:val="0"/>
          <w:kern w:val="21"/>
          <w:sz w:val="24"/>
          <w:szCs w:val="24"/>
        </w:rPr>
        <w:fldChar w:fldCharType="begin"/>
      </w:r>
      <w:r>
        <w:rPr>
          <w:b w:val="0"/>
          <w:bCs w:val="0"/>
          <w:caps w:val="0"/>
          <w:kern w:val="21"/>
          <w:sz w:val="24"/>
          <w:szCs w:val="24"/>
        </w:rPr>
        <w:instrText xml:space="preserve"> TOC \o "1-3" \h \z \u </w:instrText>
      </w:r>
      <w:r>
        <w:rPr>
          <w:b w:val="0"/>
          <w:bCs w:val="0"/>
          <w:caps w:val="0"/>
          <w:kern w:val="21"/>
          <w:sz w:val="24"/>
          <w:szCs w:val="24"/>
        </w:rPr>
        <w:fldChar w:fldCharType="separate"/>
      </w:r>
    </w:p>
    <w:p>
      <w:pPr>
        <w:pStyle w:val="32"/>
        <w:tabs>
          <w:tab w:val="right" w:leader="dot" w:pos="9690"/>
        </w:tabs>
        <w:ind w:firstLine="562"/>
        <w:rPr>
          <w:caps w:val="0"/>
          <w:kern w:val="21"/>
        </w:rPr>
      </w:pPr>
      <w:r>
        <w:fldChar w:fldCharType="begin"/>
      </w:r>
      <w:r>
        <w:instrText xml:space="preserve"> HYPERLINK \l "_Toc23537" </w:instrText>
      </w:r>
      <w:r>
        <w:fldChar w:fldCharType="separate"/>
      </w:r>
      <w:r>
        <w:rPr>
          <w:caps w:val="0"/>
          <w:kern w:val="21"/>
        </w:rPr>
        <w:t>1、总则</w:t>
      </w:r>
      <w:r>
        <w:rPr>
          <w:caps w:val="0"/>
          <w:kern w:val="21"/>
        </w:rPr>
        <w:tab/>
      </w:r>
      <w:r>
        <w:rPr>
          <w:caps w:val="0"/>
          <w:kern w:val="21"/>
        </w:rPr>
        <w:fldChar w:fldCharType="begin"/>
      </w:r>
      <w:r>
        <w:rPr>
          <w:caps w:val="0"/>
          <w:kern w:val="21"/>
        </w:rPr>
        <w:instrText xml:space="preserve"> PAGEREF _Toc23537 </w:instrText>
      </w:r>
      <w:r>
        <w:rPr>
          <w:caps w:val="0"/>
          <w:kern w:val="21"/>
        </w:rPr>
        <w:fldChar w:fldCharType="separate"/>
      </w:r>
      <w:r>
        <w:rPr>
          <w:caps w:val="0"/>
          <w:kern w:val="21"/>
        </w:rPr>
        <w:t>1</w:t>
      </w:r>
      <w:r>
        <w:rPr>
          <w:caps w:val="0"/>
          <w:kern w:val="21"/>
        </w:rPr>
        <w:fldChar w:fldCharType="end"/>
      </w:r>
      <w:r>
        <w:rPr>
          <w: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"_Toc30430" </w:instrText>
      </w:r>
      <w:r>
        <w:fldChar w:fldCharType="separate"/>
      </w:r>
      <w:r>
        <w:rPr>
          <w:rFonts w:ascii="Times New Roman" w:hAnsi="Times New Roman"/>
          <w:smallCaps w:val="0"/>
          <w:kern w:val="21"/>
        </w:rPr>
        <w:t>1.1 编制目的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_Toc30430 </w:instrText>
      </w:r>
      <w:r>
        <w:rPr>
          <w:rFonts w:ascii="Times New Roman" w:hAnsi="Times New Roman"/>
          <w:smallCaps w:val="0"/>
          <w:kern w:val="21"/>
        </w:rPr>
        <w:fldChar w:fldCharType="separate"/>
      </w:r>
      <w:r>
        <w:rPr>
          <w:rFonts w:ascii="Times New Roman" w:hAnsi="Times New Roman"/>
          <w:smallCaps w:val="0"/>
          <w:kern w:val="21"/>
        </w:rPr>
        <w:t>1</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"_Toc986" </w:instrText>
      </w:r>
      <w:r>
        <w:fldChar w:fldCharType="separate"/>
      </w:r>
      <w:r>
        <w:rPr>
          <w:rFonts w:ascii="Times New Roman" w:hAnsi="Times New Roman"/>
          <w:smallCaps w:val="0"/>
          <w:kern w:val="21"/>
        </w:rPr>
        <w:t>1.2编制依据</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_Toc986 </w:instrText>
      </w:r>
      <w:r>
        <w:rPr>
          <w:rFonts w:ascii="Times New Roman" w:hAnsi="Times New Roman"/>
          <w:smallCaps w:val="0"/>
          <w:kern w:val="21"/>
        </w:rPr>
        <w:fldChar w:fldCharType="separate"/>
      </w:r>
      <w:r>
        <w:rPr>
          <w:rFonts w:ascii="Times New Roman" w:hAnsi="Times New Roman"/>
          <w:smallCaps w:val="0"/>
          <w:kern w:val="21"/>
        </w:rPr>
        <w:t>1</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"_Toc1996" </w:instrText>
      </w:r>
      <w:r>
        <w:fldChar w:fldCharType="separate"/>
      </w:r>
      <w:r>
        <w:rPr>
          <w:rFonts w:ascii="Times New Roman" w:hAnsi="Times New Roman"/>
          <w:kern w:val="21"/>
        </w:rPr>
        <w:t>1.2.1相关法律法规</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_Toc1996 </w:instrText>
      </w:r>
      <w:r>
        <w:rPr>
          <w:rFonts w:ascii="Times New Roman" w:hAnsi="Times New Roman"/>
          <w:kern w:val="21"/>
        </w:rPr>
        <w:fldChar w:fldCharType="separate"/>
      </w:r>
      <w:r>
        <w:rPr>
          <w:rFonts w:ascii="Times New Roman" w:hAnsi="Times New Roman"/>
          <w:kern w:val="21"/>
        </w:rPr>
        <w:t>1</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"_Toc28339" </w:instrText>
      </w:r>
      <w:r>
        <w:fldChar w:fldCharType="separate"/>
      </w:r>
      <w:r>
        <w:rPr>
          <w:rFonts w:ascii="Times New Roman" w:hAnsi="Times New Roman"/>
          <w:kern w:val="21"/>
        </w:rPr>
        <w:t>1.2.2相关标准、规范</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_Toc28339 </w:instrText>
      </w:r>
      <w:r>
        <w:rPr>
          <w:rFonts w:ascii="Times New Roman" w:hAnsi="Times New Roman"/>
          <w:kern w:val="21"/>
        </w:rPr>
        <w:fldChar w:fldCharType="separate"/>
      </w:r>
      <w:r>
        <w:rPr>
          <w:rFonts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"_Toc18294" </w:instrText>
      </w:r>
      <w:r>
        <w:fldChar w:fldCharType="separate"/>
      </w:r>
      <w:r>
        <w:rPr>
          <w:rFonts w:ascii="Times New Roman" w:hAnsi="Times New Roman"/>
          <w:kern w:val="21"/>
        </w:rPr>
        <w:t>1.2.3其他资料</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_Toc18294 </w:instrText>
      </w:r>
      <w:r>
        <w:rPr>
          <w:rFonts w:ascii="Times New Roman" w:hAnsi="Times New Roman"/>
          <w:kern w:val="21"/>
        </w:rPr>
        <w:fldChar w:fldCharType="separate"/>
      </w:r>
      <w:r>
        <w:rPr>
          <w:rFonts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"_Toc9144" </w:instrText>
      </w:r>
      <w:r>
        <w:fldChar w:fldCharType="separate"/>
      </w:r>
      <w:r>
        <w:rPr>
          <w:rFonts w:ascii="Times New Roman" w:hAnsi="Times New Roman"/>
          <w:smallCaps w:val="0"/>
          <w:kern w:val="21"/>
        </w:rPr>
        <w:t>1.3适用范围</w:t>
      </w:r>
      <w:r>
        <w:rPr>
          <w:rFonts w:ascii="Times New Roman" w:hAnsi="Times New Roman"/>
          <w:smallCaps w:val="0"/>
          <w:kern w:val="21"/>
        </w:rPr>
        <w:tab/>
      </w:r>
      <w:r>
        <w:rPr>
          <w:rFonts w:hint="eastAsia" w:ascii="Times New Roman" w:hAnsi="Times New Roman"/>
          <w:smallCaps w:val="0"/>
          <w:kern w:val="21"/>
        </w:rPr>
        <w:t>3</w:t>
      </w:r>
      <w:r>
        <w:rPr>
          <w:rFonts w:hint="eastAsia"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"_Toc28290" </w:instrText>
      </w:r>
      <w:r>
        <w:fldChar w:fldCharType="separate"/>
      </w:r>
      <w:r>
        <w:rPr>
          <w:rFonts w:ascii="Times New Roman" w:hAnsi="Times New Roman"/>
          <w:smallCaps w:val="0"/>
          <w:kern w:val="21"/>
        </w:rPr>
        <w:t>1.4事件分级</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_Toc28290 </w:instrText>
      </w:r>
      <w:r>
        <w:rPr>
          <w:rFonts w:ascii="Times New Roman" w:hAnsi="Times New Roman"/>
          <w:smallCaps w:val="0"/>
          <w:kern w:val="21"/>
        </w:rPr>
        <w:fldChar w:fldCharType="separate"/>
      </w:r>
      <w:r>
        <w:rPr>
          <w:rFonts w:ascii="Times New Roman" w:hAnsi="Times New Roman"/>
          <w:smallCaps w:val="0"/>
          <w:kern w:val="21"/>
        </w:rPr>
        <w:t>3</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"_Toc30182" </w:instrText>
      </w:r>
      <w:r>
        <w:fldChar w:fldCharType="separate"/>
      </w:r>
      <w:r>
        <w:rPr>
          <w:rFonts w:ascii="Times New Roman" w:hAnsi="Times New Roman"/>
          <w:kern w:val="21"/>
        </w:rPr>
        <w:t>1.4.1特别重大环境事件（Ⅰ级）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_Toc30182 </w:instrText>
      </w:r>
      <w:r>
        <w:rPr>
          <w:rFonts w:ascii="Times New Roman" w:hAnsi="Times New Roman"/>
          <w:kern w:val="21"/>
        </w:rPr>
        <w:fldChar w:fldCharType="separate"/>
      </w:r>
      <w:r>
        <w:rPr>
          <w:rFonts w:ascii="Times New Roman" w:hAnsi="Times New Roman"/>
          <w:kern w:val="21"/>
        </w:rPr>
        <w:t>3</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"_Toc21791" </w:instrText>
      </w:r>
      <w:r>
        <w:fldChar w:fldCharType="separate"/>
      </w:r>
      <w:r>
        <w:rPr>
          <w:rFonts w:ascii="Times New Roman" w:hAnsi="Times New Roman"/>
          <w:kern w:val="21"/>
        </w:rPr>
        <w:t>1.4.2重大环境事件（Ⅱ级）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_Toc21791 </w:instrText>
      </w:r>
      <w:r>
        <w:rPr>
          <w:rFonts w:ascii="Times New Roman" w:hAnsi="Times New Roman"/>
          <w:kern w:val="21"/>
        </w:rPr>
        <w:fldChar w:fldCharType="separate"/>
      </w:r>
      <w:r>
        <w:rPr>
          <w:rFonts w:ascii="Times New Roman" w:hAnsi="Times New Roman"/>
          <w:kern w:val="21"/>
        </w:rPr>
        <w:t>3</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"_Toc4403" </w:instrText>
      </w:r>
      <w:r>
        <w:fldChar w:fldCharType="separate"/>
      </w:r>
      <w:r>
        <w:rPr>
          <w:rFonts w:ascii="Times New Roman" w:hAnsi="Times New Roman"/>
          <w:kern w:val="21"/>
        </w:rPr>
        <w:t>1.4.3较大环境事件（Ⅲ级）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_Toc4403 </w:instrText>
      </w:r>
      <w:r>
        <w:rPr>
          <w:rFonts w:ascii="Times New Roman" w:hAnsi="Times New Roman"/>
          <w:kern w:val="21"/>
        </w:rPr>
        <w:fldChar w:fldCharType="separate"/>
      </w:r>
      <w:r>
        <w:rPr>
          <w:rFonts w:ascii="Times New Roman" w:hAnsi="Times New Roman"/>
          <w:kern w:val="21"/>
        </w:rPr>
        <w:t>4</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"_Toc25067" </w:instrText>
      </w:r>
      <w:r>
        <w:fldChar w:fldCharType="separate"/>
      </w:r>
      <w:r>
        <w:rPr>
          <w:rFonts w:ascii="Times New Roman" w:hAnsi="Times New Roman"/>
          <w:kern w:val="21"/>
        </w:rPr>
        <w:t>1.4.4一般环境事件（Ⅳ级）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_Toc25067 </w:instrText>
      </w:r>
      <w:r>
        <w:rPr>
          <w:rFonts w:ascii="Times New Roman" w:hAnsi="Times New Roman"/>
          <w:kern w:val="21"/>
        </w:rPr>
        <w:fldChar w:fldCharType="separate"/>
      </w:r>
      <w:r>
        <w:rPr>
          <w:rFonts w:ascii="Times New Roman" w:hAnsi="Times New Roman"/>
          <w:kern w:val="21"/>
        </w:rPr>
        <w:t>4</w:t>
      </w:r>
      <w:r>
        <w:rPr>
          <w:rFonts w:ascii="Times New Roman" w:hAnsi="Times New Roman"/>
          <w:kern w:val="21"/>
        </w:rPr>
        <w:fldChar w:fldCharType="end"/>
      </w:r>
      <w:r>
        <w:rPr>
          <w:rFonts w:ascii="Times New Roman" w:hAnsi="Times New Roman"/>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"_Toc27226" </w:instrText>
      </w:r>
      <w:r>
        <w:fldChar w:fldCharType="separate"/>
      </w:r>
      <w:r>
        <w:rPr>
          <w:rFonts w:ascii="Times New Roman" w:hAnsi="Times New Roman"/>
          <w:smallCaps w:val="0"/>
          <w:kern w:val="21"/>
        </w:rPr>
        <w:t>1.5应急联动机制</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_Toc27226 </w:instrText>
      </w:r>
      <w:r>
        <w:rPr>
          <w:rFonts w:ascii="Times New Roman" w:hAnsi="Times New Roman"/>
          <w:smallCaps w:val="0"/>
          <w:kern w:val="21"/>
        </w:rPr>
        <w:fldChar w:fldCharType="separate"/>
      </w:r>
      <w:r>
        <w:rPr>
          <w:rFonts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"_Toc1277" </w:instrText>
      </w:r>
      <w:r>
        <w:fldChar w:fldCharType="separate"/>
      </w:r>
      <w:r>
        <w:rPr>
          <w:rFonts w:ascii="Times New Roman" w:hAnsi="Times New Roman"/>
          <w:smallCaps w:val="0"/>
          <w:kern w:val="21"/>
        </w:rPr>
        <w:t>1.6工作原则</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_Toc1277 </w:instrText>
      </w:r>
      <w:r>
        <w:rPr>
          <w:rFonts w:ascii="Times New Roman" w:hAnsi="Times New Roman"/>
          <w:smallCaps w:val="0"/>
          <w:kern w:val="21"/>
        </w:rPr>
        <w:fldChar w:fldCharType="separate"/>
      </w:r>
      <w:r>
        <w:rPr>
          <w:rFonts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"_Toc28209" </w:instrText>
      </w:r>
      <w:r>
        <w:fldChar w:fldCharType="separate"/>
      </w:r>
      <w:r>
        <w:rPr>
          <w:rFonts w:ascii="Times New Roman" w:hAnsi="Times New Roman"/>
          <w:smallCaps w:val="0"/>
          <w:kern w:val="21"/>
        </w:rPr>
        <w:t>1.7应急预案体系</w:t>
      </w:r>
      <w:r>
        <w:rPr>
          <w:rFonts w:ascii="Times New Roman" w:hAnsi="Times New Roman"/>
          <w:smallCaps w:val="0"/>
          <w:kern w:val="21"/>
        </w:rPr>
        <w:tab/>
      </w:r>
      <w:r>
        <w:rPr>
          <w:rFonts w:hint="eastAsia" w:ascii="Times New Roman" w:hAnsi="Times New Roman"/>
          <w:smallCaps w:val="0"/>
          <w:kern w:val="21"/>
        </w:rPr>
        <w:t>6</w:t>
      </w:r>
      <w:r>
        <w:rPr>
          <w:rFonts w:hint="eastAsia" w:ascii="Times New Roman" w:hAnsi="Times New Roman"/>
          <w:smallCaps w:val="0"/>
          <w:kern w:val="21"/>
        </w:rPr>
        <w:fldChar w:fldCharType="end"/>
      </w:r>
    </w:p>
    <w:p>
      <w:pPr>
        <w:pStyle w:val="32"/>
        <w:tabs>
          <w:tab w:val="right" w:leader="dot" w:pos="9690"/>
        </w:tabs>
        <w:ind w:firstLine="562"/>
        <w:rPr>
          <w:caps w:val="0"/>
          <w:kern w:val="21"/>
        </w:rPr>
      </w:pPr>
      <w:r>
        <w:fldChar w:fldCharType="begin"/>
      </w:r>
      <w:r>
        <w:instrText xml:space="preserve"> HYPERLINK \l "_Toc18539" </w:instrText>
      </w:r>
      <w:r>
        <w:fldChar w:fldCharType="separate"/>
      </w:r>
      <w:r>
        <w:rPr>
          <w:caps w:val="0"/>
          <w:kern w:val="21"/>
        </w:rPr>
        <w:t>2、企业基本情况</w:t>
      </w:r>
      <w:r>
        <w:rPr>
          <w:caps w:val="0"/>
          <w:kern w:val="21"/>
        </w:rPr>
        <w:tab/>
      </w:r>
      <w:r>
        <w:rPr>
          <w:caps w:val="0"/>
          <w:kern w:val="21"/>
        </w:rPr>
        <w:fldChar w:fldCharType="begin"/>
      </w:r>
      <w:r>
        <w:rPr>
          <w:caps w:val="0"/>
          <w:kern w:val="21"/>
        </w:rPr>
        <w:instrText xml:space="preserve"> PAGEREF _Toc18539 </w:instrText>
      </w:r>
      <w:r>
        <w:rPr>
          <w:caps w:val="0"/>
          <w:kern w:val="21"/>
        </w:rPr>
        <w:fldChar w:fldCharType="separate"/>
      </w:r>
      <w:r>
        <w:rPr>
          <w:caps w:val="0"/>
          <w:kern w:val="21"/>
        </w:rPr>
        <w:t>8</w:t>
      </w:r>
      <w:r>
        <w:rPr>
          <w:caps w:val="0"/>
          <w:kern w:val="21"/>
        </w:rPr>
        <w:fldChar w:fldCharType="end"/>
      </w:r>
      <w:r>
        <w:rPr>
          <w: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"_Toc29871" </w:instrText>
      </w:r>
      <w:r>
        <w:fldChar w:fldCharType="separate"/>
      </w:r>
      <w:r>
        <w:rPr>
          <w:rFonts w:ascii="Times New Roman" w:hAnsi="Times New Roman"/>
          <w:smallCaps w:val="0"/>
          <w:kern w:val="21"/>
        </w:rPr>
        <w:t>2.1 企业简介</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_Toc29871 </w:instrText>
      </w:r>
      <w:r>
        <w:rPr>
          <w:rFonts w:ascii="Times New Roman" w:hAnsi="Times New Roman"/>
          <w:smallCaps w:val="0"/>
          <w:kern w:val="21"/>
        </w:rPr>
        <w:fldChar w:fldCharType="separate"/>
      </w:r>
      <w:r>
        <w:rPr>
          <w:rFonts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"_Toc2491" </w:instrText>
      </w:r>
      <w:r>
        <w:fldChar w:fldCharType="separate"/>
      </w:r>
      <w:r>
        <w:rPr>
          <w:rFonts w:ascii="Times New Roman" w:hAnsi="Times New Roman"/>
          <w:smallCaps w:val="0"/>
          <w:kern w:val="21"/>
          <w:szCs w:val="30"/>
        </w:rPr>
        <w:t>2.2 企业</w:t>
      </w:r>
      <w:r>
        <w:rPr>
          <w:rFonts w:ascii="Times New Roman" w:hAnsi="Times New Roman"/>
          <w:smallCaps w:val="0"/>
          <w:kern w:val="21"/>
          <w:szCs w:val="28"/>
        </w:rPr>
        <w:t>生产</w:t>
      </w:r>
      <w:r>
        <w:rPr>
          <w:rFonts w:ascii="Times New Roman" w:hAnsi="Times New Roman"/>
          <w:smallCaps w:val="0"/>
          <w:kern w:val="21"/>
          <w:szCs w:val="30"/>
        </w:rPr>
        <w:t>现状</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_Toc2491 </w:instrText>
      </w:r>
      <w:r>
        <w:rPr>
          <w:rFonts w:ascii="Times New Roman" w:hAnsi="Times New Roman"/>
          <w:smallCaps w:val="0"/>
          <w:kern w:val="21"/>
        </w:rPr>
        <w:fldChar w:fldCharType="separate"/>
      </w:r>
      <w:r>
        <w:rPr>
          <w:rFonts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"_Toc23809" </w:instrText>
      </w:r>
      <w:r>
        <w:fldChar w:fldCharType="separate"/>
      </w:r>
      <w:r>
        <w:rPr>
          <w:rFonts w:ascii="Times New Roman" w:hAnsi="Times New Roman"/>
          <w:kern w:val="21"/>
        </w:rPr>
        <w:t>2.2.1 原辅材料消耗情况</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_Toc23809 </w:instrText>
      </w:r>
      <w:r>
        <w:rPr>
          <w:rFonts w:ascii="Times New Roman" w:hAnsi="Times New Roman"/>
          <w:kern w:val="21"/>
        </w:rPr>
        <w:fldChar w:fldCharType="separate"/>
      </w:r>
      <w:r>
        <w:rPr>
          <w:rFonts w:ascii="Times New Roman" w:hAnsi="Times New Roman"/>
          <w:kern w:val="21"/>
        </w:rPr>
        <w:t>8</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"_Toc19488" </w:instrText>
      </w:r>
      <w:r>
        <w:fldChar w:fldCharType="separate"/>
      </w:r>
      <w:r>
        <w:rPr>
          <w:rFonts w:ascii="Times New Roman" w:hAnsi="Times New Roman"/>
          <w:kern w:val="21"/>
        </w:rPr>
        <w:t>2.2.2主要产品及规模</w:t>
      </w:r>
      <w:r>
        <w:rPr>
          <w:rFonts w:ascii="Times New Roman" w:hAnsi="Times New Roman"/>
          <w:kern w:val="21"/>
        </w:rPr>
        <w:tab/>
      </w:r>
      <w:r>
        <w:rPr>
          <w:rFonts w:hint="eastAsia" w:ascii="Times New Roman" w:hAnsi="Times New Roman"/>
          <w:kern w:val="21"/>
        </w:rPr>
        <w:t>9</w:t>
      </w:r>
      <w:r>
        <w:rPr>
          <w:rFonts w:hint="eastAsia"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"_Toc9055" </w:instrText>
      </w:r>
      <w:r>
        <w:fldChar w:fldCharType="separate"/>
      </w:r>
      <w:r>
        <w:rPr>
          <w:rFonts w:ascii="Times New Roman" w:hAnsi="Times New Roman"/>
          <w:kern w:val="21"/>
        </w:rPr>
        <w:t>2.2.3 主要生产设备</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_Toc9055 </w:instrText>
      </w:r>
      <w:r>
        <w:rPr>
          <w:rFonts w:ascii="Times New Roman" w:hAnsi="Times New Roman"/>
          <w:kern w:val="21"/>
        </w:rPr>
        <w:fldChar w:fldCharType="separate"/>
      </w:r>
      <w:r>
        <w:rPr>
          <w:rFonts w:ascii="Times New Roman" w:hAnsi="Times New Roman"/>
          <w:kern w:val="21"/>
        </w:rPr>
        <w:t>9</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"_Toc20860" </w:instrText>
      </w:r>
      <w:r>
        <w:fldChar w:fldCharType="separate"/>
      </w:r>
      <w:r>
        <w:rPr>
          <w:rFonts w:ascii="Times New Roman" w:hAnsi="Times New Roman"/>
          <w:kern w:val="21"/>
        </w:rPr>
        <w:t>2.2.4主要构建筑物</w:t>
      </w:r>
      <w:r>
        <w:rPr>
          <w:rFonts w:ascii="Times New Roman" w:hAnsi="Times New Roman"/>
          <w:kern w:val="21"/>
        </w:rPr>
        <w:tab/>
      </w:r>
      <w:r>
        <w:rPr>
          <w:rFonts w:hint="eastAsia" w:ascii="Times New Roman" w:hAnsi="Times New Roman"/>
          <w:kern w:val="21"/>
        </w:rPr>
        <w:t>1</w:t>
      </w:r>
      <w:r>
        <w:rPr>
          <w:rFonts w:hint="eastAsia" w:ascii="Times New Roman" w:hAnsi="Times New Roman"/>
          <w:kern w:val="21"/>
        </w:rPr>
        <w:fldChar w:fldCharType="end"/>
      </w:r>
      <w:r>
        <w:rPr>
          <w:rFonts w:hint="eastAsia" w:ascii="Times New Roman" w:hAnsi="Times New Roman"/>
          <w:bCs/>
          <w:kern w:val="21"/>
          <w:szCs w:val="24"/>
        </w:rPr>
        <w:t>1</w:t>
      </w:r>
    </w:p>
    <w:p>
      <w:pPr>
        <w:pStyle w:val="24"/>
        <w:tabs>
          <w:tab w:val="right" w:leader="dot" w:pos="9690"/>
        </w:tabs>
        <w:ind w:firstLine="480"/>
        <w:rPr>
          <w:rFonts w:ascii="Times New Roman" w:hAnsi="Times New Roman"/>
          <w:kern w:val="21"/>
        </w:rPr>
      </w:pPr>
      <w:r>
        <w:fldChar w:fldCharType="begin"/>
      </w:r>
      <w:r>
        <w:instrText xml:space="preserve"> HYPERLINK \l "_Toc1670" </w:instrText>
      </w:r>
      <w:r>
        <w:fldChar w:fldCharType="separate"/>
      </w:r>
      <w:r>
        <w:rPr>
          <w:rFonts w:ascii="Times New Roman" w:hAnsi="Times New Roman"/>
          <w:kern w:val="21"/>
        </w:rPr>
        <w:t>2.2.5污水处理工艺流程</w:t>
      </w:r>
      <w:r>
        <w:rPr>
          <w:rFonts w:ascii="Times New Roman" w:hAnsi="Times New Roman"/>
          <w:kern w:val="21"/>
        </w:rPr>
        <w:tab/>
      </w:r>
      <w:r>
        <w:rPr>
          <w:rFonts w:hint="eastAsia" w:ascii="Times New Roman" w:hAnsi="Times New Roman"/>
          <w:kern w:val="21"/>
        </w:rPr>
        <w:t>1</w:t>
      </w:r>
      <w:r>
        <w:rPr>
          <w:rFonts w:hint="eastAsia" w:ascii="Times New Roman" w:hAnsi="Times New Roman"/>
          <w:kern w:val="21"/>
        </w:rPr>
        <w:fldChar w:fldCharType="end"/>
      </w:r>
      <w:r>
        <w:rPr>
          <w:rFonts w:hint="eastAsia" w:ascii="Times New Roman" w:hAnsi="Times New Roman"/>
          <w:bCs/>
          <w:kern w:val="21"/>
          <w:szCs w:val="24"/>
        </w:rPr>
        <w:t>3</w:t>
      </w:r>
    </w:p>
    <w:p>
      <w:pPr>
        <w:pStyle w:val="32"/>
        <w:tabs>
          <w:tab w:val="right" w:leader="dot" w:pos="9690"/>
        </w:tabs>
        <w:ind w:firstLine="562"/>
        <w:rPr>
          <w:caps w:val="0"/>
          <w:kern w:val="21"/>
        </w:rPr>
      </w:pPr>
      <w:r>
        <w:fldChar w:fldCharType="begin"/>
      </w:r>
      <w:r>
        <w:instrText xml:space="preserve"> HYPERLINK \l "_Toc19352" </w:instrText>
      </w:r>
      <w:r>
        <w:fldChar w:fldCharType="separate"/>
      </w:r>
      <w:r>
        <w:rPr>
          <w:caps w:val="0"/>
          <w:kern w:val="21"/>
        </w:rPr>
        <w:t>3、</w:t>
      </w:r>
      <w:r>
        <w:rPr>
          <w:rFonts w:hint="eastAsia"/>
          <w:sz w:val="32"/>
        </w:rPr>
        <w:t>组织机构和职责</w:t>
      </w:r>
      <w:r>
        <w:rPr>
          <w:caps w:val="0"/>
          <w:kern w:val="21"/>
        </w:rPr>
        <w:tab/>
      </w:r>
      <w:r>
        <w:rPr>
          <w:rFonts w:hint="eastAsia"/>
          <w:caps w:val="0"/>
          <w:kern w:val="21"/>
        </w:rPr>
        <w:t>1</w:t>
      </w:r>
      <w:r>
        <w:rPr>
          <w:rFonts w:hint="eastAsia"/>
          <w:caps w:val="0"/>
          <w:kern w:val="21"/>
        </w:rPr>
        <w:fldChar w:fldCharType="end"/>
      </w:r>
      <w:r>
        <w:rPr>
          <w:rFonts w:hint="eastAsia"/>
          <w:bCs w:val="0"/>
          <w:caps w:val="0"/>
          <w:kern w:val="21"/>
          <w:szCs w:val="24"/>
        </w:rPr>
        <w:t>7</w:t>
      </w:r>
    </w:p>
    <w:p>
      <w:pPr>
        <w:pStyle w:val="39"/>
        <w:tabs>
          <w:tab w:val="right" w:leader="dot" w:pos="9690"/>
        </w:tabs>
        <w:ind w:firstLine="480"/>
        <w:rPr>
          <w:rFonts w:ascii="Times New Roman" w:hAnsi="Times New Roman"/>
          <w:smallCaps w:val="0"/>
          <w:kern w:val="21"/>
        </w:rPr>
      </w:pPr>
      <w:r>
        <w:fldChar w:fldCharType="begin"/>
      </w:r>
      <w:r>
        <w:instrText xml:space="preserve"> HYPERLINK \l "_Toc5613" </w:instrText>
      </w:r>
      <w:r>
        <w:fldChar w:fldCharType="separate"/>
      </w:r>
      <w:r>
        <w:rPr>
          <w:rFonts w:ascii="Times New Roman" w:hAnsi="Times New Roman"/>
          <w:smallCaps w:val="0"/>
          <w:kern w:val="21"/>
        </w:rPr>
        <w:t>3.1</w:t>
      </w:r>
      <w:r>
        <w:rPr>
          <w:kern w:val="21"/>
        </w:rPr>
        <w:t>应急组织架构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"_Toc13761" </w:instrText>
      </w:r>
      <w:r>
        <w:fldChar w:fldCharType="separate"/>
      </w:r>
      <w:r>
        <w:rPr>
          <w:rFonts w:ascii="Times New Roman" w:hAnsi="Times New Roman"/>
          <w:kern w:val="21"/>
        </w:rPr>
        <w:t>3.1.1</w:t>
      </w:r>
      <w:r>
        <w:rPr>
          <w:kern w:val="21"/>
        </w:rPr>
        <w:t>应急组织体系</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_Toc13761 </w:instrText>
      </w:r>
      <w:r>
        <w:rPr>
          <w:rFonts w:ascii="Times New Roman" w:hAnsi="Times New Roman"/>
          <w:kern w:val="21"/>
        </w:rPr>
        <w:fldChar w:fldCharType="separate"/>
      </w:r>
      <w:r>
        <w:rPr>
          <w:rFonts w:ascii="Times New Roman" w:hAnsi="Times New Roman"/>
          <w:kern w:val="21"/>
        </w:rPr>
        <w:t>1</w:t>
      </w:r>
      <w:r>
        <w:rPr>
          <w:rFonts w:hint="eastAsia" w:ascii="Times New Roman" w:hAnsi="Times New Roman"/>
          <w:kern w:val="21"/>
        </w:rPr>
        <w:t>7</w:t>
      </w:r>
      <w:r>
        <w:rPr>
          <w:rFonts w:ascii="Times New Roman" w:hAnsi="Times New Roman"/>
          <w:kern w:val="21"/>
        </w:rPr>
        <w:fldChar w:fldCharType="end"/>
      </w:r>
      <w:r>
        <w:rPr>
          <w:rFonts w:ascii="Times New Roman" w:hAnsi="Times New Roman"/>
          <w:kern w:val="21"/>
        </w:rPr>
        <w:fldChar w:fldCharType="end"/>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"_Toc9639" </w:instrText>
      </w:r>
      <w:r>
        <w:fldChar w:fldCharType="separate"/>
      </w:r>
      <w:r>
        <w:rPr>
          <w:rFonts w:ascii="Times New Roman" w:hAnsi="Times New Roman"/>
          <w:smallCaps w:val="0"/>
          <w:kern w:val="21"/>
        </w:rPr>
        <w:t>3.2</w:t>
      </w:r>
      <w:r>
        <w:rPr>
          <w:kern w:val="21"/>
        </w:rPr>
        <w:t>内部应急机构职责职责</w:t>
      </w:r>
      <w:r>
        <w:rPr>
          <w:rFonts w:ascii="Times New Roman" w:hAnsi="Times New Roman"/>
          <w:smallCaps w:val="0"/>
          <w:kern w:val="21"/>
        </w:rPr>
        <w:tab/>
      </w:r>
      <w:r>
        <w:rPr>
          <w:rFonts w:hint="eastAsia" w:ascii="Times New Roman" w:hAnsi="Times New Roman"/>
          <w:smallCaps w:val="0"/>
          <w:kern w:val="21"/>
        </w:rPr>
        <w:t>1</w:t>
      </w:r>
      <w:r>
        <w:rPr>
          <w:rFonts w:hint="eastAsia" w:ascii="Times New Roman" w:hAnsi="Times New Roman"/>
          <w:smallCaps w:val="0"/>
          <w:kern w:val="21"/>
        </w:rPr>
        <w:fldChar w:fldCharType="end"/>
      </w:r>
      <w:r>
        <w:rPr>
          <w:rFonts w:hint="eastAsia" w:ascii="Times New Roman" w:hAnsi="Times New Roman"/>
          <w:bCs/>
          <w:smallCaps w:val="0"/>
          <w:kern w:val="21"/>
          <w:szCs w:val="24"/>
        </w:rPr>
        <w:t>7</w:t>
      </w:r>
    </w:p>
    <w:p>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2.1</w:t>
      </w:r>
      <w:r>
        <w:rPr>
          <w:kern w:val="21"/>
        </w:rPr>
        <w:t>应急组织架构</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2.2</w:t>
      </w:r>
      <w:r>
        <w:rPr>
          <w:kern w:val="21"/>
        </w:rPr>
        <w:t>应急救援专业队伍</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8</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pPr>
      <w:r>
        <w:fldChar w:fldCharType="begin"/>
      </w:r>
      <w:r>
        <w:instrText xml:space="preserve"> HYPERLINK \l "_Toc5613" </w:instrText>
      </w:r>
      <w:r>
        <w:fldChar w:fldCharType="separate"/>
      </w:r>
      <w:r>
        <w:rPr>
          <w:rFonts w:ascii="Times New Roman" w:hAnsi="Times New Roman"/>
          <w:smallCaps w:val="0"/>
          <w:kern w:val="21"/>
        </w:rPr>
        <w:t>3.</w:t>
      </w:r>
      <w:r>
        <w:rPr>
          <w:rFonts w:hint="eastAsia" w:ascii="Times New Roman" w:hAnsi="Times New Roman"/>
          <w:smallCaps w:val="0"/>
          <w:kern w:val="21"/>
        </w:rPr>
        <w:t>3</w:t>
      </w:r>
      <w:r>
        <w:rPr>
          <w:kern w:val="21"/>
        </w:rPr>
        <w:t>外部指挥和协调</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_Toc5613 </w:instrText>
      </w:r>
      <w:r>
        <w:rPr>
          <w:rFonts w:ascii="Times New Roman" w:hAnsi="Times New Roman"/>
          <w:smallCaps w:val="0"/>
          <w:kern w:val="21"/>
        </w:rPr>
        <w:fldChar w:fldCharType="separate"/>
      </w:r>
      <w:r>
        <w:rPr>
          <w:rFonts w:ascii="Times New Roman" w:hAnsi="Times New Roman"/>
          <w:smallCaps w:val="0"/>
          <w:kern w:val="21"/>
        </w:rPr>
        <w:t>1</w:t>
      </w:r>
      <w:r>
        <w:rPr>
          <w:rFonts w:hint="eastAsia" w:ascii="Times New Roman" w:hAnsi="Times New Roman"/>
          <w:smallCaps w:val="0"/>
          <w:kern w:val="21"/>
        </w:rPr>
        <w:t>9</w:t>
      </w:r>
      <w:r>
        <w:rPr>
          <w:rFonts w:ascii="Times New Roman" w:hAnsi="Times New Roman"/>
          <w:smallCaps w:val="0"/>
          <w:kern w:val="21"/>
        </w:rPr>
        <w:fldChar w:fldCharType="end"/>
      </w:r>
      <w:r>
        <w:rPr>
          <w:rFonts w:ascii="Times New Roman" w:hAnsi="Times New Roman"/>
          <w:smallCaps w:val="0"/>
          <w:kern w:val="21"/>
        </w:rPr>
        <w:fldChar w:fldCharType="end"/>
      </w:r>
    </w:p>
    <w:p>
      <w:pPr>
        <w:pStyle w:val="32"/>
        <w:tabs>
          <w:tab w:val="right" w:leader="dot" w:pos="9690"/>
        </w:tabs>
        <w:ind w:firstLine="562"/>
        <w:rPr>
          <w:caps w:val="0"/>
          <w:kern w:val="21"/>
        </w:rPr>
      </w:pPr>
      <w:r>
        <w:fldChar w:fldCharType="begin"/>
      </w:r>
      <w:r>
        <w:instrText xml:space="preserve"> HYPERLINK \l "_Toc22605" </w:instrText>
      </w:r>
      <w:r>
        <w:fldChar w:fldCharType="separate"/>
      </w:r>
      <w:r>
        <w:rPr>
          <w:caps w:val="0"/>
          <w:kern w:val="21"/>
        </w:rPr>
        <w:t>4、</w:t>
      </w:r>
      <w:r>
        <w:rPr>
          <w:rFonts w:hint="eastAsia"/>
          <w:kern w:val="21"/>
        </w:rPr>
        <w:t>预防、预警及信息报告</w:t>
      </w:r>
      <w:r>
        <w:rPr>
          <w:caps w:val="0"/>
          <w:kern w:val="21"/>
        </w:rPr>
        <w:tab/>
      </w:r>
      <w:r>
        <w:rPr>
          <w:caps w:val="0"/>
          <w:kern w:val="21"/>
        </w:rPr>
        <w:fldChar w:fldCharType="begin"/>
      </w:r>
      <w:r>
        <w:rPr>
          <w:caps w:val="0"/>
          <w:kern w:val="21"/>
        </w:rPr>
        <w:instrText xml:space="preserve"> PAGEREF _Toc22605 </w:instrText>
      </w:r>
      <w:r>
        <w:rPr>
          <w:caps w:val="0"/>
          <w:kern w:val="21"/>
        </w:rPr>
        <w:fldChar w:fldCharType="separate"/>
      </w:r>
      <w:r>
        <w:rPr>
          <w:caps w:val="0"/>
          <w:kern w:val="21"/>
        </w:rPr>
        <w:t>21</w:t>
      </w:r>
      <w:r>
        <w:rPr>
          <w:caps w:val="0"/>
          <w:kern w:val="21"/>
        </w:rPr>
        <w:fldChar w:fldCharType="end"/>
      </w:r>
      <w:r>
        <w:rPr>
          <w: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"_Toc830" </w:instrText>
      </w:r>
      <w:r>
        <w:fldChar w:fldCharType="separate"/>
      </w:r>
      <w:r>
        <w:rPr>
          <w:rFonts w:ascii="Times New Roman" w:hAnsi="Times New Roman"/>
          <w:smallCaps w:val="0"/>
          <w:kern w:val="21"/>
        </w:rPr>
        <w:t>4.1</w:t>
      </w:r>
      <w:r>
        <w:rPr>
          <w:rFonts w:hint="eastAsia" w:ascii="Times New Roman" w:hAnsi="Times New Roman"/>
          <w:kern w:val="21"/>
        </w:rPr>
        <w:t>预防工作</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_Toc830 </w:instrText>
      </w:r>
      <w:r>
        <w:rPr>
          <w:rFonts w:ascii="Times New Roman" w:hAnsi="Times New Roman"/>
          <w:smallCaps w:val="0"/>
          <w:kern w:val="21"/>
        </w:rPr>
        <w:fldChar w:fldCharType="separate"/>
      </w:r>
      <w:r>
        <w:rPr>
          <w:rFonts w:ascii="Times New Roman" w:hAnsi="Times New Roman"/>
          <w:smallCaps w:val="0"/>
          <w:kern w:val="21"/>
        </w:rPr>
        <w:t>21</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bCs/>
          <w:kern w:val="21"/>
          <w:szCs w:val="24"/>
        </w:rPr>
      </w:pPr>
      <w:r>
        <w:fldChar w:fldCharType="begin"/>
      </w:r>
      <w:r>
        <w:instrText xml:space="preserve"> HYPERLINK \l "_Toc116" </w:instrText>
      </w:r>
      <w:r>
        <w:fldChar w:fldCharType="separate"/>
      </w:r>
      <w:r>
        <w:rPr>
          <w:rFonts w:ascii="Times New Roman" w:hAnsi="Times New Roman"/>
          <w:kern w:val="21"/>
        </w:rPr>
        <w:t xml:space="preserve">4.1.1 </w:t>
      </w:r>
      <w:r>
        <w:rPr>
          <w:rFonts w:hint="eastAsia"/>
        </w:rPr>
        <w:t>环境风险源监控</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21</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bCs/>
          <w:kern w:val="21"/>
          <w:szCs w:val="24"/>
        </w:rPr>
      </w:pPr>
      <w:r>
        <w:fldChar w:fldCharType="begin"/>
      </w:r>
      <w:r>
        <w:instrText xml:space="preserve"> HYPERLINK \l "_Toc116" </w:instrText>
      </w:r>
      <w:r>
        <w:fldChar w:fldCharType="separate"/>
      </w:r>
      <w:r>
        <w:rPr>
          <w:rFonts w:ascii="Times New Roman" w:hAnsi="Times New Roman"/>
          <w:kern w:val="21"/>
        </w:rPr>
        <w:t>4.1.</w:t>
      </w:r>
      <w:r>
        <w:rPr>
          <w:rFonts w:hint="eastAsia" w:ascii="Times New Roman" w:hAnsi="Times New Roman"/>
          <w:kern w:val="21"/>
        </w:rPr>
        <w:t>2</w:t>
      </w:r>
      <w:r>
        <w:rPr>
          <w:rFonts w:ascii="Times New Roman" w:hAnsi="Times New Roman"/>
          <w:kern w:val="21"/>
        </w:rPr>
        <w:t xml:space="preserve"> </w:t>
      </w:r>
      <w:r>
        <w:rPr>
          <w:rFonts w:hint="eastAsia"/>
        </w:rPr>
        <w:t>防范措施</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21</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pPr>
      <w:r>
        <w:fldChar w:fldCharType="begin"/>
      </w:r>
      <w:r>
        <w:instrText xml:space="preserve"> HYPERLINK \l "_Toc116" </w:instrText>
      </w:r>
      <w:r>
        <w:fldChar w:fldCharType="separate"/>
      </w:r>
      <w:r>
        <w:rPr>
          <w:rFonts w:ascii="Times New Roman" w:hAnsi="Times New Roman"/>
          <w:kern w:val="21"/>
        </w:rPr>
        <w:t>4.1.</w:t>
      </w:r>
      <w:r>
        <w:rPr>
          <w:rFonts w:hint="eastAsia" w:ascii="Times New Roman" w:hAnsi="Times New Roman"/>
          <w:kern w:val="21"/>
        </w:rPr>
        <w:t>3</w:t>
      </w:r>
      <w:r>
        <w:rPr>
          <w:rFonts w:ascii="Times New Roman" w:hAnsi="Times New Roman"/>
          <w:kern w:val="21"/>
        </w:rPr>
        <w:t xml:space="preserve"> </w:t>
      </w:r>
      <w:r>
        <w:rPr>
          <w:rFonts w:hint="eastAsia"/>
        </w:rPr>
        <w:t>环境风险隐患排查和整治措施</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_Toc116 </w:instrText>
      </w:r>
      <w:r>
        <w:rPr>
          <w:rFonts w:ascii="Times New Roman" w:hAnsi="Times New Roman"/>
          <w:kern w:val="21"/>
        </w:rPr>
        <w:fldChar w:fldCharType="separate"/>
      </w:r>
      <w:r>
        <w:rPr>
          <w:rFonts w:ascii="Times New Roman" w:hAnsi="Times New Roman"/>
          <w:kern w:val="21"/>
        </w:rPr>
        <w:t>2</w:t>
      </w:r>
      <w:r>
        <w:rPr>
          <w:rFonts w:hint="eastAsia" w:ascii="Times New Roman" w:hAnsi="Times New Roman"/>
          <w:kern w:val="21"/>
        </w:rPr>
        <w:t>2</w:t>
      </w:r>
      <w:r>
        <w:rPr>
          <w:rFonts w:ascii="Times New Roman" w:hAnsi="Times New Roman"/>
          <w:kern w:val="21"/>
        </w:rPr>
        <w:fldChar w:fldCharType="end"/>
      </w:r>
      <w:r>
        <w:rPr>
          <w:rFonts w:ascii="Times New Roman" w:hAnsi="Times New Roman"/>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"_Toc31393" </w:instrText>
      </w:r>
      <w:r>
        <w:fldChar w:fldCharType="separate"/>
      </w:r>
      <w:r>
        <w:rPr>
          <w:rFonts w:ascii="Times New Roman" w:hAnsi="Times New Roman"/>
          <w:smallCaps w:val="0"/>
          <w:kern w:val="21"/>
        </w:rPr>
        <w:t xml:space="preserve">4.2 </w:t>
      </w:r>
      <w:r>
        <w:rPr>
          <w:rFonts w:hint="eastAsia" w:ascii="Times New Roman" w:hAnsi="Times New Roman"/>
          <w:kern w:val="21"/>
        </w:rPr>
        <w:t>应急准备</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3</w:t>
      </w:r>
    </w:p>
    <w:p>
      <w:pPr>
        <w:pStyle w:val="24"/>
        <w:tabs>
          <w:tab w:val="right" w:leader="dot" w:pos="9690"/>
        </w:tabs>
        <w:ind w:firstLine="480"/>
        <w:rPr>
          <w:rFonts w:ascii="Times New Roman" w:hAnsi="Times New Roman"/>
          <w:kern w:val="21"/>
        </w:rPr>
      </w:pPr>
      <w:r>
        <w:fldChar w:fldCharType="begin"/>
      </w:r>
      <w:r>
        <w:instrText xml:space="preserve"> HYPERLINK \l "_Toc13015" </w:instrText>
      </w:r>
      <w:r>
        <w:fldChar w:fldCharType="separate"/>
      </w:r>
      <w:r>
        <w:rPr>
          <w:rFonts w:ascii="Times New Roman" w:hAnsi="Times New Roman"/>
          <w:kern w:val="21"/>
        </w:rPr>
        <w:t>4.2.1</w:t>
      </w:r>
      <w:r>
        <w:rPr>
          <w:rFonts w:hint="eastAsia"/>
        </w:rPr>
        <w:t>建立应急指挥中心</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3</w:t>
      </w:r>
    </w:p>
    <w:p>
      <w:pPr>
        <w:pStyle w:val="24"/>
        <w:tabs>
          <w:tab w:val="right" w:leader="dot" w:pos="9690"/>
        </w:tabs>
        <w:ind w:firstLine="480"/>
        <w:rPr>
          <w:rFonts w:ascii="Times New Roman" w:hAnsi="Times New Roman"/>
          <w:bCs/>
          <w:kern w:val="21"/>
          <w:szCs w:val="24"/>
        </w:rPr>
      </w:pPr>
      <w:r>
        <w:fldChar w:fldCharType="begin"/>
      </w:r>
      <w:r>
        <w:instrText xml:space="preserve"> HYPERLINK \l "_Toc24946" </w:instrText>
      </w:r>
      <w:r>
        <w:fldChar w:fldCharType="separate"/>
      </w:r>
      <w:r>
        <w:rPr>
          <w:rFonts w:ascii="Times New Roman" w:hAnsi="Times New Roman"/>
          <w:kern w:val="21"/>
        </w:rPr>
        <w:t>4.2.2</w:t>
      </w:r>
      <w:r>
        <w:rPr>
          <w:rFonts w:hint="eastAsia"/>
        </w:rPr>
        <w:t>应急物资配备</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4</w:t>
      </w:r>
    </w:p>
    <w:p>
      <w:pPr>
        <w:pStyle w:val="24"/>
        <w:tabs>
          <w:tab w:val="right" w:leader="dot" w:pos="9690"/>
        </w:tabs>
        <w:ind w:firstLine="480"/>
      </w:pPr>
      <w:r>
        <w:fldChar w:fldCharType="begin"/>
      </w:r>
      <w:r>
        <w:instrText xml:space="preserve"> HYPERLINK \l "_Toc24946" </w:instrText>
      </w:r>
      <w:r>
        <w:fldChar w:fldCharType="separate"/>
      </w:r>
      <w:r>
        <w:rPr>
          <w:rFonts w:ascii="Times New Roman" w:hAnsi="Times New Roman"/>
          <w:kern w:val="21"/>
        </w:rPr>
        <w:t>4.2.</w:t>
      </w:r>
      <w:r>
        <w:rPr>
          <w:rFonts w:hint="eastAsia" w:ascii="Times New Roman" w:hAnsi="Times New Roman"/>
          <w:kern w:val="21"/>
        </w:rPr>
        <w:t>3</w:t>
      </w:r>
      <w:r>
        <w:rPr>
          <w:rFonts w:hint="eastAsia"/>
        </w:rPr>
        <w:t>加强应急能力建设</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4</w:t>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4.3</w:t>
      </w:r>
      <w:r>
        <w:rPr>
          <w:rFonts w:hint="eastAsia" w:ascii="Times New Roman" w:hAnsi="Times New Roman"/>
          <w:kern w:val="21"/>
        </w:rPr>
        <w:t>预警分级</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4</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4</w:t>
      </w:r>
      <w:r>
        <w:rPr>
          <w:rFonts w:hint="eastAsia" w:ascii="Times New Roman" w:hAnsi="Times New Roman"/>
          <w:kern w:val="21"/>
        </w:rPr>
        <w:t>预警行动</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pPr>
        <w:pStyle w:val="24"/>
        <w:tabs>
          <w:tab w:val="right" w:leader="dot" w:pos="9690"/>
        </w:tabs>
        <w:ind w:firstLine="480"/>
        <w:rPr>
          <w:rFonts w:ascii="Times New Roman" w:hAnsi="Times New Roman"/>
          <w:bCs/>
          <w:kern w:val="21"/>
          <w:szCs w:val="24"/>
        </w:rPr>
      </w:pPr>
      <w:r>
        <w:fldChar w:fldCharType="begin"/>
      </w:r>
      <w:r>
        <w:instrText xml:space="preserve"> HYPERLINK \l "_Toc24946" </w:instrText>
      </w:r>
      <w:r>
        <w:fldChar w:fldCharType="separate"/>
      </w:r>
      <w:r>
        <w:rPr>
          <w:rFonts w:ascii="Times New Roman" w:hAnsi="Times New Roman"/>
          <w:kern w:val="21"/>
        </w:rPr>
        <w:t>4.</w:t>
      </w:r>
      <w:r>
        <w:rPr>
          <w:rFonts w:hint="eastAsia" w:ascii="Times New Roman" w:hAnsi="Times New Roman"/>
          <w:kern w:val="21"/>
        </w:rPr>
        <w:t>4</w:t>
      </w:r>
      <w:r>
        <w:rPr>
          <w:rFonts w:ascii="Times New Roman" w:hAnsi="Times New Roman"/>
          <w:kern w:val="21"/>
        </w:rPr>
        <w:t>.</w:t>
      </w:r>
      <w:r>
        <w:rPr>
          <w:rFonts w:hint="eastAsia" w:ascii="Times New Roman" w:hAnsi="Times New Roman"/>
          <w:kern w:val="21"/>
        </w:rPr>
        <w:t>1</w:t>
      </w:r>
      <w:r>
        <w:rPr>
          <w:rFonts w:hint="eastAsia"/>
        </w:rPr>
        <w:t>事故预警的条件</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5</w:t>
      </w:r>
    </w:p>
    <w:p>
      <w:pPr>
        <w:pStyle w:val="39"/>
        <w:tabs>
          <w:tab w:val="right" w:leader="dot" w:pos="9690"/>
        </w:tabs>
        <w:ind w:firstLine="480"/>
        <w:rPr>
          <w:rFonts w:ascii="Times New Roman" w:hAnsi="Times New Roman"/>
          <w:bCs/>
          <w:smallCaps w:val="0"/>
          <w:kern w:val="21"/>
          <w:szCs w:val="24"/>
        </w:rPr>
      </w:pPr>
      <w:r>
        <w:rPr>
          <w:rFonts w:hint="eastAsia"/>
        </w:rPr>
        <w:t xml:space="preserve">  </w:t>
      </w: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4.2</w:t>
      </w:r>
      <w:r>
        <w:rPr>
          <w:rFonts w:hint="eastAsia"/>
        </w:rPr>
        <w:t>预警信息发布的方式、内容和流程</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5</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5</w:t>
      </w:r>
      <w:r>
        <w:rPr>
          <w:rFonts w:hint="eastAsia"/>
        </w:rPr>
        <w:t>报警、通讯联络方式</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6</w:t>
      </w:r>
      <w:r>
        <w:rPr>
          <w:rFonts w:hint="eastAsia"/>
        </w:rPr>
        <w:t>预警解除</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w:t>
      </w:r>
      <w:r>
        <w:rPr>
          <w:rFonts w:hint="eastAsia"/>
        </w:rPr>
        <w:t>信息报告</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7.1</w:t>
      </w:r>
      <w:r>
        <w:rPr>
          <w:rFonts w:hint="eastAsia"/>
        </w:rPr>
        <w:t>内部事故信息报警和通知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6</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7.2向外部应急/救援力量报警和通知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720" w:firstLineChars="300"/>
        <w:rPr>
          <w:rFonts w:ascii="Times New Roman" w:hAnsi="Times New Roman"/>
          <w:bCs/>
          <w:smallCaps w:val="0"/>
          <w:kern w:val="21"/>
          <w:szCs w:val="24"/>
        </w:rPr>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7.3</w:t>
      </w:r>
      <w:r>
        <w:rPr>
          <w:rFonts w:hint="eastAsia"/>
        </w:rPr>
        <w:t>向邻近单位及人员报警和通知</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pPr>
        <w:pStyle w:val="39"/>
        <w:tabs>
          <w:tab w:val="right" w:leader="dot" w:pos="9690"/>
        </w:tabs>
        <w:ind w:firstLine="720" w:firstLineChars="300"/>
      </w:pPr>
      <w:r>
        <w:fldChar w:fldCharType="begin"/>
      </w:r>
      <w:r>
        <w:instrText xml:space="preserve"> HYPERLINK \l "_Toc11677" </w:instrText>
      </w:r>
      <w:r>
        <w:fldChar w:fldCharType="separate"/>
      </w:r>
      <w:r>
        <w:rPr>
          <w:rFonts w:ascii="Times New Roman" w:hAnsi="Times New Roman"/>
          <w:smallCaps w:val="0"/>
          <w:kern w:val="21"/>
        </w:rPr>
        <w:t>4.</w:t>
      </w:r>
      <w:r>
        <w:rPr>
          <w:rFonts w:hint="eastAsia" w:ascii="Times New Roman" w:hAnsi="Times New Roman"/>
          <w:smallCaps w:val="0"/>
          <w:kern w:val="21"/>
        </w:rPr>
        <w:t>7.4</w:t>
      </w:r>
      <w:r>
        <w:rPr>
          <w:rFonts w:hint="eastAsia"/>
        </w:rPr>
        <w:t>信息发布程序</w:t>
      </w:r>
      <w:r>
        <w:rPr>
          <w:rFonts w:ascii="Times New Roman" w:hAnsi="Times New Roman"/>
          <w:smallCaps w:val="0"/>
          <w:kern w:val="21"/>
        </w:rPr>
        <w:tab/>
      </w:r>
      <w:r>
        <w:rPr>
          <w:rFonts w:ascii="Times New Roman" w:hAnsi="Times New Roman"/>
          <w:smallCaps w:val="0"/>
          <w:kern w:val="21"/>
        </w:rPr>
        <w:fldChar w:fldCharType="begin"/>
      </w:r>
      <w:r>
        <w:rPr>
          <w:rFonts w:ascii="Times New Roman" w:hAnsi="Times New Roman"/>
          <w:smallCaps w:val="0"/>
          <w:kern w:val="21"/>
        </w:rPr>
        <w:instrText xml:space="preserve"> PAGEREF _Toc11677 </w:instrText>
      </w:r>
      <w:r>
        <w:rPr>
          <w:rFonts w:ascii="Times New Roman" w:hAnsi="Times New Roman"/>
          <w:smallCaps w:val="0"/>
          <w:kern w:val="21"/>
        </w:rPr>
        <w:fldChar w:fldCharType="separate"/>
      </w:r>
      <w:r>
        <w:rPr>
          <w:rFonts w:ascii="Times New Roman" w:hAnsi="Times New Roman"/>
          <w:smallCaps w:val="0"/>
          <w:kern w:val="21"/>
        </w:rPr>
        <w:t>2</w:t>
      </w:r>
      <w:r>
        <w:rPr>
          <w:rFonts w:hint="eastAsia" w:ascii="Times New Roman" w:hAnsi="Times New Roman"/>
          <w:smallCaps w:val="0"/>
          <w:kern w:val="21"/>
        </w:rPr>
        <w:t>7</w:t>
      </w:r>
      <w:r>
        <w:rPr>
          <w:rFonts w:ascii="Times New Roman" w:hAnsi="Times New Roman"/>
          <w:smallCaps w:val="0"/>
          <w:kern w:val="21"/>
        </w:rPr>
        <w:fldChar w:fldCharType="end"/>
      </w:r>
      <w:r>
        <w:rPr>
          <w:rFonts w:ascii="Times New Roman" w:hAnsi="Times New Roman"/>
          <w:smallCaps w:val="0"/>
          <w:kern w:val="21"/>
        </w:rPr>
        <w:fldChar w:fldCharType="end"/>
      </w:r>
    </w:p>
    <w:p>
      <w:pPr>
        <w:pStyle w:val="32"/>
        <w:tabs>
          <w:tab w:val="right" w:leader="dot" w:pos="9690"/>
        </w:tabs>
        <w:ind w:firstLine="562"/>
        <w:rPr>
          <w:caps w:val="0"/>
          <w:kern w:val="21"/>
        </w:rPr>
      </w:pPr>
      <w:r>
        <w:fldChar w:fldCharType="begin"/>
      </w:r>
      <w:r>
        <w:instrText xml:space="preserve"> HYPERLINK \l "_Toc26646" </w:instrText>
      </w:r>
      <w:r>
        <w:fldChar w:fldCharType="separate"/>
      </w:r>
      <w:r>
        <w:rPr>
          <w:caps w:val="0"/>
          <w:kern w:val="21"/>
        </w:rPr>
        <w:t>5、</w:t>
      </w:r>
      <w:r>
        <w:rPr>
          <w:rFonts w:hint="eastAsia"/>
        </w:rPr>
        <w:t>应急响应</w:t>
      </w:r>
      <w:r>
        <w:rPr>
          <w:caps w:val="0"/>
          <w:kern w:val="21"/>
        </w:rPr>
        <w:tab/>
      </w:r>
      <w:r>
        <w:rPr>
          <w:caps w:val="0"/>
          <w:kern w:val="21"/>
        </w:rPr>
        <w:fldChar w:fldCharType="begin"/>
      </w:r>
      <w:r>
        <w:rPr>
          <w:caps w:val="0"/>
          <w:kern w:val="21"/>
        </w:rPr>
        <w:instrText xml:space="preserve"> PAGEREF _Toc26646 </w:instrText>
      </w:r>
      <w:r>
        <w:rPr>
          <w:caps w:val="0"/>
          <w:kern w:val="21"/>
        </w:rPr>
        <w:fldChar w:fldCharType="separate"/>
      </w:r>
      <w:r>
        <w:rPr>
          <w:caps w:val="0"/>
          <w:kern w:val="21"/>
        </w:rPr>
        <w:t>2</w:t>
      </w:r>
      <w:r>
        <w:rPr>
          <w:rFonts w:hint="eastAsia"/>
          <w:caps w:val="0"/>
          <w:kern w:val="21"/>
        </w:rPr>
        <w:t>8</w:t>
      </w:r>
      <w:r>
        <w:rPr>
          <w:caps w:val="0"/>
          <w:kern w:val="21"/>
        </w:rPr>
        <w:fldChar w:fldCharType="end"/>
      </w:r>
      <w:r>
        <w:rPr>
          <w: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"_Toc9966" </w:instrText>
      </w:r>
      <w:r>
        <w:fldChar w:fldCharType="separate"/>
      </w:r>
      <w:r>
        <w:rPr>
          <w:rFonts w:ascii="Times New Roman" w:hAnsi="Times New Roman"/>
          <w:smallCaps w:val="0"/>
          <w:kern w:val="21"/>
        </w:rPr>
        <w:t>5.1</w:t>
      </w:r>
      <w:r>
        <w:rPr>
          <w:rFonts w:hint="eastAsia"/>
        </w:rPr>
        <w:t>响应分级</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8</w:t>
      </w:r>
    </w:p>
    <w:p>
      <w:pPr>
        <w:pStyle w:val="39"/>
        <w:tabs>
          <w:tab w:val="right" w:leader="dot" w:pos="9690"/>
        </w:tabs>
        <w:ind w:firstLine="480"/>
        <w:rPr>
          <w:rFonts w:ascii="Times New Roman" w:hAnsi="Times New Roman"/>
          <w:smallCaps w:val="0"/>
          <w:kern w:val="21"/>
        </w:rPr>
      </w:pPr>
      <w:r>
        <w:fldChar w:fldCharType="begin"/>
      </w:r>
      <w:r>
        <w:instrText xml:space="preserve"> HYPERLINK \l "_Toc18843" </w:instrText>
      </w:r>
      <w:r>
        <w:fldChar w:fldCharType="separate"/>
      </w:r>
      <w:r>
        <w:rPr>
          <w:rFonts w:ascii="Times New Roman" w:hAnsi="Times New Roman"/>
          <w:smallCaps w:val="0"/>
          <w:kern w:val="21"/>
        </w:rPr>
        <w:t>5.2</w:t>
      </w:r>
      <w:r>
        <w:rPr>
          <w:rFonts w:hint="eastAsia"/>
        </w:rPr>
        <w:t>响应程序</w:t>
      </w:r>
      <w:r>
        <w:rPr>
          <w:rFonts w:ascii="Times New Roman" w:hAnsi="Times New Roman"/>
          <w:smallCaps w:val="0"/>
          <w:kern w:val="21"/>
        </w:rPr>
        <w:tab/>
      </w:r>
      <w:r>
        <w:rPr>
          <w:rFonts w:hint="eastAsia" w:ascii="Times New Roman" w:hAnsi="Times New Roman"/>
          <w:smallCaps w:val="0"/>
          <w:kern w:val="21"/>
        </w:rPr>
        <w:t>2</w:t>
      </w:r>
      <w:r>
        <w:rPr>
          <w:rFonts w:hint="eastAsia" w:ascii="Times New Roman" w:hAnsi="Times New Roman"/>
          <w:smallCaps w:val="0"/>
          <w:kern w:val="21"/>
        </w:rPr>
        <w:fldChar w:fldCharType="end"/>
      </w:r>
      <w:r>
        <w:rPr>
          <w:rFonts w:hint="eastAsia" w:ascii="Times New Roman" w:hAnsi="Times New Roman"/>
          <w:bCs/>
          <w:smallCaps w:val="0"/>
          <w:kern w:val="21"/>
          <w:szCs w:val="24"/>
        </w:rPr>
        <w:t>8</w:t>
      </w:r>
    </w:p>
    <w:p>
      <w:pPr>
        <w:pStyle w:val="24"/>
        <w:tabs>
          <w:tab w:val="right" w:leader="dot" w:pos="9690"/>
        </w:tabs>
        <w:ind w:firstLine="480"/>
        <w:rPr>
          <w:rFonts w:ascii="Times New Roman" w:hAnsi="Times New Roman"/>
          <w:kern w:val="21"/>
        </w:rPr>
      </w:pPr>
      <w:r>
        <w:fldChar w:fldCharType="begin"/>
      </w:r>
      <w:r>
        <w:instrText xml:space="preserve"> HYPERLINK \l "_Toc8421" </w:instrText>
      </w:r>
      <w:r>
        <w:fldChar w:fldCharType="separate"/>
      </w:r>
      <w:r>
        <w:rPr>
          <w:rFonts w:ascii="Times New Roman" w:hAnsi="Times New Roman"/>
          <w:kern w:val="21"/>
        </w:rPr>
        <w:t>5.2.1</w:t>
      </w:r>
      <w:r>
        <w:rPr>
          <w:rFonts w:hint="eastAsia"/>
        </w:rPr>
        <w:t>应急指挥及行动</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firstLine="480"/>
        <w:rPr>
          <w:rFonts w:ascii="Times New Roman" w:hAnsi="Times New Roman"/>
          <w:kern w:val="21"/>
        </w:rPr>
      </w:pPr>
      <w:r>
        <w:fldChar w:fldCharType="begin"/>
      </w:r>
      <w:r>
        <w:instrText xml:space="preserve"> HYPERLINK \l "_Toc22232" </w:instrText>
      </w:r>
      <w:r>
        <w:fldChar w:fldCharType="separate"/>
      </w:r>
      <w:r>
        <w:rPr>
          <w:rFonts w:ascii="Times New Roman" w:hAnsi="Times New Roman"/>
          <w:kern w:val="21"/>
        </w:rPr>
        <w:t>5.2.2</w:t>
      </w:r>
      <w:r>
        <w:rPr>
          <w:rFonts w:hint="eastAsia"/>
        </w:rPr>
        <w:t>资源调配</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firstLine="480"/>
        <w:rPr>
          <w:rFonts w:ascii="Times New Roman" w:hAnsi="Times New Roman"/>
          <w:kern w:val="21"/>
        </w:rPr>
      </w:pPr>
      <w:r>
        <w:fldChar w:fldCharType="begin"/>
      </w:r>
      <w:r>
        <w:instrText xml:space="preserve"> HYPERLINK \l "_Toc7477" </w:instrText>
      </w:r>
      <w:r>
        <w:fldChar w:fldCharType="separate"/>
      </w:r>
      <w:r>
        <w:rPr>
          <w:rFonts w:ascii="Times New Roman" w:hAnsi="Times New Roman"/>
          <w:kern w:val="21"/>
        </w:rPr>
        <w:t>5.2.3</w:t>
      </w:r>
      <w:r>
        <w:rPr>
          <w:rFonts w:hint="eastAsia"/>
        </w:rPr>
        <w:t>应急避险</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firstLine="480"/>
        <w:rPr>
          <w:rFonts w:ascii="Times New Roman" w:hAnsi="Times New Roman"/>
          <w:kern w:val="21"/>
        </w:rPr>
      </w:pPr>
      <w:r>
        <w:fldChar w:fldCharType="begin"/>
      </w:r>
      <w:r>
        <w:instrText xml:space="preserve"> HYPERLINK \l "_Toc32364" </w:instrText>
      </w:r>
      <w:r>
        <w:fldChar w:fldCharType="separate"/>
      </w:r>
      <w:r>
        <w:rPr>
          <w:rFonts w:ascii="Times New Roman" w:hAnsi="Times New Roman"/>
          <w:kern w:val="21"/>
        </w:rPr>
        <w:t>5.2.4</w:t>
      </w:r>
      <w:r>
        <w:rPr>
          <w:rFonts w:hint="eastAsia"/>
        </w:rPr>
        <w:t>扩大应急响应程序</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_Toc32364 </w:instrText>
      </w:r>
      <w:r>
        <w:rPr>
          <w:rFonts w:ascii="Times New Roman" w:hAnsi="Times New Roman"/>
          <w:kern w:val="21"/>
        </w:rPr>
        <w:fldChar w:fldCharType="separate"/>
      </w:r>
      <w:r>
        <w:rPr>
          <w:rFonts w:ascii="Times New Roman" w:hAnsi="Times New Roman"/>
          <w:kern w:val="21"/>
        </w:rPr>
        <w:t>29</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left="0" w:firstLine="720" w:firstLineChars="300"/>
        <w:rPr>
          <w:rFonts w:ascii="Times New Roman" w:hAnsi="Times New Roman"/>
          <w:kern w:val="21"/>
        </w:rPr>
      </w:pPr>
      <w:r>
        <w:fldChar w:fldCharType="begin"/>
      </w:r>
      <w:r>
        <w:instrText xml:space="preserve"> HYPERLINK \l "_Toc14099" </w:instrText>
      </w:r>
      <w:r>
        <w:fldChar w:fldCharType="separate"/>
      </w:r>
      <w:r>
        <w:rPr>
          <w:rFonts w:ascii="Times New Roman" w:hAnsi="Times New Roman"/>
          <w:kern w:val="21"/>
        </w:rPr>
        <w:t>5.</w:t>
      </w:r>
      <w:r>
        <w:rPr>
          <w:rFonts w:hint="eastAsia" w:ascii="Times New Roman" w:hAnsi="Times New Roman"/>
          <w:kern w:val="21"/>
        </w:rPr>
        <w:t>3应急响应流程</w:t>
      </w:r>
      <w:r>
        <w:rPr>
          <w:rFonts w:ascii="Times New Roman" w:hAnsi="Times New Roman"/>
          <w:kern w:val="21"/>
        </w:rPr>
        <w:tab/>
      </w:r>
      <w:r>
        <w:rPr>
          <w:rFonts w:hint="eastAsia" w:ascii="Times New Roman" w:hAnsi="Times New Roman"/>
          <w:kern w:val="21"/>
        </w:rPr>
        <w:t>2</w:t>
      </w:r>
      <w:r>
        <w:rPr>
          <w:rFonts w:hint="eastAsia" w:ascii="Times New Roman" w:hAnsi="Times New Roman"/>
          <w:kern w:val="21"/>
        </w:rPr>
        <w:fldChar w:fldCharType="end"/>
      </w:r>
      <w:r>
        <w:rPr>
          <w:rFonts w:hint="eastAsia" w:ascii="Times New Roman" w:hAnsi="Times New Roman"/>
          <w:bCs/>
          <w:kern w:val="21"/>
          <w:szCs w:val="24"/>
        </w:rPr>
        <w:t>9</w:t>
      </w:r>
    </w:p>
    <w:p>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4应急处理</w:t>
      </w:r>
      <w:r>
        <w:rPr>
          <w:rFonts w:ascii="Times New Roman" w:hAnsi="Times New Roman"/>
          <w:kern w:val="21"/>
        </w:rPr>
        <w:tab/>
      </w:r>
      <w:r>
        <w:rPr>
          <w:rFonts w:ascii="Times New Roman" w:hAnsi="Times New Roman"/>
          <w:kern w:val="21"/>
        </w:rPr>
        <w:fldChar w:fldCharType="begin"/>
      </w:r>
      <w:r>
        <w:rPr>
          <w:rFonts w:ascii="Times New Roman" w:hAnsi="Times New Roman"/>
          <w:kern w:val="21"/>
        </w:rPr>
        <w:instrText xml:space="preserve"> PAGEREF _Toc19631 </w:instrText>
      </w:r>
      <w:r>
        <w:rPr>
          <w:rFonts w:ascii="Times New Roman" w:hAnsi="Times New Roman"/>
          <w:kern w:val="21"/>
        </w:rPr>
        <w:fldChar w:fldCharType="separate"/>
      </w:r>
      <w:r>
        <w:rPr>
          <w:rFonts w:ascii="Times New Roman" w:hAnsi="Times New Roman"/>
          <w:kern w:val="21"/>
        </w:rPr>
        <w:t>30</w:t>
      </w:r>
      <w:r>
        <w:rPr>
          <w:rFonts w:ascii="Times New Roman" w:hAnsi="Times New Roman"/>
          <w:kern w:val="21"/>
        </w:rPr>
        <w:fldChar w:fldCharType="end"/>
      </w:r>
      <w:r>
        <w:rPr>
          <w:rFonts w:ascii="Times New Roman" w:hAnsi="Times New Roman"/>
          <w:kern w:val="21"/>
        </w:rPr>
        <w:fldChar w:fldCharType="end"/>
      </w:r>
    </w:p>
    <w:p>
      <w:pPr>
        <w:pStyle w:val="24"/>
        <w:tabs>
          <w:tab w:val="right" w:leader="dot" w:pos="9690"/>
        </w:tabs>
        <w:ind w:firstLine="480"/>
        <w:rPr>
          <w:rFonts w:ascii="Times New Roman" w:hAnsi="Times New Roman"/>
          <w:kern w:val="21"/>
        </w:rPr>
      </w:pPr>
      <w:r>
        <w:fldChar w:fldCharType="begin"/>
      </w:r>
      <w:r>
        <w:instrText xml:space="preserve"> HYPERLINK \l "_Toc32364" </w:instrText>
      </w:r>
      <w:r>
        <w:fldChar w:fldCharType="separate"/>
      </w:r>
      <w:r>
        <w:rPr>
          <w:rFonts w:ascii="Times New Roman" w:hAnsi="Times New Roman"/>
          <w:kern w:val="21"/>
        </w:rPr>
        <w:t>5.</w:t>
      </w:r>
      <w:r>
        <w:rPr>
          <w:rFonts w:hint="eastAsia" w:ascii="Times New Roman" w:hAnsi="Times New Roman"/>
          <w:kern w:val="21"/>
        </w:rPr>
        <w:t>4</w:t>
      </w:r>
      <w:r>
        <w:rPr>
          <w:rFonts w:ascii="Times New Roman" w:hAnsi="Times New Roman"/>
          <w:kern w:val="21"/>
        </w:rPr>
        <w:t>.</w:t>
      </w:r>
      <w:r>
        <w:rPr>
          <w:rFonts w:hint="eastAsia" w:ascii="Times New Roman" w:hAnsi="Times New Roman"/>
          <w:kern w:val="21"/>
        </w:rPr>
        <w:t>1</w:t>
      </w:r>
      <w:r>
        <w:rPr>
          <w:rFonts w:hint="eastAsia" w:cs="宋体"/>
        </w:rPr>
        <w:t>应急指挥与协调</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0</w:t>
      </w:r>
    </w:p>
    <w:p>
      <w:pPr>
        <w:pStyle w:val="24"/>
        <w:tabs>
          <w:tab w:val="right" w:leader="dot" w:pos="9690"/>
        </w:tabs>
        <w:ind w:firstLine="480"/>
        <w:rPr>
          <w:rFonts w:ascii="Times New Roman" w:hAnsi="Times New Roman"/>
          <w:bCs/>
          <w:kern w:val="21"/>
          <w:szCs w:val="24"/>
        </w:rPr>
      </w:pPr>
      <w:r>
        <w:fldChar w:fldCharType="begin"/>
      </w:r>
      <w:r>
        <w:instrText xml:space="preserve"> HYPERLINK \l "_Toc32364" </w:instrText>
      </w:r>
      <w:r>
        <w:fldChar w:fldCharType="separate"/>
      </w:r>
      <w:r>
        <w:rPr>
          <w:rFonts w:hint="eastAsia" w:ascii="Times New Roman" w:hAnsi="Times New Roman"/>
          <w:bCs/>
          <w:kern w:val="21"/>
          <w:szCs w:val="24"/>
        </w:rPr>
        <w:t>5</w:t>
      </w:r>
      <w:r>
        <w:rPr>
          <w:rFonts w:ascii="Times New Roman" w:hAnsi="Times New Roman"/>
          <w:bCs/>
          <w:kern w:val="21"/>
          <w:szCs w:val="24"/>
        </w:rPr>
        <w:t>.4.2</w:t>
      </w:r>
      <w:r>
        <w:rPr>
          <w:rFonts w:hint="eastAsia" w:ascii="Times New Roman" w:hAnsi="Times New Roman"/>
          <w:bCs/>
          <w:kern w:val="21"/>
          <w:szCs w:val="24"/>
        </w:rPr>
        <w:t>应急处理措施</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0</w:t>
      </w:r>
    </w:p>
    <w:p>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4.3</w:t>
      </w:r>
      <w:r>
        <w:rPr>
          <w:rFonts w:hint="eastAsia"/>
        </w:rPr>
        <w:t>应急疏散</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4</w:t>
      </w:r>
    </w:p>
    <w:p>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5</w:t>
      </w:r>
      <w:r>
        <w:rPr>
          <w:rFonts w:hint="eastAsia"/>
        </w:rPr>
        <w:t>应急监测</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5</w:t>
      </w:r>
    </w:p>
    <w:p>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5.1</w:t>
      </w:r>
      <w:r>
        <w:rPr>
          <w:rFonts w:hint="eastAsia"/>
        </w:rPr>
        <w:t>环境监测方案</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5</w:t>
      </w:r>
    </w:p>
    <w:p>
      <w:pPr>
        <w:pStyle w:val="32"/>
        <w:tabs>
          <w:tab w:val="right" w:leader="dot" w:pos="9690"/>
        </w:tabs>
        <w:ind w:firstLine="1124" w:firstLineChars="400"/>
        <w:rPr>
          <w:rFonts w:ascii="Calibri" w:hAnsi="Calibri"/>
          <w:b w:val="0"/>
          <w:bCs w:val="0"/>
          <w:iCs/>
          <w:caps w:val="0"/>
          <w:sz w:val="24"/>
          <w:szCs w:val="20"/>
        </w:rPr>
      </w:pPr>
      <w:r>
        <w:fldChar w:fldCharType="begin"/>
      </w:r>
      <w:r>
        <w:instrText xml:space="preserve"> HYPERLINK \l "_Toc4056" </w:instrText>
      </w:r>
      <w:r>
        <w:fldChar w:fldCharType="separate"/>
      </w:r>
      <w:r>
        <w:rPr>
          <w:rFonts w:hint="eastAsia"/>
          <w:b w:val="0"/>
          <w:bCs w:val="0"/>
          <w:iCs/>
          <w:caps w:val="0"/>
          <w:kern w:val="21"/>
          <w:sz w:val="24"/>
          <w:szCs w:val="20"/>
        </w:rPr>
        <w:t>5.5.2监测人员的防护措施</w:t>
      </w:r>
      <w:r>
        <w:rPr>
          <w:rFonts w:hint="eastAsia" w:ascii="Calibri" w:hAnsi="Calibri"/>
          <w:b w:val="0"/>
          <w:bCs w:val="0"/>
          <w:iCs/>
          <w:caps w:val="0"/>
          <w:sz w:val="24"/>
          <w:szCs w:val="20"/>
        </w:rPr>
        <w:tab/>
      </w:r>
      <w:r>
        <w:rPr>
          <w:rFonts w:hint="eastAsia" w:ascii="Calibri" w:hAnsi="Calibri"/>
          <w:b w:val="0"/>
          <w:bCs w:val="0"/>
          <w:iCs/>
          <w:caps w:val="0"/>
          <w:sz w:val="24"/>
          <w:szCs w:val="20"/>
        </w:rPr>
        <w:t>3</w:t>
      </w:r>
      <w:r>
        <w:rPr>
          <w:rFonts w:hint="eastAsia" w:ascii="Calibri" w:hAnsi="Calibri"/>
          <w:b w:val="0"/>
          <w:bCs w:val="0"/>
          <w:iCs/>
          <w:caps w:val="0"/>
          <w:sz w:val="24"/>
          <w:szCs w:val="20"/>
        </w:rPr>
        <w:fldChar w:fldCharType="end"/>
      </w:r>
      <w:r>
        <w:rPr>
          <w:rFonts w:hint="eastAsia" w:ascii="Calibri" w:hAnsi="Calibri"/>
          <w:b w:val="0"/>
          <w:bCs w:val="0"/>
          <w:iCs/>
          <w:caps w:val="0"/>
          <w:sz w:val="24"/>
          <w:szCs w:val="20"/>
        </w:rPr>
        <w:t>6</w:t>
      </w:r>
    </w:p>
    <w:p>
      <w:pPr>
        <w:pStyle w:val="24"/>
        <w:tabs>
          <w:tab w:val="right" w:leader="dot" w:pos="9690"/>
        </w:tabs>
        <w:ind w:left="0" w:firstLine="720" w:firstLineChars="3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w:t>
      </w:r>
      <w:r>
        <w:rPr>
          <w:rFonts w:hint="eastAsia"/>
        </w:rPr>
        <w:t>应急监测</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7</w:t>
      </w:r>
    </w:p>
    <w:p>
      <w:pPr>
        <w:pStyle w:val="24"/>
        <w:tabs>
          <w:tab w:val="right" w:leader="dot" w:pos="9690"/>
        </w:tabs>
        <w:ind w:left="0" w:firstLine="960" w:firstLineChars="400"/>
        <w:rPr>
          <w:rFonts w:ascii="Times New Roman" w:hAnsi="Times New Roman"/>
          <w:bCs/>
          <w:kern w:val="21"/>
          <w:szCs w:val="24"/>
        </w:rPr>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6.1</w:t>
      </w:r>
      <w:r>
        <w:rPr>
          <w:rFonts w:hint="eastAsia"/>
        </w:rPr>
        <w:t>应急终止条件</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7</w:t>
      </w:r>
    </w:p>
    <w:p>
      <w:pPr>
        <w:pStyle w:val="32"/>
        <w:tabs>
          <w:tab w:val="right" w:leader="dot" w:pos="9690"/>
        </w:tabs>
        <w:ind w:firstLine="1124" w:firstLineChars="400"/>
        <w:rPr>
          <w:rFonts w:ascii="Calibri" w:hAnsi="Calibri"/>
          <w:b w:val="0"/>
          <w:bCs w:val="0"/>
          <w:iCs/>
          <w:caps w:val="0"/>
          <w:sz w:val="24"/>
          <w:szCs w:val="20"/>
        </w:rPr>
      </w:pPr>
      <w:r>
        <w:fldChar w:fldCharType="begin"/>
      </w:r>
      <w:r>
        <w:instrText xml:space="preserve"> HYPERLINK \l "_Toc4056" </w:instrText>
      </w:r>
      <w:r>
        <w:fldChar w:fldCharType="separate"/>
      </w:r>
      <w:r>
        <w:rPr>
          <w:rFonts w:hint="eastAsia"/>
          <w:b w:val="0"/>
          <w:bCs w:val="0"/>
          <w:iCs/>
          <w:caps w:val="0"/>
          <w:kern w:val="21"/>
          <w:sz w:val="24"/>
          <w:szCs w:val="20"/>
        </w:rPr>
        <w:t>5.6.2终止程序</w:t>
      </w:r>
      <w:r>
        <w:rPr>
          <w:rFonts w:hint="eastAsia" w:ascii="Calibri" w:hAnsi="Calibri"/>
          <w:b w:val="0"/>
          <w:bCs w:val="0"/>
          <w:iCs/>
          <w:caps w:val="0"/>
          <w:sz w:val="24"/>
          <w:szCs w:val="20"/>
        </w:rPr>
        <w:tab/>
      </w:r>
      <w:r>
        <w:rPr>
          <w:rFonts w:hint="eastAsia" w:ascii="Calibri" w:hAnsi="Calibri"/>
          <w:b w:val="0"/>
          <w:bCs w:val="0"/>
          <w:iCs/>
          <w:caps w:val="0"/>
          <w:sz w:val="24"/>
          <w:szCs w:val="20"/>
        </w:rPr>
        <w:t>3</w:t>
      </w:r>
      <w:r>
        <w:rPr>
          <w:rFonts w:hint="eastAsia" w:ascii="Calibri" w:hAnsi="Calibri"/>
          <w:b w:val="0"/>
          <w:bCs w:val="0"/>
          <w:iCs/>
          <w:caps w:val="0"/>
          <w:sz w:val="24"/>
          <w:szCs w:val="20"/>
        </w:rPr>
        <w:fldChar w:fldCharType="end"/>
      </w:r>
      <w:r>
        <w:rPr>
          <w:rFonts w:hint="eastAsia" w:ascii="Calibri" w:hAnsi="Calibri"/>
          <w:b w:val="0"/>
          <w:bCs w:val="0"/>
          <w:iCs/>
          <w:caps w:val="0"/>
          <w:sz w:val="24"/>
          <w:szCs w:val="20"/>
        </w:rPr>
        <w:t>7</w:t>
      </w:r>
    </w:p>
    <w:p>
      <w:pPr>
        <w:pStyle w:val="24"/>
        <w:tabs>
          <w:tab w:val="right" w:leader="dot" w:pos="9690"/>
        </w:tabs>
        <w:ind w:left="0" w:firstLine="960" w:firstLineChars="400"/>
      </w:pPr>
      <w:r>
        <w:fldChar w:fldCharType="begin"/>
      </w:r>
      <w:r>
        <w:instrText xml:space="preserve"> HYPERLINK \l "_Toc19631" </w:instrText>
      </w:r>
      <w:r>
        <w:fldChar w:fldCharType="separate"/>
      </w:r>
      <w:r>
        <w:rPr>
          <w:rFonts w:ascii="Times New Roman" w:hAnsi="Times New Roman"/>
          <w:kern w:val="21"/>
        </w:rPr>
        <w:t>5.</w:t>
      </w:r>
      <w:r>
        <w:rPr>
          <w:rFonts w:hint="eastAsia" w:ascii="Times New Roman" w:hAnsi="Times New Roman"/>
          <w:kern w:val="21"/>
        </w:rPr>
        <w:t>6.3</w:t>
      </w:r>
      <w:r>
        <w:rPr>
          <w:rFonts w:hint="eastAsia"/>
        </w:rPr>
        <w:t>应急终止后的行动</w:t>
      </w:r>
      <w:r>
        <w:rPr>
          <w:rFonts w:ascii="Times New Roman" w:hAnsi="Times New Roman"/>
          <w:kern w:val="21"/>
        </w:rPr>
        <w:tab/>
      </w:r>
      <w:r>
        <w:rPr>
          <w:rFonts w:hint="eastAsia" w:ascii="Times New Roman" w:hAnsi="Times New Roman"/>
          <w:kern w:val="21"/>
        </w:rPr>
        <w:t>3</w:t>
      </w:r>
      <w:r>
        <w:rPr>
          <w:rFonts w:hint="eastAsia" w:ascii="Times New Roman" w:hAnsi="Times New Roman"/>
          <w:kern w:val="21"/>
        </w:rPr>
        <w:fldChar w:fldCharType="end"/>
      </w:r>
      <w:r>
        <w:rPr>
          <w:rFonts w:hint="eastAsia" w:ascii="Times New Roman" w:hAnsi="Times New Roman"/>
          <w:bCs/>
          <w:kern w:val="21"/>
          <w:szCs w:val="24"/>
        </w:rPr>
        <w:t>8</w:t>
      </w:r>
    </w:p>
    <w:p>
      <w:pPr>
        <w:pStyle w:val="32"/>
        <w:tabs>
          <w:tab w:val="right" w:leader="dot" w:pos="9690"/>
        </w:tabs>
        <w:ind w:firstLine="562"/>
        <w:rPr>
          <w:caps w:val="0"/>
          <w:kern w:val="21"/>
        </w:rPr>
      </w:pPr>
      <w:r>
        <w:fldChar w:fldCharType="begin"/>
      </w:r>
      <w:r>
        <w:instrText xml:space="preserve"> HYPERLINK \l "_Toc4056" </w:instrText>
      </w:r>
      <w:r>
        <w:fldChar w:fldCharType="separate"/>
      </w:r>
      <w:r>
        <w:rPr>
          <w:caps w:val="0"/>
          <w:kern w:val="21"/>
        </w:rPr>
        <w:t>6、</w:t>
      </w:r>
      <w:r>
        <w:rPr>
          <w:rFonts w:hint="eastAsia"/>
          <w:caps w:val="0"/>
          <w:kern w:val="21"/>
        </w:rPr>
        <w:t>信息公开</w:t>
      </w:r>
      <w:r>
        <w:rPr>
          <w:caps w:val="0"/>
          <w:kern w:val="21"/>
        </w:rPr>
        <w:tab/>
      </w:r>
      <w:r>
        <w:rPr>
          <w:rFonts w:hint="eastAsia"/>
          <w:caps w:val="0"/>
          <w:kern w:val="21"/>
        </w:rPr>
        <w:t>3</w:t>
      </w:r>
      <w:r>
        <w:rPr>
          <w:rFonts w:hint="eastAsia"/>
          <w:caps w:val="0"/>
          <w:kern w:val="21"/>
        </w:rPr>
        <w:fldChar w:fldCharType="end"/>
      </w:r>
      <w:r>
        <w:rPr>
          <w:rFonts w:hint="eastAsia"/>
          <w:bCs w:val="0"/>
          <w:caps w:val="0"/>
          <w:kern w:val="21"/>
          <w:szCs w:val="24"/>
        </w:rPr>
        <w:t>9</w:t>
      </w:r>
    </w:p>
    <w:p>
      <w:pPr>
        <w:pStyle w:val="32"/>
        <w:tabs>
          <w:tab w:val="right" w:leader="dot" w:pos="9690"/>
        </w:tabs>
        <w:ind w:firstLine="562"/>
        <w:rPr>
          <w:caps w:val="0"/>
          <w:kern w:val="21"/>
        </w:rPr>
      </w:pPr>
      <w:r>
        <w:fldChar w:fldCharType="begin"/>
      </w:r>
      <w:r>
        <w:instrText xml:space="preserve"> HYPERLINK \l "_Toc12635" </w:instrText>
      </w:r>
      <w:r>
        <w:fldChar w:fldCharType="separate"/>
      </w:r>
      <w:r>
        <w:rPr>
          <w:caps w:val="0"/>
          <w:kern w:val="21"/>
        </w:rPr>
        <w:t>7、后期处置</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0</w:t>
      </w:r>
    </w:p>
    <w:p>
      <w:pPr>
        <w:pStyle w:val="39"/>
        <w:tabs>
          <w:tab w:val="right" w:leader="dot" w:pos="9690"/>
        </w:tabs>
        <w:ind w:firstLine="480"/>
        <w:rPr>
          <w:rFonts w:ascii="Times New Roman" w:hAnsi="Times New Roman"/>
          <w:smallCaps w:val="0"/>
          <w:kern w:val="21"/>
        </w:rPr>
      </w:pPr>
      <w:r>
        <w:fldChar w:fldCharType="begin"/>
      </w:r>
      <w:r>
        <w:instrText xml:space="preserve"> HYPERLINK \l "_Toc15523" </w:instrText>
      </w:r>
      <w:r>
        <w:fldChar w:fldCharType="separate"/>
      </w:r>
      <w:r>
        <w:rPr>
          <w:rFonts w:ascii="Times New Roman" w:hAnsi="Times New Roman"/>
          <w:smallCaps w:val="0"/>
          <w:kern w:val="21"/>
        </w:rPr>
        <w:t xml:space="preserve">7.1 </w:t>
      </w:r>
      <w:r>
        <w:rPr>
          <w:rFonts w:hint="eastAsia"/>
        </w:rPr>
        <w:t>善后处置</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pPr>
        <w:pStyle w:val="39"/>
        <w:tabs>
          <w:tab w:val="right" w:leader="dot" w:pos="9690"/>
        </w:tabs>
        <w:ind w:firstLine="480"/>
        <w:rPr>
          <w:rFonts w:ascii="Times New Roman" w:hAnsi="Times New Roman"/>
          <w:smallCaps w:val="0"/>
          <w:kern w:val="21"/>
        </w:rPr>
      </w:pPr>
      <w:r>
        <w:fldChar w:fldCharType="begin"/>
      </w:r>
      <w:r>
        <w:instrText xml:space="preserve"> HYPERLINK \l "_Toc13072" </w:instrText>
      </w:r>
      <w:r>
        <w:fldChar w:fldCharType="separate"/>
      </w:r>
      <w:r>
        <w:rPr>
          <w:rFonts w:ascii="Times New Roman" w:hAnsi="Times New Roman"/>
          <w:smallCaps w:val="0"/>
          <w:kern w:val="21"/>
        </w:rPr>
        <w:t xml:space="preserve">7.2 </w:t>
      </w:r>
      <w:r>
        <w:rPr>
          <w:rFonts w:hint="eastAsia" w:ascii="Times New Roman" w:hAnsi="Times New Roman"/>
          <w:smallCaps w:val="0"/>
          <w:kern w:val="21"/>
        </w:rPr>
        <w:t>现场保护</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"_Toc4247" </w:instrText>
      </w:r>
      <w:r>
        <w:fldChar w:fldCharType="separate"/>
      </w:r>
      <w:r>
        <w:rPr>
          <w:rFonts w:ascii="Times New Roman" w:hAnsi="Times New Roman"/>
          <w:smallCaps w:val="0"/>
          <w:kern w:val="21"/>
        </w:rPr>
        <w:t>7.3</w:t>
      </w:r>
      <w:r>
        <w:rPr>
          <w:rFonts w:hint="eastAsia" w:ascii="Times New Roman" w:hAnsi="Times New Roman"/>
          <w:smallCaps w:val="0"/>
          <w:kern w:val="21"/>
        </w:rPr>
        <w:t>现场净化方法</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pPr>
        <w:pStyle w:val="39"/>
        <w:tabs>
          <w:tab w:val="right" w:leader="dot" w:pos="9690"/>
        </w:tabs>
        <w:ind w:firstLine="480"/>
        <w:rPr>
          <w:rFonts w:ascii="Times New Roman" w:hAnsi="Times New Roman"/>
          <w:smallCaps w:val="0"/>
          <w:kern w:val="21"/>
        </w:rPr>
      </w:pPr>
      <w:r>
        <w:fldChar w:fldCharType="begin"/>
      </w:r>
      <w:r>
        <w:instrText xml:space="preserve"> HYPERLINK \l "_Toc13072" </w:instrText>
      </w:r>
      <w:r>
        <w:fldChar w:fldCharType="separate"/>
      </w:r>
      <w:r>
        <w:rPr>
          <w:rFonts w:ascii="Times New Roman" w:hAnsi="Times New Roman"/>
          <w:smallCaps w:val="0"/>
          <w:kern w:val="21"/>
        </w:rPr>
        <w:t>7.</w:t>
      </w:r>
      <w:r>
        <w:rPr>
          <w:rFonts w:hint="eastAsia" w:ascii="Times New Roman" w:hAnsi="Times New Roman"/>
          <w:smallCaps w:val="0"/>
          <w:kern w:val="21"/>
        </w:rPr>
        <w:t>4</w:t>
      </w:r>
      <w:r>
        <w:rPr>
          <w:rFonts w:ascii="Times New Roman" w:hAnsi="Times New Roman"/>
          <w:smallCaps w:val="0"/>
          <w:kern w:val="21"/>
        </w:rPr>
        <w:t xml:space="preserve"> </w:t>
      </w:r>
      <w:r>
        <w:rPr>
          <w:rFonts w:hint="eastAsia"/>
        </w:rPr>
        <w:t>事故后生态恢复措施</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pPr>
        <w:pStyle w:val="39"/>
        <w:tabs>
          <w:tab w:val="right" w:leader="dot" w:pos="9690"/>
        </w:tabs>
        <w:ind w:firstLine="480"/>
      </w:pPr>
      <w:r>
        <w:fldChar w:fldCharType="begin"/>
      </w:r>
      <w:r>
        <w:instrText xml:space="preserve"> HYPERLINK \l "_Toc4247" </w:instrText>
      </w:r>
      <w:r>
        <w:fldChar w:fldCharType="separate"/>
      </w:r>
      <w:r>
        <w:rPr>
          <w:rFonts w:ascii="Times New Roman" w:hAnsi="Times New Roman"/>
          <w:smallCaps w:val="0"/>
          <w:kern w:val="21"/>
        </w:rPr>
        <w:t>7.</w:t>
      </w:r>
      <w:r>
        <w:rPr>
          <w:rFonts w:hint="eastAsia" w:ascii="Times New Roman" w:hAnsi="Times New Roman"/>
          <w:smallCaps w:val="0"/>
          <w:kern w:val="21"/>
        </w:rPr>
        <w:t>5</w:t>
      </w:r>
      <w:r>
        <w:rPr>
          <w:rFonts w:hint="eastAsia"/>
        </w:rPr>
        <w:t>生产恢复</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pPr>
        <w:pStyle w:val="32"/>
        <w:tabs>
          <w:tab w:val="right" w:leader="dot" w:pos="9690"/>
        </w:tabs>
        <w:ind w:firstLine="562"/>
        <w:rPr>
          <w:caps w:val="0"/>
          <w:kern w:val="21"/>
        </w:rPr>
      </w:pPr>
      <w:r>
        <w:fldChar w:fldCharType="begin"/>
      </w:r>
      <w:r>
        <w:instrText xml:space="preserve"> HYPERLINK \l "_Toc13982" </w:instrText>
      </w:r>
      <w:r>
        <w:fldChar w:fldCharType="separate"/>
      </w:r>
      <w:r>
        <w:rPr>
          <w:caps w:val="0"/>
          <w:kern w:val="21"/>
        </w:rPr>
        <w:t>8、应急</w:t>
      </w:r>
      <w:r>
        <w:rPr>
          <w:rFonts w:hint="eastAsia"/>
          <w:caps w:val="0"/>
          <w:kern w:val="21"/>
        </w:rPr>
        <w:t>保障措施</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2</w:t>
      </w:r>
    </w:p>
    <w:p>
      <w:pPr>
        <w:pStyle w:val="39"/>
        <w:tabs>
          <w:tab w:val="right" w:leader="dot" w:pos="9690"/>
        </w:tabs>
        <w:ind w:firstLine="480"/>
        <w:rPr>
          <w:rFonts w:ascii="Times New Roman" w:hAnsi="Times New Roman"/>
          <w:smallCaps w:val="0"/>
          <w:kern w:val="21"/>
        </w:rPr>
      </w:pPr>
      <w:r>
        <w:fldChar w:fldCharType="begin"/>
      </w:r>
      <w:r>
        <w:instrText xml:space="preserve"> HYPERLINK \l "_Toc6178" </w:instrText>
      </w:r>
      <w:r>
        <w:fldChar w:fldCharType="separate"/>
      </w:r>
      <w:r>
        <w:rPr>
          <w:rFonts w:ascii="Times New Roman" w:hAnsi="Times New Roman"/>
          <w:smallCaps w:val="0"/>
          <w:kern w:val="21"/>
        </w:rPr>
        <w:t>8.1 通讯与信息保障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pPr>
        <w:pStyle w:val="39"/>
        <w:tabs>
          <w:tab w:val="right" w:leader="dot" w:pos="9690"/>
        </w:tabs>
        <w:ind w:firstLine="480"/>
        <w:rPr>
          <w:rFonts w:ascii="Times New Roman" w:hAnsi="Times New Roman"/>
          <w:smallCaps w:val="0"/>
          <w:kern w:val="21"/>
        </w:rPr>
      </w:pPr>
      <w:r>
        <w:fldChar w:fldCharType="begin"/>
      </w:r>
      <w:r>
        <w:instrText xml:space="preserve"> HYPERLINK \l "_Toc2684" </w:instrText>
      </w:r>
      <w:r>
        <w:fldChar w:fldCharType="separate"/>
      </w:r>
      <w:r>
        <w:rPr>
          <w:rFonts w:ascii="Times New Roman" w:hAnsi="Times New Roman"/>
          <w:smallCaps w:val="0"/>
          <w:kern w:val="21"/>
        </w:rPr>
        <w:t>8.2 资金保障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pPr>
        <w:pStyle w:val="39"/>
        <w:tabs>
          <w:tab w:val="right" w:leader="dot" w:pos="9690"/>
        </w:tabs>
        <w:ind w:firstLine="480"/>
        <w:rPr>
          <w:rFonts w:ascii="Times New Roman" w:hAnsi="Times New Roman"/>
          <w:smallCaps w:val="0"/>
          <w:kern w:val="21"/>
        </w:rPr>
      </w:pPr>
      <w:r>
        <w:fldChar w:fldCharType="begin"/>
      </w:r>
      <w:r>
        <w:instrText xml:space="preserve"> HYPERLINK \l "_Toc31149" </w:instrText>
      </w:r>
      <w:r>
        <w:fldChar w:fldCharType="separate"/>
      </w:r>
      <w:r>
        <w:rPr>
          <w:rFonts w:ascii="Times New Roman" w:hAnsi="Times New Roman"/>
          <w:smallCaps w:val="0"/>
          <w:kern w:val="21"/>
        </w:rPr>
        <w:t>8.3 人力资源及技术保障 </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2</w:t>
      </w:r>
    </w:p>
    <w:p>
      <w:pPr>
        <w:pStyle w:val="24"/>
        <w:tabs>
          <w:tab w:val="right" w:leader="dot" w:pos="9690"/>
        </w:tabs>
        <w:ind w:firstLine="480"/>
        <w:rPr>
          <w:rFonts w:ascii="Times New Roman" w:hAnsi="Times New Roman"/>
          <w:kern w:val="21"/>
        </w:rPr>
      </w:pPr>
      <w:r>
        <w:fldChar w:fldCharType="begin"/>
      </w:r>
      <w:r>
        <w:instrText xml:space="preserve"> HYPERLINK \l "_Toc30862" </w:instrText>
      </w:r>
      <w:r>
        <w:fldChar w:fldCharType="separate"/>
      </w:r>
      <w:r>
        <w:rPr>
          <w:rFonts w:ascii="Times New Roman" w:hAnsi="Times New Roman"/>
          <w:kern w:val="21"/>
        </w:rPr>
        <w:t>8.3.1 企业内部</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2</w:t>
      </w:r>
    </w:p>
    <w:p>
      <w:pPr>
        <w:pStyle w:val="24"/>
        <w:tabs>
          <w:tab w:val="right" w:leader="dot" w:pos="9690"/>
        </w:tabs>
        <w:ind w:firstLine="480"/>
        <w:rPr>
          <w:rFonts w:ascii="Times New Roman" w:hAnsi="Times New Roman"/>
          <w:kern w:val="21"/>
        </w:rPr>
      </w:pPr>
      <w:r>
        <w:fldChar w:fldCharType="begin"/>
      </w:r>
      <w:r>
        <w:instrText xml:space="preserve"> HYPERLINK \l "_Toc30969" </w:instrText>
      </w:r>
      <w:r>
        <w:fldChar w:fldCharType="separate"/>
      </w:r>
      <w:r>
        <w:rPr>
          <w:rFonts w:ascii="Times New Roman" w:hAnsi="Times New Roman"/>
          <w:kern w:val="21"/>
        </w:rPr>
        <w:t>8.3.2 依托政府协调救援保障</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2</w:t>
      </w:r>
    </w:p>
    <w:p>
      <w:pPr>
        <w:pStyle w:val="39"/>
        <w:tabs>
          <w:tab w:val="right" w:leader="dot" w:pos="9690"/>
        </w:tabs>
        <w:ind w:firstLine="480"/>
        <w:rPr>
          <w:rFonts w:ascii="Times New Roman" w:hAnsi="Times New Roman"/>
          <w:smallCaps w:val="0"/>
          <w:kern w:val="21"/>
        </w:rPr>
      </w:pPr>
      <w:r>
        <w:fldChar w:fldCharType="begin"/>
      </w:r>
      <w:r>
        <w:instrText xml:space="preserve"> HYPERLINK \l "_Toc6462" </w:instrText>
      </w:r>
      <w:r>
        <w:fldChar w:fldCharType="separate"/>
      </w:r>
      <w:r>
        <w:rPr>
          <w:rFonts w:ascii="Times New Roman" w:hAnsi="Times New Roman"/>
          <w:smallCaps w:val="0"/>
          <w:kern w:val="21"/>
        </w:rPr>
        <w:t>8.4 物资装备保障</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3</w:t>
      </w:r>
    </w:p>
    <w:p>
      <w:pPr>
        <w:pStyle w:val="39"/>
        <w:tabs>
          <w:tab w:val="right" w:leader="dot" w:pos="9690"/>
        </w:tabs>
        <w:ind w:firstLine="480"/>
        <w:rPr>
          <w:rFonts w:ascii="Times New Roman" w:hAnsi="Times New Roman"/>
          <w:smallCaps w:val="0"/>
          <w:kern w:val="21"/>
        </w:rPr>
      </w:pPr>
      <w:r>
        <w:fldChar w:fldCharType="begin"/>
      </w:r>
      <w:r>
        <w:instrText xml:space="preserve"> HYPERLINK \l "_Toc18898" </w:instrText>
      </w:r>
      <w:r>
        <w:fldChar w:fldCharType="separate"/>
      </w:r>
      <w:r>
        <w:rPr>
          <w:rFonts w:ascii="Times New Roman" w:hAnsi="Times New Roman"/>
          <w:smallCaps w:val="0"/>
          <w:kern w:val="21"/>
        </w:rPr>
        <w:t>8.5 宣传、培训和演习</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4</w:t>
      </w:r>
    </w:p>
    <w:p>
      <w:pPr>
        <w:pStyle w:val="39"/>
        <w:tabs>
          <w:tab w:val="right" w:leader="dot" w:pos="9690"/>
        </w:tabs>
        <w:ind w:firstLine="480"/>
        <w:rPr>
          <w:rFonts w:ascii="Times New Roman" w:hAnsi="Times New Roman"/>
          <w:smallCaps w:val="0"/>
          <w:kern w:val="21"/>
        </w:rPr>
      </w:pPr>
      <w:r>
        <w:fldChar w:fldCharType="begin"/>
      </w:r>
      <w:r>
        <w:instrText xml:space="preserve"> HYPERLINK \l "_Toc25119" </w:instrText>
      </w:r>
      <w:r>
        <w:fldChar w:fldCharType="separate"/>
      </w:r>
      <w:r>
        <w:rPr>
          <w:rFonts w:ascii="Times New Roman" w:hAnsi="Times New Roman"/>
          <w:smallCaps w:val="0"/>
          <w:kern w:val="21"/>
        </w:rPr>
        <w:t>8.6 企业应急能力评估</w:t>
      </w:r>
      <w:r>
        <w:rPr>
          <w:rFonts w:ascii="Times New Roman" w:hAnsi="Times New Roman"/>
          <w:smallCaps w:val="0"/>
          <w:kern w:val="21"/>
        </w:rPr>
        <w:tab/>
      </w:r>
      <w:r>
        <w:rPr>
          <w:rFonts w:hint="eastAsia" w:ascii="Times New Roman" w:hAnsi="Times New Roman"/>
          <w:smallCaps w:val="0"/>
          <w:kern w:val="21"/>
        </w:rPr>
        <w:t>4</w:t>
      </w:r>
      <w:r>
        <w:rPr>
          <w:rFonts w:hint="eastAsia" w:ascii="Times New Roman" w:hAnsi="Times New Roman"/>
          <w:smallCaps w:val="0"/>
          <w:kern w:val="21"/>
        </w:rPr>
        <w:fldChar w:fldCharType="end"/>
      </w:r>
      <w:r>
        <w:rPr>
          <w:rFonts w:hint="eastAsia" w:ascii="Times New Roman" w:hAnsi="Times New Roman"/>
          <w:bCs/>
          <w:smallCaps w:val="0"/>
          <w:kern w:val="21"/>
          <w:szCs w:val="24"/>
        </w:rPr>
        <w:t>5</w:t>
      </w:r>
    </w:p>
    <w:p>
      <w:pPr>
        <w:pStyle w:val="24"/>
        <w:tabs>
          <w:tab w:val="right" w:leader="dot" w:pos="9690"/>
        </w:tabs>
        <w:ind w:firstLine="480"/>
        <w:rPr>
          <w:rFonts w:ascii="Times New Roman" w:hAnsi="Times New Roman"/>
          <w:kern w:val="21"/>
        </w:rPr>
      </w:pPr>
      <w:r>
        <w:fldChar w:fldCharType="begin"/>
      </w:r>
      <w:r>
        <w:instrText xml:space="preserve"> HYPERLINK \l "_Toc16520" </w:instrText>
      </w:r>
      <w:r>
        <w:fldChar w:fldCharType="separate"/>
      </w:r>
      <w:r>
        <w:rPr>
          <w:rFonts w:ascii="Times New Roman" w:hAnsi="Times New Roman"/>
          <w:kern w:val="21"/>
        </w:rPr>
        <w:t>8.6.1应急装备能力评估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pPr>
        <w:pStyle w:val="24"/>
        <w:tabs>
          <w:tab w:val="right" w:leader="dot" w:pos="9690"/>
        </w:tabs>
        <w:ind w:firstLine="480"/>
        <w:rPr>
          <w:rFonts w:ascii="Times New Roman" w:hAnsi="Times New Roman"/>
          <w:kern w:val="21"/>
        </w:rPr>
      </w:pPr>
      <w:r>
        <w:fldChar w:fldCharType="begin"/>
      </w:r>
      <w:r>
        <w:instrText xml:space="preserve"> HYPERLINK \l "_Toc32527" </w:instrText>
      </w:r>
      <w:r>
        <w:fldChar w:fldCharType="separate"/>
      </w:r>
      <w:r>
        <w:rPr>
          <w:rFonts w:ascii="Times New Roman" w:hAnsi="Times New Roman"/>
          <w:kern w:val="21"/>
        </w:rPr>
        <w:t>8.6.2应急指挥能力评估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pPr>
        <w:pStyle w:val="24"/>
        <w:tabs>
          <w:tab w:val="right" w:leader="dot" w:pos="9690"/>
        </w:tabs>
        <w:ind w:firstLine="480"/>
        <w:rPr>
          <w:rFonts w:ascii="Times New Roman" w:hAnsi="Times New Roman"/>
          <w:kern w:val="21"/>
        </w:rPr>
      </w:pPr>
      <w:r>
        <w:fldChar w:fldCharType="begin"/>
      </w:r>
      <w:r>
        <w:instrText xml:space="preserve"> HYPERLINK \l "_Toc1835" </w:instrText>
      </w:r>
      <w:r>
        <w:fldChar w:fldCharType="separate"/>
      </w:r>
      <w:r>
        <w:rPr>
          <w:rFonts w:ascii="Times New Roman" w:hAnsi="Times New Roman"/>
          <w:kern w:val="21"/>
        </w:rPr>
        <w:t>8.6.3应急救援能力评估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pPr>
        <w:pStyle w:val="24"/>
        <w:tabs>
          <w:tab w:val="right" w:leader="dot" w:pos="9690"/>
        </w:tabs>
        <w:ind w:firstLine="480"/>
        <w:rPr>
          <w:rFonts w:ascii="Times New Roman" w:hAnsi="Times New Roman"/>
          <w:kern w:val="21"/>
        </w:rPr>
      </w:pPr>
      <w:r>
        <w:fldChar w:fldCharType="begin"/>
      </w:r>
      <w:r>
        <w:instrText xml:space="preserve"> HYPERLINK \l "_Toc28915" </w:instrText>
      </w:r>
      <w:r>
        <w:fldChar w:fldCharType="separate"/>
      </w:r>
      <w:r>
        <w:rPr>
          <w:rFonts w:ascii="Times New Roman" w:hAnsi="Times New Roman"/>
          <w:kern w:val="21"/>
        </w:rPr>
        <w:t>8.6.4应急能力评估结论</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5</w:t>
      </w:r>
    </w:p>
    <w:p>
      <w:pPr>
        <w:pStyle w:val="32"/>
        <w:tabs>
          <w:tab w:val="right" w:leader="dot" w:pos="9690"/>
        </w:tabs>
        <w:ind w:firstLine="562"/>
        <w:rPr>
          <w:caps w:val="0"/>
          <w:kern w:val="21"/>
        </w:rPr>
      </w:pPr>
      <w:r>
        <w:fldChar w:fldCharType="begin"/>
      </w:r>
      <w:r>
        <w:instrText xml:space="preserve"> HYPERLINK \l "_Toc1464" </w:instrText>
      </w:r>
      <w:r>
        <w:fldChar w:fldCharType="separate"/>
      </w:r>
      <w:r>
        <w:rPr>
          <w:caps w:val="0"/>
          <w:kern w:val="21"/>
        </w:rPr>
        <w:t>9、</w:t>
      </w:r>
      <w:r>
        <w:rPr>
          <w:rFonts w:hint="eastAsia"/>
        </w:rPr>
        <w:t>预案管理</w:t>
      </w:r>
      <w:r>
        <w:rPr>
          <w:caps w:val="0"/>
          <w:kern w:val="21"/>
        </w:rPr>
        <w:tab/>
      </w:r>
      <w:r>
        <w:rPr>
          <w:rFonts w:hint="eastAsia"/>
          <w:caps w:val="0"/>
          <w:kern w:val="21"/>
        </w:rPr>
        <w:t>4</w:t>
      </w:r>
      <w:r>
        <w:rPr>
          <w:rFonts w:hint="eastAsia"/>
          <w:caps w:val="0"/>
          <w:kern w:val="21"/>
        </w:rPr>
        <w:fldChar w:fldCharType="end"/>
      </w:r>
      <w:r>
        <w:rPr>
          <w:rFonts w:hint="eastAsia"/>
          <w:bCs w:val="0"/>
          <w:caps w:val="0"/>
          <w:kern w:val="21"/>
          <w:szCs w:val="24"/>
        </w:rPr>
        <w:t>6</w:t>
      </w:r>
    </w:p>
    <w:p>
      <w:pPr>
        <w:pStyle w:val="39"/>
        <w:tabs>
          <w:tab w:val="right" w:leader="dot" w:pos="9690"/>
        </w:tabs>
        <w:ind w:firstLine="480"/>
        <w:rPr>
          <w:rFonts w:ascii="Times New Roman" w:hAnsi="Times New Roman"/>
          <w:smallCaps w:val="0"/>
          <w:kern w:val="21"/>
        </w:rPr>
      </w:pPr>
      <w:r>
        <w:fldChar w:fldCharType="begin"/>
      </w:r>
      <w:r>
        <w:instrText xml:space="preserve"> HYPERLINK \l "_Toc1982" </w:instrText>
      </w:r>
      <w:r>
        <w:fldChar w:fldCharType="separate"/>
      </w:r>
      <w:r>
        <w:rPr>
          <w:rFonts w:ascii="Times New Roman" w:hAnsi="Times New Roman"/>
          <w:smallCaps w:val="0"/>
          <w:kern w:val="21"/>
        </w:rPr>
        <w:t xml:space="preserve">9.1 </w:t>
      </w:r>
      <w:r>
        <w:rPr>
          <w:rFonts w:hint="eastAsia"/>
        </w:rPr>
        <w:t>预案评估</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"_Toc9766" </w:instrText>
      </w:r>
      <w:r>
        <w:fldChar w:fldCharType="separate"/>
      </w:r>
      <w:r>
        <w:rPr>
          <w:rFonts w:ascii="Times New Roman" w:hAnsi="Times New Roman"/>
          <w:smallCaps w:val="0"/>
          <w:kern w:val="21"/>
        </w:rPr>
        <w:t xml:space="preserve">9.2 </w:t>
      </w:r>
      <w:r>
        <w:rPr>
          <w:rFonts w:hint="eastAsia"/>
        </w:rPr>
        <w:t>预案备案</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pPr>
        <w:pStyle w:val="39"/>
        <w:tabs>
          <w:tab w:val="right" w:leader="dot" w:pos="9690"/>
        </w:tabs>
        <w:ind w:firstLine="480"/>
        <w:rPr>
          <w:rFonts w:ascii="Times New Roman" w:hAnsi="Times New Roman"/>
          <w:bCs/>
          <w:smallCaps w:val="0"/>
          <w:kern w:val="21"/>
          <w:szCs w:val="24"/>
        </w:rPr>
      </w:pPr>
      <w:r>
        <w:fldChar w:fldCharType="begin"/>
      </w:r>
      <w:r>
        <w:instrText xml:space="preserve"> HYPERLINK \l "_Toc30943" </w:instrText>
      </w:r>
      <w:r>
        <w:fldChar w:fldCharType="separate"/>
      </w:r>
      <w:r>
        <w:rPr>
          <w:rFonts w:ascii="Times New Roman" w:hAnsi="Times New Roman"/>
          <w:smallCaps w:val="0"/>
          <w:kern w:val="21"/>
        </w:rPr>
        <w:t xml:space="preserve">9.3 </w:t>
      </w:r>
      <w:r>
        <w:rPr>
          <w:rFonts w:hint="eastAsia"/>
        </w:rPr>
        <w:t>预案发布与发放</w:t>
      </w:r>
      <w:r>
        <w:rPr>
          <w:rFonts w:ascii="Times New Roman" w:hAnsi="Times New Roman"/>
          <w:smallCaps w:val="0"/>
          <w:kern w:val="21"/>
        </w:rPr>
        <w:tab/>
      </w:r>
      <w:r>
        <w:rPr>
          <w:rFonts w:hint="eastAsia" w:ascii="Times New Roman" w:hAnsi="Times New Roman"/>
          <w:smallCaps w:val="0"/>
          <w:kern w:val="21"/>
        </w:rPr>
        <w:t>46</w:t>
      </w:r>
      <w:r>
        <w:rPr>
          <w:rFonts w:hint="eastAsia" w:ascii="Times New Roman" w:hAnsi="Times New Roman"/>
          <w:smallCaps w:val="0"/>
          <w:kern w:val="21"/>
        </w:rPr>
        <w:fldChar w:fldCharType="end"/>
      </w:r>
    </w:p>
    <w:p>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4</w:t>
      </w:r>
      <w:r>
        <w:rPr>
          <w:rFonts w:hint="eastAsia"/>
        </w:rPr>
        <w:t>应急预案的实施</w:t>
      </w:r>
      <w:r>
        <w:rPr>
          <w:rFonts w:ascii="Times New Roman" w:hAnsi="Times New Roman"/>
          <w:kern w:val="21"/>
        </w:rPr>
        <w:tab/>
      </w:r>
      <w:r>
        <w:rPr>
          <w:rFonts w:hint="eastAsia" w:ascii="Times New Roman" w:hAnsi="Times New Roman"/>
          <w:kern w:val="21"/>
        </w:rPr>
        <w:t>46</w:t>
      </w:r>
      <w:r>
        <w:rPr>
          <w:rFonts w:hint="eastAsia" w:ascii="Times New Roman" w:hAnsi="Times New Roman"/>
          <w:kern w:val="21"/>
        </w:rPr>
        <w:fldChar w:fldCharType="end"/>
      </w:r>
    </w:p>
    <w:p>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5</w:t>
      </w:r>
      <w:r>
        <w:rPr>
          <w:rFonts w:ascii="Times New Roman" w:hAnsi="Times New Roman"/>
          <w:kern w:val="21"/>
        </w:rPr>
        <w:t xml:space="preserve"> </w:t>
      </w:r>
      <w:r>
        <w:rPr>
          <w:rFonts w:hint="eastAsia" w:ascii="Times New Roman" w:hAnsi="Times New Roman"/>
          <w:kern w:val="21"/>
        </w:rPr>
        <w:t>环境应急预案和演练</w:t>
      </w:r>
      <w:r>
        <w:rPr>
          <w:rFonts w:ascii="Times New Roman" w:hAnsi="Times New Roman"/>
          <w:kern w:val="21"/>
        </w:rPr>
        <w:tab/>
      </w:r>
      <w:r>
        <w:rPr>
          <w:rFonts w:hint="eastAsia" w:ascii="Times New Roman" w:hAnsi="Times New Roman"/>
          <w:kern w:val="21"/>
        </w:rPr>
        <w:t>46</w:t>
      </w:r>
      <w:r>
        <w:rPr>
          <w:rFonts w:hint="eastAsia" w:ascii="Times New Roman" w:hAnsi="Times New Roman"/>
          <w:kern w:val="21"/>
        </w:rPr>
        <w:fldChar w:fldCharType="end"/>
      </w:r>
    </w:p>
    <w:p>
      <w:pPr>
        <w:pStyle w:val="24"/>
        <w:tabs>
          <w:tab w:val="right" w:leader="dot" w:pos="9690"/>
        </w:tabs>
        <w:ind w:left="0" w:firstLine="720" w:firstLineChars="3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 xml:space="preserve"> </w:t>
      </w:r>
      <w:r>
        <w:rPr>
          <w:rFonts w:hint="eastAsia" w:ascii="Times New Roman" w:hAnsi="Times New Roman"/>
          <w:kern w:val="21"/>
        </w:rPr>
        <w:t>应急培训与频次</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left="0" w:firstLine="960" w:firstLineChars="400"/>
        <w:rPr>
          <w:rFonts w:ascii="Times New Roman" w:hAnsi="Times New Roman"/>
          <w:kern w:val="21"/>
        </w:rPr>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1</w:t>
      </w:r>
      <w:r>
        <w:rPr>
          <w:rFonts w:ascii="Times New Roman" w:hAnsi="Times New Roman"/>
          <w:kern w:val="21"/>
        </w:rPr>
        <w:t xml:space="preserve"> </w:t>
      </w:r>
      <w:r>
        <w:rPr>
          <w:rFonts w:hint="eastAsia" w:cs="宋体"/>
        </w:rPr>
        <w:t>生产区操作人员的培训</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left="0" w:firstLine="960" w:firstLineChars="400"/>
      </w:pPr>
      <w:r>
        <w:fldChar w:fldCharType="begin"/>
      </w:r>
      <w:r>
        <w:instrText xml:space="preserve"> HYPERLINK \l "_Toc7006"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2</w:t>
      </w:r>
      <w:r>
        <w:rPr>
          <w:rFonts w:ascii="Times New Roman" w:hAnsi="Times New Roman"/>
          <w:kern w:val="21"/>
        </w:rPr>
        <w:t xml:space="preserve"> </w:t>
      </w:r>
      <w:r>
        <w:rPr>
          <w:rFonts w:hint="eastAsia" w:cs="宋体"/>
        </w:rPr>
        <w:t>应急救援队伍的培训</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firstLine="480"/>
        <w:rPr>
          <w:rFonts w:ascii="Times New Roman" w:hAnsi="Times New Roman"/>
          <w:kern w:val="21"/>
        </w:rPr>
      </w:pPr>
      <w:r>
        <w:fldChar w:fldCharType="begin"/>
      </w:r>
      <w:r>
        <w:instrText xml:space="preserve"> HYPERLINK \l "_Toc22884" </w:instrText>
      </w:r>
      <w:r>
        <w:fldChar w:fldCharType="separate"/>
      </w:r>
      <w:r>
        <w:rPr>
          <w:rFonts w:ascii="Times New Roman" w:hAnsi="Times New Roman"/>
          <w:kern w:val="21"/>
        </w:rPr>
        <w:t>9</w:t>
      </w:r>
      <w:r>
        <w:rPr>
          <w:rFonts w:hint="eastAsia" w:ascii="Times New Roman" w:hAnsi="Times New Roman"/>
          <w:kern w:val="21"/>
        </w:rPr>
        <w:t>.6</w:t>
      </w:r>
      <w:r>
        <w:rPr>
          <w:rFonts w:ascii="Times New Roman" w:hAnsi="Times New Roman"/>
          <w:kern w:val="21"/>
        </w:rPr>
        <w:t>.</w:t>
      </w:r>
      <w:r>
        <w:rPr>
          <w:rFonts w:hint="eastAsia" w:ascii="Times New Roman" w:hAnsi="Times New Roman"/>
          <w:kern w:val="21"/>
        </w:rPr>
        <w:t>3</w:t>
      </w:r>
      <w:r>
        <w:rPr>
          <w:rFonts w:ascii="Times New Roman" w:hAnsi="Times New Roman"/>
          <w:kern w:val="21"/>
        </w:rPr>
        <w:t xml:space="preserve"> </w:t>
      </w:r>
      <w:r>
        <w:rPr>
          <w:rFonts w:hint="eastAsia" w:cs="宋体"/>
        </w:rPr>
        <w:t>频次</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8</w:t>
      </w:r>
    </w:p>
    <w:p>
      <w:pPr>
        <w:pStyle w:val="24"/>
        <w:tabs>
          <w:tab w:val="right" w:leader="dot" w:pos="9690"/>
        </w:tabs>
        <w:ind w:left="0" w:firstLine="720" w:firstLineChars="300"/>
        <w:rPr>
          <w:rFonts w:ascii="Times New Roman" w:hAnsi="Times New Roman"/>
          <w:kern w:val="21"/>
        </w:rPr>
      </w:pPr>
      <w:r>
        <w:fldChar w:fldCharType="begin"/>
      </w:r>
      <w:r>
        <w:instrText xml:space="preserve"> HYPERLINK \l "_Toc15411" </w:instrText>
      </w:r>
      <w:r>
        <w:fldChar w:fldCharType="separate"/>
      </w:r>
      <w:r>
        <w:rPr>
          <w:rFonts w:ascii="Times New Roman" w:hAnsi="Times New Roman"/>
          <w:kern w:val="21"/>
        </w:rPr>
        <w:t>9.</w:t>
      </w:r>
      <w:r>
        <w:rPr>
          <w:rFonts w:hint="eastAsia" w:ascii="Times New Roman" w:hAnsi="Times New Roman"/>
          <w:kern w:val="21"/>
        </w:rPr>
        <w:t>7</w:t>
      </w:r>
      <w:r>
        <w:rPr>
          <w:rFonts w:ascii="Times New Roman" w:hAnsi="Times New Roman"/>
          <w:kern w:val="21"/>
        </w:rPr>
        <w:t xml:space="preserve"> </w:t>
      </w:r>
      <w:r>
        <w:rPr>
          <w:rFonts w:hint="eastAsia"/>
        </w:rPr>
        <w:t>预案维护与更新</w:t>
      </w:r>
      <w:r>
        <w:rPr>
          <w:rFonts w:ascii="Times New Roman" w:hAnsi="Times New Roman"/>
          <w:kern w:val="21"/>
        </w:rPr>
        <w:tab/>
      </w:r>
      <w:r>
        <w:rPr>
          <w:rFonts w:hint="eastAsia" w:ascii="Times New Roman" w:hAnsi="Times New Roman"/>
          <w:kern w:val="21"/>
        </w:rPr>
        <w:t>4</w:t>
      </w:r>
      <w:r>
        <w:rPr>
          <w:rFonts w:hint="eastAsia" w:ascii="Times New Roman" w:hAnsi="Times New Roman"/>
          <w:kern w:val="21"/>
        </w:rPr>
        <w:fldChar w:fldCharType="end"/>
      </w:r>
      <w:r>
        <w:rPr>
          <w:rFonts w:hint="eastAsia" w:ascii="Times New Roman" w:hAnsi="Times New Roman"/>
          <w:bCs/>
          <w:kern w:val="21"/>
          <w:szCs w:val="24"/>
        </w:rPr>
        <w:t>9</w:t>
      </w:r>
    </w:p>
    <w:p>
      <w:pPr>
        <w:pStyle w:val="32"/>
        <w:tabs>
          <w:tab w:val="right" w:leader="dot" w:pos="9690"/>
        </w:tabs>
        <w:ind w:firstLine="562"/>
        <w:rPr>
          <w:caps w:val="0"/>
          <w:kern w:val="21"/>
        </w:rPr>
      </w:pPr>
      <w:r>
        <w:fldChar w:fldCharType="begin"/>
      </w:r>
      <w:r>
        <w:instrText xml:space="preserve"> HYPERLINK \l "_Toc26888" </w:instrText>
      </w:r>
      <w:r>
        <w:fldChar w:fldCharType="separate"/>
      </w:r>
      <w:r>
        <w:rPr>
          <w:caps w:val="0"/>
          <w:kern w:val="21"/>
        </w:rPr>
        <w:t>10、奖惩</w:t>
      </w:r>
      <w:r>
        <w:rPr>
          <w:caps w:val="0"/>
          <w:kern w:val="21"/>
        </w:rPr>
        <w:tab/>
      </w:r>
      <w:r>
        <w:rPr>
          <w:rFonts w:hint="eastAsia"/>
          <w:caps w:val="0"/>
          <w:kern w:val="21"/>
        </w:rPr>
        <w:t>50</w:t>
      </w:r>
      <w:r>
        <w:rPr>
          <w:rFonts w:hint="eastAsia"/>
          <w:caps w:val="0"/>
          <w:kern w:val="21"/>
        </w:rPr>
        <w:fldChar w:fldCharType="end"/>
      </w:r>
    </w:p>
    <w:p>
      <w:pPr>
        <w:pStyle w:val="39"/>
        <w:tabs>
          <w:tab w:val="right" w:leader="dot" w:pos="9690"/>
        </w:tabs>
        <w:ind w:firstLine="480"/>
        <w:rPr>
          <w:rFonts w:ascii="Times New Roman" w:hAnsi="Times New Roman"/>
          <w:smallCaps w:val="0"/>
          <w:kern w:val="21"/>
        </w:rPr>
      </w:pPr>
      <w:r>
        <w:fldChar w:fldCharType="begin"/>
      </w:r>
      <w:r>
        <w:instrText xml:space="preserve"> HYPERLINK \l "_Toc30911" </w:instrText>
      </w:r>
      <w:r>
        <w:fldChar w:fldCharType="separate"/>
      </w:r>
      <w:r>
        <w:rPr>
          <w:rFonts w:ascii="Times New Roman" w:hAnsi="Times New Roman"/>
          <w:smallCaps w:val="0"/>
          <w:kern w:val="21"/>
        </w:rPr>
        <w:t>10.1 奖励</w:t>
      </w:r>
      <w:r>
        <w:rPr>
          <w:rFonts w:ascii="Times New Roman" w:hAnsi="Times New Roman"/>
          <w:smallCaps w:val="0"/>
          <w:kern w:val="21"/>
        </w:rPr>
        <w:tab/>
      </w:r>
      <w:r>
        <w:rPr>
          <w:rFonts w:hint="eastAsia" w:ascii="Times New Roman" w:hAnsi="Times New Roman"/>
          <w:smallCaps w:val="0"/>
          <w:kern w:val="21"/>
        </w:rPr>
        <w:t>5</w:t>
      </w:r>
      <w:r>
        <w:rPr>
          <w:rFonts w:hint="eastAsia" w:ascii="Times New Roman" w:hAnsi="Times New Roman"/>
          <w:smallCaps w:val="0"/>
          <w:kern w:val="21"/>
        </w:rPr>
        <w:fldChar w:fldCharType="end"/>
      </w:r>
      <w:r>
        <w:rPr>
          <w:rFonts w:hint="eastAsia" w:ascii="Times New Roman" w:hAnsi="Times New Roman"/>
          <w:bCs/>
          <w:smallCaps w:val="0"/>
          <w:kern w:val="21"/>
          <w:szCs w:val="24"/>
        </w:rPr>
        <w:t>0</w:t>
      </w:r>
    </w:p>
    <w:p>
      <w:pPr>
        <w:pStyle w:val="39"/>
        <w:tabs>
          <w:tab w:val="right" w:leader="dot" w:pos="9690"/>
        </w:tabs>
        <w:ind w:firstLine="480"/>
        <w:rPr>
          <w:rFonts w:ascii="Times New Roman" w:hAnsi="Times New Roman"/>
          <w:smallCaps w:val="0"/>
          <w:kern w:val="21"/>
        </w:rPr>
      </w:pPr>
      <w:r>
        <w:fldChar w:fldCharType="begin"/>
      </w:r>
      <w:r>
        <w:instrText xml:space="preserve"> HYPERLINK \l "_Toc28904" </w:instrText>
      </w:r>
      <w:r>
        <w:fldChar w:fldCharType="separate"/>
      </w:r>
      <w:r>
        <w:rPr>
          <w:rFonts w:ascii="Times New Roman" w:hAnsi="Times New Roman"/>
          <w:smallCaps w:val="0"/>
          <w:kern w:val="21"/>
        </w:rPr>
        <w:t>10.2处罚</w:t>
      </w:r>
      <w:r>
        <w:rPr>
          <w:rFonts w:ascii="Times New Roman" w:hAnsi="Times New Roman"/>
          <w:smallCaps w:val="0"/>
          <w:kern w:val="21"/>
        </w:rPr>
        <w:tab/>
      </w:r>
      <w:r>
        <w:rPr>
          <w:rFonts w:ascii="Times New Roman" w:hAnsi="Times New Roman"/>
          <w:smallCaps w:val="0"/>
          <w:kern w:val="21"/>
        </w:rPr>
        <w:fldChar w:fldCharType="end"/>
      </w:r>
      <w:r>
        <w:rPr>
          <w:rFonts w:hint="eastAsia" w:ascii="Times New Roman" w:hAnsi="Times New Roman"/>
          <w:bCs/>
          <w:smallCaps w:val="0"/>
          <w:kern w:val="21"/>
          <w:szCs w:val="24"/>
        </w:rPr>
        <w:t>50</w:t>
      </w:r>
    </w:p>
    <w:p>
      <w:pPr>
        <w:pStyle w:val="32"/>
        <w:tabs>
          <w:tab w:val="right" w:leader="dot" w:pos="9690"/>
        </w:tabs>
        <w:ind w:firstLine="562"/>
        <w:rPr>
          <w:caps w:val="0"/>
          <w:kern w:val="21"/>
        </w:rPr>
      </w:pPr>
      <w:r>
        <w:fldChar w:fldCharType="begin"/>
      </w:r>
      <w:r>
        <w:instrText xml:space="preserve"> HYPERLINK \l "_Toc11665" </w:instrText>
      </w:r>
      <w:r>
        <w:fldChar w:fldCharType="separate"/>
      </w:r>
      <w:r>
        <w:rPr>
          <w:caps w:val="0"/>
          <w:kern w:val="21"/>
        </w:rPr>
        <w:t>1</w:t>
      </w:r>
      <w:r>
        <w:rPr>
          <w:rFonts w:hint="eastAsia"/>
          <w:caps w:val="0"/>
          <w:kern w:val="21"/>
        </w:rPr>
        <w:t>1</w:t>
      </w:r>
      <w:r>
        <w:rPr>
          <w:caps w:val="0"/>
          <w:kern w:val="21"/>
        </w:rPr>
        <w:t>、附则</w:t>
      </w:r>
      <w:r>
        <w:rPr>
          <w:caps w:val="0"/>
          <w:kern w:val="21"/>
        </w:rPr>
        <w:tab/>
      </w:r>
      <w:r>
        <w:rPr>
          <w:rFonts w:hint="eastAsia"/>
          <w:caps w:val="0"/>
          <w:kern w:val="21"/>
        </w:rPr>
        <w:t>5</w:t>
      </w:r>
      <w:r>
        <w:rPr>
          <w:rFonts w:hint="eastAsia"/>
          <w:caps w:val="0"/>
          <w:kern w:val="21"/>
        </w:rPr>
        <w:fldChar w:fldCharType="end"/>
      </w:r>
      <w:r>
        <w:rPr>
          <w:rFonts w:hint="eastAsia"/>
          <w:bCs w:val="0"/>
          <w:caps w:val="0"/>
          <w:kern w:val="21"/>
          <w:szCs w:val="24"/>
        </w:rPr>
        <w:t>1</w:t>
      </w:r>
    </w:p>
    <w:p>
      <w:pPr>
        <w:pStyle w:val="39"/>
        <w:tabs>
          <w:tab w:val="right" w:leader="dot" w:pos="9690"/>
        </w:tabs>
        <w:ind w:firstLine="480"/>
        <w:rPr>
          <w:rFonts w:ascii="Times New Roman" w:hAnsi="Times New Roman"/>
          <w:smallCaps w:val="0"/>
          <w:kern w:val="21"/>
        </w:rPr>
      </w:pPr>
      <w:r>
        <w:fldChar w:fldCharType="begin"/>
      </w:r>
      <w:r>
        <w:instrText xml:space="preserve"> HYPERLINK \l "_Toc20786" </w:instrText>
      </w:r>
      <w:r>
        <w:fldChar w:fldCharType="separate"/>
      </w:r>
      <w:r>
        <w:rPr>
          <w:rFonts w:ascii="Times New Roman" w:hAnsi="Times New Roman"/>
          <w:smallCaps w:val="0"/>
          <w:kern w:val="21"/>
        </w:rPr>
        <w:t>1</w:t>
      </w:r>
      <w:r>
        <w:rPr>
          <w:rFonts w:hint="eastAsia" w:ascii="Times New Roman" w:hAnsi="Times New Roman"/>
          <w:smallCaps w:val="0"/>
          <w:kern w:val="21"/>
        </w:rPr>
        <w:t>1</w:t>
      </w:r>
      <w:r>
        <w:rPr>
          <w:rFonts w:ascii="Times New Roman" w:hAnsi="Times New Roman"/>
          <w:smallCaps w:val="0"/>
          <w:kern w:val="21"/>
        </w:rPr>
        <w:t>.1 术语和定义</w:t>
      </w:r>
      <w:r>
        <w:rPr>
          <w:rFonts w:ascii="Times New Roman" w:hAnsi="Times New Roman"/>
          <w:smallCaps w:val="0"/>
          <w:kern w:val="21"/>
        </w:rPr>
        <w:tab/>
      </w:r>
      <w:r>
        <w:rPr>
          <w:rFonts w:hint="eastAsia" w:ascii="Times New Roman" w:hAnsi="Times New Roman"/>
          <w:smallCaps w:val="0"/>
          <w:kern w:val="21"/>
        </w:rPr>
        <w:t>5</w:t>
      </w:r>
      <w:r>
        <w:rPr>
          <w:rFonts w:hint="eastAsia" w:ascii="Times New Roman" w:hAnsi="Times New Roman"/>
          <w:smallCaps w:val="0"/>
          <w:kern w:val="21"/>
        </w:rPr>
        <w:fldChar w:fldCharType="end"/>
      </w:r>
      <w:r>
        <w:rPr>
          <w:rFonts w:hint="eastAsia" w:ascii="Times New Roman" w:hAnsi="Times New Roman"/>
          <w:bCs/>
          <w:smallCaps w:val="0"/>
          <w:kern w:val="21"/>
          <w:szCs w:val="24"/>
        </w:rPr>
        <w:t>1</w:t>
      </w:r>
    </w:p>
    <w:p>
      <w:pPr>
        <w:pStyle w:val="32"/>
        <w:tabs>
          <w:tab w:val="right" w:leader="dot" w:pos="9690"/>
        </w:tabs>
        <w:ind w:firstLine="562"/>
        <w:rPr>
          <w:caps w:val="0"/>
          <w:kern w:val="21"/>
        </w:rPr>
      </w:pPr>
      <w:r>
        <w:fldChar w:fldCharType="begin"/>
      </w:r>
      <w:r>
        <w:instrText xml:space="preserve"> HYPERLINK \l "_Toc5604" </w:instrText>
      </w:r>
      <w:r>
        <w:fldChar w:fldCharType="separate"/>
      </w:r>
      <w:r>
        <w:rPr>
          <w:caps w:val="0"/>
          <w:kern w:val="21"/>
          <w:szCs w:val="21"/>
        </w:rPr>
        <w:t>1</w:t>
      </w:r>
      <w:r>
        <w:rPr>
          <w:rFonts w:hint="eastAsia"/>
          <w:caps w:val="0"/>
          <w:kern w:val="21"/>
          <w:szCs w:val="21"/>
        </w:rPr>
        <w:t>2</w:t>
      </w:r>
      <w:r>
        <w:rPr>
          <w:caps w:val="0"/>
          <w:kern w:val="21"/>
          <w:szCs w:val="21"/>
        </w:rPr>
        <w:t>、附图及附件</w:t>
      </w:r>
      <w:r>
        <w:rPr>
          <w:caps w:val="0"/>
          <w:kern w:val="21"/>
        </w:rPr>
        <w:tab/>
      </w:r>
      <w:r>
        <w:rPr>
          <w:rFonts w:hint="eastAsia"/>
          <w:caps w:val="0"/>
          <w:kern w:val="21"/>
        </w:rPr>
        <w:t>5</w:t>
      </w:r>
      <w:r>
        <w:rPr>
          <w:rFonts w:hint="eastAsia"/>
          <w:caps w:val="0"/>
          <w:kern w:val="21"/>
        </w:rPr>
        <w:fldChar w:fldCharType="end"/>
      </w:r>
      <w:r>
        <w:rPr>
          <w:rFonts w:hint="eastAsia"/>
          <w:bCs w:val="0"/>
          <w:caps w:val="0"/>
          <w:kern w:val="21"/>
          <w:szCs w:val="24"/>
        </w:rPr>
        <w:t>3</w:t>
      </w:r>
    </w:p>
    <w:p>
      <w:pPr>
        <w:pStyle w:val="32"/>
        <w:tabs>
          <w:tab w:val="right" w:leader="dot" w:pos="9639"/>
        </w:tabs>
        <w:spacing w:line="240" w:lineRule="auto"/>
        <w:ind w:firstLine="0" w:firstLineChars="0"/>
        <w:jc w:val="center"/>
        <w:rPr>
          <w:b w:val="0"/>
          <w:bCs w:val="0"/>
          <w:caps w:val="0"/>
          <w:kern w:val="21"/>
          <w:sz w:val="24"/>
          <w:szCs w:val="24"/>
        </w:rPr>
        <w:sectPr>
          <w:pgSz w:w="11850" w:h="16783"/>
          <w:pgMar w:top="1440" w:right="1080" w:bottom="1440" w:left="1080" w:header="720" w:footer="720" w:gutter="0"/>
          <w:pgNumType w:start="1"/>
          <w:cols w:space="720" w:num="1"/>
          <w:docGrid w:type="lines" w:linePitch="318" w:charSpace="0"/>
        </w:sectPr>
      </w:pPr>
      <w:r>
        <w:rPr>
          <w:b w:val="0"/>
          <w:bCs w:val="0"/>
          <w:caps w:val="0"/>
          <w:kern w:val="21"/>
          <w:sz w:val="24"/>
          <w:szCs w:val="24"/>
        </w:rPr>
        <w:fldChar w:fldCharType="end"/>
      </w:r>
      <w:bookmarkStart w:id="16" w:name="_Toc350349965"/>
    </w:p>
    <w:p>
      <w:pPr>
        <w:pStyle w:val="4"/>
        <w:adjustRightInd w:val="0"/>
        <w:snapToGrid w:val="0"/>
        <w:rPr>
          <w:kern w:val="21"/>
        </w:rPr>
      </w:pPr>
      <w:bookmarkStart w:id="17" w:name="_Toc23537"/>
      <w:r>
        <w:rPr>
          <w:kern w:val="21"/>
        </w:rPr>
        <w:t>1、总则</w:t>
      </w:r>
      <w:bookmarkEnd w:id="17"/>
    </w:p>
    <w:p>
      <w:pPr>
        <w:pStyle w:val="5"/>
        <w:adjustRightInd w:val="0"/>
        <w:spacing w:line="360" w:lineRule="auto"/>
        <w:rPr>
          <w:kern w:val="21"/>
        </w:rPr>
      </w:pPr>
      <w:bookmarkStart w:id="18" w:name="_Toc30430"/>
      <w:r>
        <w:rPr>
          <w:kern w:val="21"/>
        </w:rPr>
        <w:t>1.1 编制目的</w:t>
      </w:r>
      <w:bookmarkEnd w:id="18"/>
    </w:p>
    <w:p>
      <w:pPr>
        <w:adjustRightInd w:val="0"/>
        <w:snapToGrid w:val="0"/>
        <w:ind w:firstLine="480"/>
        <w:rPr>
          <w:rFonts w:ascii="Times New Roman" w:hAnsi="Times New Roman"/>
          <w:kern w:val="21"/>
        </w:rPr>
      </w:pPr>
      <w:r>
        <w:rPr>
          <w:rFonts w:ascii="Times New Roman" w:hAnsi="Times New Roman"/>
          <w:kern w:val="21"/>
        </w:rPr>
        <w:t>为了建立健全突发环境事件应急机制，提高</w:t>
      </w:r>
      <w:r>
        <w:rPr>
          <w:rFonts w:hint="eastAsia" w:ascii="Times New Roman" w:hAnsi="Times New Roman"/>
          <w:kern w:val="21"/>
        </w:rPr>
        <w:t>湖口县金砂湾工业园集中污水处理厂</w:t>
      </w:r>
      <w:r>
        <w:rPr>
          <w:rFonts w:ascii="Times New Roman" w:hAnsi="Times New Roman"/>
          <w:kern w:val="21"/>
        </w:rPr>
        <w:t>应对突发环境事件应急能力，对运输事故、非正常排放以及自然灾害引发的突发性环境事件的隐患进行实时监控和预警，确保突发性环境事件发生后，能按照预案要求，及时、有序、高效地组织应急救援工作，紧急疏散人员，采取措施防止污染扩展到周围环境，将事故损失和社会危害减少到最低程度，维护社会稳定，保障公众生命健康和财产安全，特制订本预案。</w:t>
      </w:r>
    </w:p>
    <w:p>
      <w:pPr>
        <w:pStyle w:val="5"/>
        <w:adjustRightInd w:val="0"/>
        <w:spacing w:line="360" w:lineRule="auto"/>
        <w:rPr>
          <w:kern w:val="21"/>
        </w:rPr>
      </w:pPr>
      <w:bookmarkStart w:id="19" w:name="_Toc986"/>
      <w:r>
        <w:rPr>
          <w:kern w:val="21"/>
        </w:rPr>
        <w:t>1.2编制依据</w:t>
      </w:r>
      <w:bookmarkEnd w:id="19"/>
    </w:p>
    <w:p>
      <w:pPr>
        <w:pStyle w:val="6"/>
        <w:adjustRightInd w:val="0"/>
        <w:snapToGrid w:val="0"/>
        <w:rPr>
          <w:kern w:val="21"/>
        </w:rPr>
      </w:pPr>
      <w:bookmarkStart w:id="20" w:name="_Toc454392599"/>
      <w:bookmarkStart w:id="21" w:name="_Toc3921"/>
      <w:bookmarkStart w:id="22" w:name="_Toc1996"/>
      <w:r>
        <w:rPr>
          <w:kern w:val="21"/>
        </w:rPr>
        <w:t>1.2.1相关法律法规</w:t>
      </w:r>
      <w:bookmarkEnd w:id="20"/>
      <w:bookmarkEnd w:id="21"/>
      <w:bookmarkEnd w:id="22"/>
    </w:p>
    <w:p>
      <w:pPr>
        <w:adjustRightInd w:val="0"/>
        <w:snapToGrid w:val="0"/>
        <w:ind w:firstLine="480"/>
        <w:rPr>
          <w:rFonts w:ascii="Times New Roman" w:hAnsi="Times New Roman"/>
          <w:kern w:val="21"/>
        </w:rPr>
      </w:pPr>
      <w:r>
        <w:rPr>
          <w:rFonts w:ascii="Times New Roman" w:hAnsi="Times New Roman"/>
          <w:kern w:val="21"/>
        </w:rPr>
        <w:t>《中华人民共和国环境保护法》，2014年4月24日修订，自2015年1月1日起施行；</w:t>
      </w:r>
    </w:p>
    <w:p>
      <w:pPr>
        <w:adjustRightInd w:val="0"/>
        <w:snapToGrid w:val="0"/>
        <w:ind w:firstLine="480"/>
        <w:rPr>
          <w:rFonts w:ascii="Times New Roman" w:hAnsi="Times New Roman"/>
          <w:kern w:val="21"/>
        </w:rPr>
      </w:pPr>
      <w:r>
        <w:rPr>
          <w:rFonts w:ascii="Times New Roman" w:hAnsi="Times New Roman"/>
          <w:kern w:val="21"/>
        </w:rPr>
        <w:t>《中华人民共和国水污染防治法》 ，2017年6月27日修订通过，自2018年1月1日起施；</w:t>
      </w:r>
    </w:p>
    <w:p>
      <w:pPr>
        <w:adjustRightInd w:val="0"/>
        <w:snapToGrid w:val="0"/>
        <w:ind w:firstLine="480"/>
        <w:rPr>
          <w:rFonts w:ascii="Times New Roman" w:hAnsi="Times New Roman"/>
          <w:kern w:val="21"/>
        </w:rPr>
      </w:pPr>
      <w:r>
        <w:rPr>
          <w:rFonts w:ascii="Times New Roman" w:hAnsi="Times New Roman"/>
          <w:kern w:val="21"/>
        </w:rPr>
        <w:t>《中华人民共和国大气污染防治法》 ，2015年8月29日修订通过，自2016年1月1日起施行；</w:t>
      </w:r>
    </w:p>
    <w:p>
      <w:pPr>
        <w:adjustRightInd w:val="0"/>
        <w:snapToGrid w:val="0"/>
        <w:ind w:firstLine="480"/>
        <w:rPr>
          <w:rFonts w:ascii="Times New Roman" w:hAnsi="Times New Roman"/>
          <w:kern w:val="21"/>
        </w:rPr>
      </w:pPr>
      <w:r>
        <w:rPr>
          <w:rFonts w:ascii="Times New Roman" w:hAnsi="Times New Roman"/>
          <w:kern w:val="21"/>
        </w:rPr>
        <w:t>《中华人民共和国固体废物污染环境防治法》 ，2020年4月29日修订；</w:t>
      </w:r>
    </w:p>
    <w:p>
      <w:pPr>
        <w:adjustRightInd w:val="0"/>
        <w:snapToGrid w:val="0"/>
        <w:ind w:firstLine="480"/>
        <w:rPr>
          <w:rFonts w:ascii="Times New Roman" w:hAnsi="Times New Roman"/>
          <w:kern w:val="21"/>
        </w:rPr>
      </w:pPr>
      <w:r>
        <w:rPr>
          <w:rFonts w:ascii="Times New Roman" w:hAnsi="Times New Roman"/>
          <w:kern w:val="21"/>
        </w:rPr>
        <w:t>《中华人民共和国安全生产法》 ，2014年8月31日修订，2014年12月1号施行；</w:t>
      </w:r>
    </w:p>
    <w:p>
      <w:pPr>
        <w:adjustRightInd w:val="0"/>
        <w:snapToGrid w:val="0"/>
        <w:ind w:firstLine="480"/>
        <w:rPr>
          <w:rFonts w:ascii="Times New Roman" w:hAnsi="Times New Roman"/>
          <w:kern w:val="21"/>
        </w:rPr>
      </w:pPr>
      <w:r>
        <w:rPr>
          <w:rFonts w:ascii="Times New Roman" w:hAnsi="Times New Roman"/>
          <w:kern w:val="21"/>
        </w:rPr>
        <w:t>《中华人民共和国消防法》 ，2019年4月23日修订；</w:t>
      </w:r>
    </w:p>
    <w:p>
      <w:pPr>
        <w:adjustRightInd w:val="0"/>
        <w:snapToGrid w:val="0"/>
        <w:ind w:firstLine="480"/>
        <w:rPr>
          <w:rFonts w:ascii="Times New Roman" w:hAnsi="Times New Roman"/>
          <w:kern w:val="21"/>
        </w:rPr>
      </w:pPr>
      <w:r>
        <w:rPr>
          <w:rFonts w:ascii="Times New Roman" w:hAnsi="Times New Roman"/>
          <w:kern w:val="21"/>
        </w:rPr>
        <w:t>《国家危险废物名录》，2016年3月30日修订，2016年8月1日施行；</w:t>
      </w:r>
    </w:p>
    <w:p>
      <w:pPr>
        <w:adjustRightInd w:val="0"/>
        <w:snapToGrid w:val="0"/>
        <w:ind w:firstLine="480"/>
        <w:rPr>
          <w:rFonts w:ascii="Times New Roman" w:hAnsi="Times New Roman"/>
          <w:kern w:val="21"/>
        </w:rPr>
      </w:pPr>
      <w:r>
        <w:rPr>
          <w:rFonts w:ascii="Times New Roman" w:hAnsi="Times New Roman"/>
          <w:kern w:val="21"/>
        </w:rPr>
        <w:t>《突发环境事件信息报告办法》（环境保护部令第17号-2011）；</w:t>
      </w:r>
    </w:p>
    <w:p>
      <w:pPr>
        <w:adjustRightInd w:val="0"/>
        <w:snapToGrid w:val="0"/>
        <w:ind w:firstLine="480"/>
        <w:rPr>
          <w:rFonts w:ascii="Times New Roman" w:hAnsi="Times New Roman"/>
          <w:kern w:val="21"/>
        </w:rPr>
      </w:pPr>
      <w:r>
        <w:rPr>
          <w:rFonts w:ascii="Times New Roman" w:hAnsi="Times New Roman"/>
          <w:kern w:val="21"/>
        </w:rPr>
        <w:t>《关于切实加强风险防范严格环境影响评价管理的通知》（环发〔2012〕98号文）；</w:t>
      </w:r>
    </w:p>
    <w:p>
      <w:pPr>
        <w:adjustRightInd w:val="0"/>
        <w:snapToGrid w:val="0"/>
        <w:ind w:firstLine="480"/>
        <w:rPr>
          <w:rFonts w:ascii="Times New Roman" w:hAnsi="Times New Roman"/>
          <w:kern w:val="21"/>
        </w:rPr>
      </w:pPr>
      <w:r>
        <w:rPr>
          <w:rFonts w:ascii="Times New Roman" w:hAnsi="Times New Roman"/>
          <w:kern w:val="21"/>
        </w:rPr>
        <w:t>《关于进一步加强环境影响评价管理防范环境风险的通知》(环发〔2012〕77号)；</w:t>
      </w:r>
    </w:p>
    <w:p>
      <w:pPr>
        <w:adjustRightInd w:val="0"/>
        <w:snapToGrid w:val="0"/>
        <w:ind w:firstLine="480"/>
        <w:rPr>
          <w:rFonts w:ascii="Times New Roman" w:hAnsi="Times New Roman"/>
          <w:kern w:val="21"/>
        </w:rPr>
      </w:pPr>
      <w:r>
        <w:rPr>
          <w:rFonts w:ascii="Times New Roman" w:hAnsi="Times New Roman"/>
          <w:kern w:val="21"/>
        </w:rPr>
        <w:t>《企业突发环境事件风险评估技术指南(试行)》(环办〔2014〕34号 ）；</w:t>
      </w:r>
    </w:p>
    <w:p>
      <w:pPr>
        <w:adjustRightInd w:val="0"/>
        <w:snapToGrid w:val="0"/>
        <w:ind w:firstLine="480"/>
        <w:rPr>
          <w:rFonts w:ascii="Times New Roman" w:hAnsi="Times New Roman"/>
          <w:kern w:val="21"/>
        </w:rPr>
      </w:pPr>
      <w:r>
        <w:rPr>
          <w:rFonts w:ascii="Times New Roman" w:hAnsi="Times New Roman"/>
          <w:kern w:val="21"/>
        </w:rPr>
        <w:t>《企业突发环境事件风险分级方法》（HJ 941-2018）；</w:t>
      </w:r>
    </w:p>
    <w:p>
      <w:pPr>
        <w:adjustRightInd w:val="0"/>
        <w:snapToGrid w:val="0"/>
        <w:ind w:firstLine="480"/>
        <w:rPr>
          <w:rFonts w:ascii="Times New Roman" w:hAnsi="Times New Roman"/>
          <w:kern w:val="21"/>
        </w:rPr>
      </w:pPr>
      <w:r>
        <w:rPr>
          <w:rFonts w:ascii="Times New Roman" w:hAnsi="Times New Roman"/>
          <w:kern w:val="21"/>
        </w:rPr>
        <w:t>《突发环境事件应急预案管理暂行办法》（环发〔2010〕113 号-2010）；</w:t>
      </w:r>
    </w:p>
    <w:p>
      <w:pPr>
        <w:adjustRightInd w:val="0"/>
        <w:snapToGrid w:val="0"/>
        <w:ind w:firstLine="480"/>
        <w:rPr>
          <w:rFonts w:ascii="Times New Roman" w:hAnsi="Times New Roman"/>
          <w:kern w:val="21"/>
        </w:rPr>
      </w:pPr>
      <w:r>
        <w:rPr>
          <w:rFonts w:ascii="Times New Roman" w:hAnsi="Times New Roman"/>
          <w:kern w:val="21"/>
        </w:rPr>
        <w:t>《企业事业单位突发环境事件应急预案备案管理办法（试行）》（环发〔2015〕4 号）；</w:t>
      </w:r>
    </w:p>
    <w:p>
      <w:pPr>
        <w:adjustRightInd w:val="0"/>
        <w:snapToGrid w:val="0"/>
        <w:ind w:firstLine="480"/>
        <w:rPr>
          <w:rFonts w:ascii="Times New Roman" w:hAnsi="Times New Roman"/>
          <w:kern w:val="21"/>
        </w:rPr>
      </w:pPr>
      <w:r>
        <w:rPr>
          <w:rFonts w:ascii="Times New Roman" w:hAnsi="Times New Roman"/>
          <w:kern w:val="21"/>
          <w:lang w:val="zh-CN"/>
        </w:rPr>
        <w:t>《国家突发环境事件应急预案》</w:t>
      </w:r>
      <w:r>
        <w:rPr>
          <w:rFonts w:ascii="Times New Roman" w:hAnsi="Times New Roman"/>
          <w:kern w:val="21"/>
        </w:rPr>
        <w:t>（国办函〔2014〕119号）；</w:t>
      </w:r>
    </w:p>
    <w:p>
      <w:pPr>
        <w:adjustRightInd w:val="0"/>
        <w:snapToGrid w:val="0"/>
        <w:ind w:firstLine="480"/>
        <w:rPr>
          <w:rFonts w:ascii="Times New Roman" w:hAnsi="Times New Roman"/>
          <w:kern w:val="21"/>
        </w:rPr>
      </w:pPr>
      <w:r>
        <w:rPr>
          <w:rFonts w:ascii="Times New Roman" w:hAnsi="Times New Roman"/>
          <w:kern w:val="21"/>
        </w:rPr>
        <w:t>《江西省突发环境事件应急预案（2016年修订版）》（赣府厅字〔2016〕14号）；</w:t>
      </w:r>
    </w:p>
    <w:p>
      <w:pPr>
        <w:adjustRightInd w:val="0"/>
        <w:snapToGrid w:val="0"/>
        <w:ind w:firstLine="480"/>
        <w:rPr>
          <w:rFonts w:ascii="Times New Roman" w:hAnsi="Times New Roman"/>
          <w:kern w:val="21"/>
        </w:rPr>
      </w:pPr>
      <w:r>
        <w:rPr>
          <w:rFonts w:ascii="Times New Roman" w:hAnsi="Times New Roman"/>
          <w:kern w:val="21"/>
        </w:rPr>
        <w:t>《中华人民共和国突发事件应对法》（2007年11月1日施行）；</w:t>
      </w:r>
    </w:p>
    <w:p>
      <w:pPr>
        <w:adjustRightInd w:val="0"/>
        <w:snapToGrid w:val="0"/>
        <w:ind w:firstLine="480"/>
        <w:rPr>
          <w:rFonts w:ascii="Times New Roman" w:hAnsi="Times New Roman"/>
          <w:kern w:val="21"/>
        </w:rPr>
      </w:pPr>
      <w:r>
        <w:rPr>
          <w:rFonts w:ascii="Times New Roman" w:hAnsi="Times New Roman"/>
          <w:kern w:val="21"/>
        </w:rPr>
        <w:t>《环境保护部关于加强环境应急管理工作的意见》（环发〔2009〕130号）；</w:t>
      </w:r>
    </w:p>
    <w:p>
      <w:pPr>
        <w:adjustRightInd w:val="0"/>
        <w:snapToGrid w:val="0"/>
        <w:ind w:firstLine="480"/>
        <w:rPr>
          <w:rFonts w:ascii="Times New Roman" w:hAnsi="Times New Roman"/>
          <w:kern w:val="21"/>
        </w:rPr>
      </w:pPr>
      <w:r>
        <w:rPr>
          <w:rFonts w:ascii="Times New Roman" w:hAnsi="Times New Roman"/>
          <w:kern w:val="21"/>
        </w:rPr>
        <w:t>《突发事件应急演练指南》（应急办函〔2009〕62号）；</w:t>
      </w:r>
    </w:p>
    <w:p>
      <w:pPr>
        <w:adjustRightInd w:val="0"/>
        <w:snapToGrid w:val="0"/>
        <w:ind w:firstLine="480"/>
        <w:rPr>
          <w:rFonts w:ascii="Times New Roman" w:hAnsi="Times New Roman"/>
          <w:kern w:val="21"/>
        </w:rPr>
      </w:pPr>
      <w:r>
        <w:rPr>
          <w:rFonts w:ascii="Times New Roman" w:hAnsi="Times New Roman"/>
          <w:kern w:val="21"/>
        </w:rPr>
        <w:t>《关于开展重大危险源监督管理工作的指导意见》（安监管协调字〔2004〕56号）；</w:t>
      </w:r>
    </w:p>
    <w:p>
      <w:pPr>
        <w:adjustRightInd w:val="0"/>
        <w:snapToGrid w:val="0"/>
        <w:ind w:firstLine="480"/>
        <w:rPr>
          <w:rFonts w:ascii="Times New Roman" w:hAnsi="Times New Roman"/>
          <w:kern w:val="21"/>
        </w:rPr>
      </w:pPr>
      <w:r>
        <w:rPr>
          <w:rFonts w:ascii="Times New Roman" w:hAnsi="Times New Roman"/>
          <w:kern w:val="21"/>
        </w:rPr>
        <w:t>《企业突发环境事件隐患排查和治理工作指南（试行）》的公告（公告〔2016〕第74号）。</w:t>
      </w:r>
    </w:p>
    <w:p>
      <w:pPr>
        <w:pStyle w:val="6"/>
        <w:snapToGrid w:val="0"/>
        <w:rPr>
          <w:kern w:val="21"/>
        </w:rPr>
      </w:pPr>
      <w:bookmarkStart w:id="23" w:name="_Toc28339"/>
      <w:bookmarkStart w:id="24" w:name="_Toc1776"/>
      <w:bookmarkStart w:id="25" w:name="_Toc454392600"/>
      <w:r>
        <w:rPr>
          <w:kern w:val="21"/>
        </w:rPr>
        <w:t>1.2.2相关标准、规范</w:t>
      </w:r>
      <w:bookmarkEnd w:id="23"/>
      <w:bookmarkEnd w:id="24"/>
      <w:bookmarkEnd w:id="25"/>
    </w:p>
    <w:p>
      <w:pPr>
        <w:numPr>
          <w:ilvl w:val="0"/>
          <w:numId w:val="1"/>
        </w:numPr>
        <w:adjustRightInd w:val="0"/>
        <w:snapToGrid w:val="0"/>
        <w:ind w:firstLine="480"/>
        <w:rPr>
          <w:rFonts w:ascii="Times New Roman" w:hAnsi="Times New Roman"/>
          <w:kern w:val="21"/>
        </w:rPr>
      </w:pPr>
      <w:bookmarkStart w:id="26" w:name="_Toc25475"/>
      <w:bookmarkStart w:id="27" w:name="_Toc454392601"/>
      <w:r>
        <w:rPr>
          <w:rFonts w:ascii="Times New Roman" w:hAnsi="Times New Roman"/>
          <w:kern w:val="21"/>
        </w:rPr>
        <w:t xml:space="preserve">《危险化学品重大危险源辨识》（GB18218-2018）； </w:t>
      </w:r>
    </w:p>
    <w:p>
      <w:pPr>
        <w:numPr>
          <w:ilvl w:val="0"/>
          <w:numId w:val="1"/>
        </w:numPr>
        <w:adjustRightInd w:val="0"/>
        <w:snapToGrid w:val="0"/>
        <w:ind w:firstLine="480"/>
        <w:rPr>
          <w:rFonts w:ascii="Times New Roman" w:hAnsi="Times New Roman"/>
          <w:kern w:val="21"/>
        </w:rPr>
      </w:pPr>
      <w:r>
        <w:rPr>
          <w:rFonts w:ascii="Times New Roman" w:hAnsi="Times New Roman"/>
          <w:kern w:val="21"/>
        </w:rPr>
        <w:t>《建筑设计防火规范》（GB50016-2014）；</w:t>
      </w:r>
    </w:p>
    <w:p>
      <w:pPr>
        <w:numPr>
          <w:ilvl w:val="0"/>
          <w:numId w:val="1"/>
        </w:numPr>
        <w:adjustRightInd w:val="0"/>
        <w:snapToGrid w:val="0"/>
        <w:ind w:firstLine="480"/>
        <w:rPr>
          <w:rFonts w:ascii="Times New Roman" w:hAnsi="Times New Roman"/>
          <w:kern w:val="21"/>
        </w:rPr>
      </w:pPr>
      <w:r>
        <w:rPr>
          <w:rFonts w:ascii="Times New Roman" w:hAnsi="Times New Roman"/>
          <w:kern w:val="21"/>
        </w:rPr>
        <w:t>《化学品分类、警示标签和警示性说明安全规程》（GB20576-GB20602）；</w:t>
      </w:r>
    </w:p>
    <w:p>
      <w:pPr>
        <w:numPr>
          <w:ilvl w:val="0"/>
          <w:numId w:val="1"/>
        </w:numPr>
        <w:adjustRightInd w:val="0"/>
        <w:snapToGrid w:val="0"/>
        <w:ind w:firstLine="480"/>
        <w:rPr>
          <w:rFonts w:ascii="Times New Roman" w:hAnsi="Times New Roman"/>
          <w:kern w:val="21"/>
        </w:rPr>
      </w:pPr>
      <w:r>
        <w:rPr>
          <w:rFonts w:ascii="Times New Roman" w:hAnsi="Times New Roman"/>
          <w:kern w:val="21"/>
        </w:rPr>
        <w:t>《建设项目环境风险评价技术导则》（HJ/T169-2018）；</w:t>
      </w:r>
    </w:p>
    <w:p>
      <w:pPr>
        <w:numPr>
          <w:ilvl w:val="0"/>
          <w:numId w:val="1"/>
        </w:numPr>
        <w:adjustRightInd w:val="0"/>
        <w:snapToGrid w:val="0"/>
        <w:ind w:firstLine="480"/>
        <w:rPr>
          <w:rFonts w:ascii="Times New Roman" w:hAnsi="Times New Roman"/>
          <w:kern w:val="21"/>
        </w:rPr>
      </w:pPr>
      <w:r>
        <w:rPr>
          <w:rFonts w:ascii="Times New Roman" w:hAnsi="Times New Roman"/>
          <w:kern w:val="21"/>
        </w:rPr>
        <w:t>《化学品毒性鉴定技术规范》（卫监督发〔2005〕272号）；</w:t>
      </w:r>
    </w:p>
    <w:p>
      <w:pPr>
        <w:numPr>
          <w:ilvl w:val="0"/>
          <w:numId w:val="1"/>
        </w:numPr>
        <w:adjustRightInd w:val="0"/>
        <w:snapToGrid w:val="0"/>
        <w:ind w:firstLine="480"/>
        <w:rPr>
          <w:rFonts w:ascii="Times New Roman" w:hAnsi="Times New Roman"/>
          <w:kern w:val="21"/>
        </w:rPr>
      </w:pPr>
      <w:r>
        <w:rPr>
          <w:rFonts w:ascii="Times New Roman" w:hAnsi="Times New Roman"/>
          <w:kern w:val="21"/>
        </w:rPr>
        <w:t>《化学品分类和危险性公示通则》（GB13690-2009）；</w:t>
      </w:r>
    </w:p>
    <w:p>
      <w:pPr>
        <w:numPr>
          <w:ilvl w:val="0"/>
          <w:numId w:val="1"/>
        </w:numPr>
        <w:adjustRightInd w:val="0"/>
        <w:snapToGrid w:val="0"/>
        <w:ind w:firstLine="480"/>
        <w:rPr>
          <w:rFonts w:ascii="Times New Roman" w:hAnsi="Times New Roman"/>
          <w:kern w:val="21"/>
        </w:rPr>
      </w:pPr>
      <w:r>
        <w:rPr>
          <w:rFonts w:ascii="Times New Roman" w:hAnsi="Times New Roman"/>
          <w:kern w:val="21"/>
        </w:rPr>
        <w:t>《中华人民共和国地表水环境质量标准》（GB3838-2002）；</w:t>
      </w:r>
    </w:p>
    <w:p>
      <w:pPr>
        <w:numPr>
          <w:ilvl w:val="0"/>
          <w:numId w:val="1"/>
        </w:numPr>
        <w:adjustRightInd w:val="0"/>
        <w:snapToGrid w:val="0"/>
        <w:ind w:firstLine="480"/>
        <w:rPr>
          <w:rFonts w:ascii="Times New Roman" w:hAnsi="Times New Roman"/>
          <w:kern w:val="21"/>
        </w:rPr>
      </w:pPr>
      <w:r>
        <w:rPr>
          <w:rFonts w:ascii="Times New Roman" w:hAnsi="Times New Roman"/>
          <w:kern w:val="21"/>
        </w:rPr>
        <w:t>《中华人民共和国环境空气质量标准》（GB3095-2012）；</w:t>
      </w:r>
    </w:p>
    <w:p>
      <w:pPr>
        <w:numPr>
          <w:ilvl w:val="0"/>
          <w:numId w:val="1"/>
        </w:numPr>
        <w:adjustRightInd w:val="0"/>
        <w:snapToGrid w:val="0"/>
        <w:ind w:firstLine="480"/>
        <w:rPr>
          <w:rFonts w:ascii="Times New Roman" w:hAnsi="Times New Roman"/>
          <w:kern w:val="21"/>
        </w:rPr>
      </w:pPr>
      <w:r>
        <w:rPr>
          <w:rFonts w:ascii="Times New Roman" w:hAnsi="Times New Roman"/>
          <w:kern w:val="21"/>
        </w:rPr>
        <w:t>《突发环境事件应急监测技术规范》（HJ589-2010）；</w:t>
      </w:r>
    </w:p>
    <w:p>
      <w:pPr>
        <w:numPr>
          <w:ilvl w:val="0"/>
          <w:numId w:val="1"/>
        </w:numPr>
        <w:adjustRightInd w:val="0"/>
        <w:snapToGrid w:val="0"/>
        <w:ind w:firstLine="480"/>
        <w:rPr>
          <w:rFonts w:ascii="Times New Roman" w:hAnsi="Times New Roman"/>
          <w:kern w:val="21"/>
        </w:rPr>
      </w:pPr>
      <w:r>
        <w:rPr>
          <w:rFonts w:ascii="Times New Roman" w:hAnsi="Times New Roman"/>
          <w:kern w:val="21"/>
        </w:rPr>
        <w:t>《工作场所有害因素职业接触限值》（GBZ2-2007）；</w:t>
      </w:r>
    </w:p>
    <w:p>
      <w:pPr>
        <w:numPr>
          <w:ilvl w:val="0"/>
          <w:numId w:val="1"/>
        </w:numPr>
        <w:adjustRightInd w:val="0"/>
        <w:snapToGrid w:val="0"/>
        <w:ind w:firstLine="480"/>
        <w:rPr>
          <w:rFonts w:ascii="Times New Roman" w:hAnsi="Times New Roman"/>
          <w:kern w:val="21"/>
        </w:rPr>
      </w:pPr>
      <w:r>
        <w:rPr>
          <w:rFonts w:ascii="Times New Roman" w:hAnsi="Times New Roman"/>
          <w:kern w:val="21"/>
        </w:rPr>
        <w:t>《国家危险废物名录》（2016年8月1日发布）；</w:t>
      </w:r>
    </w:p>
    <w:p>
      <w:pPr>
        <w:numPr>
          <w:ilvl w:val="0"/>
          <w:numId w:val="1"/>
        </w:numPr>
        <w:adjustRightInd w:val="0"/>
        <w:snapToGrid w:val="0"/>
        <w:ind w:firstLine="480"/>
        <w:rPr>
          <w:rFonts w:ascii="Times New Roman" w:hAnsi="Times New Roman"/>
          <w:kern w:val="21"/>
        </w:rPr>
      </w:pPr>
      <w:r>
        <w:rPr>
          <w:rFonts w:ascii="Times New Roman" w:hAnsi="Times New Roman"/>
          <w:kern w:val="21"/>
        </w:rPr>
        <w:t>《工业企业设计卫生标准》（GBZ1-2010）；</w:t>
      </w:r>
    </w:p>
    <w:p>
      <w:pPr>
        <w:numPr>
          <w:ilvl w:val="0"/>
          <w:numId w:val="1"/>
        </w:numPr>
        <w:adjustRightInd w:val="0"/>
        <w:snapToGrid w:val="0"/>
        <w:ind w:firstLine="480"/>
        <w:rPr>
          <w:rFonts w:ascii="Times New Roman" w:hAnsi="Times New Roman"/>
          <w:kern w:val="21"/>
        </w:rPr>
      </w:pPr>
      <w:r>
        <w:rPr>
          <w:rFonts w:ascii="Times New Roman" w:hAnsi="Times New Roman"/>
          <w:kern w:val="21"/>
        </w:rPr>
        <w:t>《工业场所有害因素职业接触限值》（GBZ2-2007）；</w:t>
      </w:r>
    </w:p>
    <w:p>
      <w:pPr>
        <w:numPr>
          <w:ilvl w:val="0"/>
          <w:numId w:val="1"/>
        </w:numPr>
        <w:adjustRightInd w:val="0"/>
        <w:snapToGrid w:val="0"/>
        <w:ind w:firstLine="480"/>
        <w:rPr>
          <w:rFonts w:ascii="Times New Roman" w:hAnsi="Times New Roman"/>
          <w:kern w:val="21"/>
        </w:rPr>
      </w:pPr>
      <w:r>
        <w:rPr>
          <w:rFonts w:ascii="Times New Roman" w:hAnsi="Times New Roman"/>
          <w:kern w:val="21"/>
        </w:rPr>
        <w:t>《污水综合排放标准》（GB8978-1996）；</w:t>
      </w:r>
    </w:p>
    <w:p>
      <w:pPr>
        <w:numPr>
          <w:ilvl w:val="0"/>
          <w:numId w:val="1"/>
        </w:numPr>
        <w:adjustRightInd w:val="0"/>
        <w:snapToGrid w:val="0"/>
        <w:ind w:firstLine="480"/>
        <w:rPr>
          <w:rFonts w:ascii="Times New Roman" w:hAnsi="Times New Roman"/>
          <w:kern w:val="21"/>
        </w:rPr>
      </w:pPr>
      <w:r>
        <w:rPr>
          <w:rFonts w:ascii="Times New Roman" w:hAnsi="Times New Roman"/>
          <w:kern w:val="21"/>
        </w:rPr>
        <w:t>《大气污染物综合排放标准》（GB16297-1996）；</w:t>
      </w:r>
    </w:p>
    <w:p>
      <w:pPr>
        <w:numPr>
          <w:ilvl w:val="0"/>
          <w:numId w:val="1"/>
        </w:numPr>
        <w:adjustRightInd w:val="0"/>
        <w:snapToGrid w:val="0"/>
        <w:ind w:firstLine="480"/>
        <w:rPr>
          <w:rFonts w:ascii="Times New Roman" w:hAnsi="Times New Roman"/>
          <w:kern w:val="21"/>
        </w:rPr>
      </w:pPr>
      <w:r>
        <w:rPr>
          <w:rFonts w:ascii="Times New Roman" w:hAnsi="Times New Roman"/>
          <w:kern w:val="21"/>
        </w:rPr>
        <w:t>《恶臭污染物排放标准》（GB14554-93）。</w:t>
      </w:r>
    </w:p>
    <w:p>
      <w:pPr>
        <w:numPr>
          <w:ilvl w:val="0"/>
          <w:numId w:val="1"/>
        </w:numPr>
        <w:adjustRightInd w:val="0"/>
        <w:snapToGrid w:val="0"/>
        <w:ind w:firstLine="480"/>
        <w:rPr>
          <w:rFonts w:ascii="Times New Roman" w:hAnsi="Times New Roman"/>
          <w:kern w:val="21"/>
        </w:rPr>
      </w:pPr>
      <w:r>
        <w:rPr>
          <w:rFonts w:ascii="Times New Roman" w:hAnsi="Times New Roman"/>
          <w:kern w:val="21"/>
        </w:rPr>
        <w:t>《土壤污染防治法》（2019年1月1日）</w:t>
      </w:r>
    </w:p>
    <w:p>
      <w:pPr>
        <w:pStyle w:val="6"/>
        <w:adjustRightInd w:val="0"/>
        <w:snapToGrid w:val="0"/>
        <w:jc w:val="both"/>
        <w:rPr>
          <w:kern w:val="21"/>
        </w:rPr>
      </w:pPr>
      <w:bookmarkStart w:id="28" w:name="_Toc18294"/>
      <w:r>
        <w:rPr>
          <w:kern w:val="21"/>
        </w:rPr>
        <w:t>1.2.3其他资料</w:t>
      </w:r>
      <w:bookmarkEnd w:id="26"/>
      <w:bookmarkEnd w:id="27"/>
      <w:bookmarkEnd w:id="28"/>
    </w:p>
    <w:p>
      <w:pPr>
        <w:pStyle w:val="41"/>
        <w:spacing w:line="360" w:lineRule="auto"/>
        <w:ind w:firstLine="480"/>
      </w:pPr>
      <w:bookmarkStart w:id="29" w:name="_Toc9144"/>
      <w:r>
        <w:rPr>
          <w:rFonts w:hint="eastAsia"/>
        </w:rPr>
        <w:t>（1）《湖口博源污水处理有限公司九江市金砂湾工业园区污水处理工程建设项目环境影响报告书》；</w:t>
      </w:r>
    </w:p>
    <w:p>
      <w:pPr>
        <w:pStyle w:val="41"/>
        <w:spacing w:line="360" w:lineRule="auto"/>
        <w:ind w:firstLine="480"/>
      </w:pPr>
      <w:r>
        <w:rPr>
          <w:rFonts w:hint="eastAsia"/>
        </w:rPr>
        <w:t>（2）九江市生态环境保护局关于《湖口博源污水处理有限公司九江市金砂湾工业园区污水处理工程建设项目环境影响报告书》批复（九环督字[2009]17 号）；</w:t>
      </w:r>
    </w:p>
    <w:p>
      <w:pPr>
        <w:pStyle w:val="41"/>
        <w:spacing w:line="360" w:lineRule="auto"/>
        <w:ind w:firstLine="480"/>
      </w:pPr>
      <w:r>
        <w:rPr>
          <w:rFonts w:hint="eastAsia"/>
        </w:rPr>
        <w:t>（3）《湖口县金砂湾工业园污水处理厂提升改造工程项目环境影响报告表》；</w:t>
      </w:r>
    </w:p>
    <w:p>
      <w:pPr>
        <w:pStyle w:val="41"/>
        <w:spacing w:line="360" w:lineRule="auto"/>
        <w:ind w:firstLine="480"/>
      </w:pPr>
      <w:r>
        <w:rPr>
          <w:rFonts w:hint="eastAsia"/>
        </w:rPr>
        <w:t>（4）湖口县生态环境保护局关于《湖口县金砂湾工业园污水处理厂提升改造工程项目环境影响报告表》的批复（湖环评【2019】19号）；</w:t>
      </w:r>
    </w:p>
    <w:p>
      <w:pPr>
        <w:pStyle w:val="41"/>
        <w:spacing w:line="360" w:lineRule="auto"/>
        <w:ind w:firstLine="480"/>
      </w:pPr>
      <w:r>
        <w:rPr>
          <w:rFonts w:hint="eastAsia"/>
        </w:rPr>
        <w:t>（5）其它相关技术文件。</w:t>
      </w:r>
    </w:p>
    <w:p>
      <w:pPr>
        <w:pStyle w:val="5"/>
        <w:adjustRightInd w:val="0"/>
        <w:spacing w:line="360" w:lineRule="auto"/>
        <w:jc w:val="both"/>
        <w:rPr>
          <w:kern w:val="21"/>
        </w:rPr>
      </w:pPr>
      <w:r>
        <w:rPr>
          <w:kern w:val="21"/>
        </w:rPr>
        <w:t>1.3适用范围</w:t>
      </w:r>
      <w:bookmarkEnd w:id="29"/>
    </w:p>
    <w:p>
      <w:pPr>
        <w:spacing w:afterLines="50"/>
        <w:ind w:firstLine="480"/>
      </w:pPr>
      <w:bookmarkStart w:id="30" w:name="_Toc333474571"/>
      <w:bookmarkStart w:id="31" w:name="_Toc300694405"/>
      <w:bookmarkStart w:id="32" w:name="_Toc350376267"/>
      <w:r>
        <w:rPr>
          <w:rFonts w:hint="eastAsia"/>
        </w:rPr>
        <w:t>本预案适用于湖口县金砂湾工业园集中污水处理厂项目，若污水处理量、污水处理工艺有重大改动，必须重新修订突发环境事件应急预案。</w:t>
      </w:r>
    </w:p>
    <w:p>
      <w:pPr>
        <w:pStyle w:val="5"/>
        <w:adjustRightInd w:val="0"/>
        <w:spacing w:line="360" w:lineRule="auto"/>
        <w:jc w:val="both"/>
        <w:rPr>
          <w:kern w:val="21"/>
        </w:rPr>
      </w:pPr>
      <w:bookmarkStart w:id="33" w:name="_Toc28290"/>
      <w:r>
        <w:rPr>
          <w:kern w:val="21"/>
        </w:rPr>
        <w:t>1.4事件分级</w:t>
      </w:r>
      <w:bookmarkEnd w:id="30"/>
      <w:bookmarkEnd w:id="31"/>
      <w:bookmarkEnd w:id="32"/>
      <w:bookmarkEnd w:id="33"/>
      <w:bookmarkStart w:id="34" w:name="_Toc301013293"/>
      <w:bookmarkStart w:id="35" w:name="_Toc300694406"/>
    </w:p>
    <w:bookmarkEnd w:id="34"/>
    <w:bookmarkEnd w:id="35"/>
    <w:p>
      <w:pPr>
        <w:adjustRightInd w:val="0"/>
        <w:snapToGrid w:val="0"/>
        <w:ind w:firstLine="480"/>
        <w:rPr>
          <w:rFonts w:ascii="Times New Roman" w:hAnsi="Times New Roman"/>
          <w:kern w:val="21"/>
        </w:rPr>
      </w:pPr>
      <w:r>
        <w:rPr>
          <w:rFonts w:ascii="Times New Roman" w:hAnsi="Times New Roman"/>
          <w:kern w:val="21"/>
        </w:rPr>
        <w:t>根据《国家突发环境事件应急预案》（国办函〔2014〕119号）、《突发环境事件信息报告办法》（环境保护部令 第17号）、《江西省突发环境事件应急预案（2016年修订版）》（赣府厅字〔2016〕14号），突发环境事件分级标准按照突发事件严重性和紧急程度，突发环境事件分为特别重大环境事件（Ⅰ级）、重大环境事件（Ⅱ级）、较大环境事件（Ⅲ级）、一般环境事件（Ⅳ级）四级。</w:t>
      </w:r>
    </w:p>
    <w:p>
      <w:pPr>
        <w:pStyle w:val="6"/>
        <w:adjustRightInd w:val="0"/>
        <w:snapToGrid w:val="0"/>
        <w:jc w:val="both"/>
        <w:rPr>
          <w:kern w:val="21"/>
        </w:rPr>
      </w:pPr>
      <w:bookmarkStart w:id="36" w:name="_Toc350376269"/>
      <w:bookmarkStart w:id="37" w:name="_Toc454392604"/>
      <w:bookmarkStart w:id="38" w:name="_Toc2240"/>
      <w:bookmarkStart w:id="39" w:name="_Toc301013294"/>
      <w:bookmarkStart w:id="40" w:name="_Toc300694407"/>
      <w:bookmarkStart w:id="41" w:name="_Toc30182"/>
      <w:r>
        <w:rPr>
          <w:kern w:val="21"/>
        </w:rPr>
        <w:t>1.4.1特别重大环境事件（Ⅰ级）</w:t>
      </w:r>
      <w:bookmarkEnd w:id="36"/>
      <w:bookmarkEnd w:id="37"/>
      <w:bookmarkEnd w:id="38"/>
      <w:bookmarkEnd w:id="39"/>
      <w:bookmarkEnd w:id="40"/>
      <w:bookmarkEnd w:id="41"/>
    </w:p>
    <w:p>
      <w:pPr>
        <w:adjustRightInd w:val="0"/>
        <w:snapToGrid w:val="0"/>
        <w:ind w:firstLine="480"/>
        <w:rPr>
          <w:rFonts w:ascii="Times New Roman" w:hAnsi="Times New Roman"/>
          <w:kern w:val="21"/>
        </w:rPr>
      </w:pPr>
      <w:bookmarkStart w:id="42" w:name="_Toc350376270"/>
      <w:bookmarkStart w:id="43" w:name="_Toc300694408"/>
      <w:bookmarkStart w:id="44" w:name="_Toc301013295"/>
      <w:r>
        <w:rPr>
          <w:rFonts w:ascii="Times New Roman" w:hAnsi="Times New Roman"/>
          <w:kern w:val="21"/>
        </w:rPr>
        <w:t>凡符合下列情形之一的，为特别重大突发环境事件：</w:t>
      </w:r>
    </w:p>
    <w:p>
      <w:pPr>
        <w:adjustRightInd w:val="0"/>
        <w:snapToGrid w:val="0"/>
        <w:ind w:firstLine="480"/>
        <w:rPr>
          <w:rFonts w:ascii="Times New Roman" w:hAnsi="Times New Roman"/>
          <w:kern w:val="21"/>
        </w:rPr>
      </w:pPr>
      <w:r>
        <w:rPr>
          <w:rFonts w:ascii="Times New Roman" w:hAnsi="Times New Roman"/>
          <w:kern w:val="21"/>
        </w:rPr>
        <w:t>1、因环境污染直接导致30人以上死亡或100人以上中毒或重伤的；</w:t>
      </w:r>
    </w:p>
    <w:p>
      <w:pPr>
        <w:adjustRightInd w:val="0"/>
        <w:snapToGrid w:val="0"/>
        <w:ind w:firstLine="480"/>
        <w:rPr>
          <w:rFonts w:ascii="Times New Roman" w:hAnsi="Times New Roman"/>
          <w:kern w:val="21"/>
        </w:rPr>
      </w:pPr>
      <w:r>
        <w:rPr>
          <w:rFonts w:ascii="Times New Roman" w:hAnsi="Times New Roman"/>
          <w:kern w:val="21"/>
        </w:rPr>
        <w:t>2、因环境污染疏散、转移人员5万人以上的；</w:t>
      </w:r>
    </w:p>
    <w:p>
      <w:pPr>
        <w:adjustRightInd w:val="0"/>
        <w:snapToGrid w:val="0"/>
        <w:ind w:firstLine="480"/>
        <w:rPr>
          <w:rFonts w:ascii="Times New Roman" w:hAnsi="Times New Roman"/>
          <w:kern w:val="21"/>
        </w:rPr>
      </w:pPr>
      <w:r>
        <w:rPr>
          <w:rFonts w:ascii="Times New Roman" w:hAnsi="Times New Roman"/>
          <w:kern w:val="21"/>
        </w:rPr>
        <w:t>3、因环境污染造成直接经济损失1亿元以上的；</w:t>
      </w:r>
    </w:p>
    <w:p>
      <w:pPr>
        <w:adjustRightInd w:val="0"/>
        <w:snapToGrid w:val="0"/>
        <w:ind w:firstLine="480"/>
        <w:rPr>
          <w:rFonts w:ascii="Times New Roman" w:hAnsi="Times New Roman"/>
          <w:kern w:val="21"/>
        </w:rPr>
      </w:pPr>
      <w:r>
        <w:rPr>
          <w:rFonts w:ascii="Times New Roman" w:hAnsi="Times New Roman"/>
          <w:kern w:val="21"/>
        </w:rPr>
        <w:t>4、因环境污染造成区域生态功能丧失或该区域国家重点保护物种灭绝的；</w:t>
      </w:r>
    </w:p>
    <w:p>
      <w:pPr>
        <w:adjustRightInd w:val="0"/>
        <w:snapToGrid w:val="0"/>
        <w:ind w:firstLine="480"/>
        <w:rPr>
          <w:rFonts w:ascii="Times New Roman" w:hAnsi="Times New Roman"/>
          <w:kern w:val="21"/>
        </w:rPr>
      </w:pPr>
      <w:r>
        <w:rPr>
          <w:rFonts w:ascii="Times New Roman" w:hAnsi="Times New Roman"/>
          <w:kern w:val="21"/>
        </w:rPr>
        <w:t>5、因环境污染造成设区的市级以上城市集中式饮用水水源地取水中断的；</w:t>
      </w:r>
    </w:p>
    <w:p>
      <w:pPr>
        <w:adjustRightInd w:val="0"/>
        <w:snapToGrid w:val="0"/>
        <w:ind w:firstLine="480"/>
        <w:rPr>
          <w:rFonts w:ascii="Times New Roman" w:hAnsi="Times New Roman"/>
          <w:kern w:val="21"/>
        </w:rPr>
      </w:pPr>
      <w:r>
        <w:rPr>
          <w:rFonts w:ascii="Times New Roman" w:hAnsi="Times New Roman"/>
          <w:kern w:val="21"/>
        </w:rPr>
        <w:t>6、Ⅰ、Ⅱ类放射源丢失、被盗、失控并造成大范围严重辐射污染后果的；放射性同位素和射线装置失控导致3人以上急性死亡的；放射性物质泄漏，造成大范围辐射污染后果的；</w:t>
      </w:r>
    </w:p>
    <w:p>
      <w:pPr>
        <w:adjustRightInd w:val="0"/>
        <w:snapToGrid w:val="0"/>
        <w:ind w:firstLine="480"/>
        <w:rPr>
          <w:rFonts w:ascii="Times New Roman" w:hAnsi="Times New Roman"/>
          <w:kern w:val="21"/>
        </w:rPr>
      </w:pPr>
      <w:r>
        <w:rPr>
          <w:rFonts w:ascii="Times New Roman" w:hAnsi="Times New Roman"/>
          <w:kern w:val="21"/>
        </w:rPr>
        <w:t>7、造成重大跨国境影响的境内突发环境事件。</w:t>
      </w:r>
    </w:p>
    <w:p>
      <w:pPr>
        <w:pStyle w:val="6"/>
        <w:adjustRightInd w:val="0"/>
        <w:snapToGrid w:val="0"/>
        <w:rPr>
          <w:kern w:val="21"/>
        </w:rPr>
      </w:pPr>
      <w:bookmarkStart w:id="45" w:name="_Toc454392605"/>
      <w:bookmarkStart w:id="46" w:name="_Toc21791"/>
      <w:bookmarkStart w:id="47" w:name="_Toc10920"/>
      <w:r>
        <w:rPr>
          <w:kern w:val="21"/>
        </w:rPr>
        <w:t>1.4.2重大环境事件（Ⅱ级）</w:t>
      </w:r>
      <w:bookmarkEnd w:id="42"/>
      <w:bookmarkEnd w:id="43"/>
      <w:bookmarkEnd w:id="44"/>
      <w:bookmarkEnd w:id="45"/>
      <w:bookmarkEnd w:id="46"/>
      <w:bookmarkEnd w:id="47"/>
    </w:p>
    <w:p>
      <w:pPr>
        <w:adjustRightInd w:val="0"/>
        <w:snapToGrid w:val="0"/>
        <w:ind w:firstLine="480"/>
        <w:rPr>
          <w:rFonts w:ascii="Times New Roman" w:hAnsi="Times New Roman"/>
          <w:kern w:val="21"/>
        </w:rPr>
      </w:pPr>
      <w:bookmarkStart w:id="48" w:name="_Toc350376271"/>
      <w:bookmarkStart w:id="49" w:name="_Toc301013296"/>
      <w:bookmarkStart w:id="50" w:name="_Toc300694409"/>
      <w:r>
        <w:rPr>
          <w:rFonts w:ascii="Times New Roman" w:hAnsi="Times New Roman"/>
          <w:kern w:val="21"/>
        </w:rPr>
        <w:t>凡符合下列情形之一的，为重大环境事件：</w:t>
      </w:r>
    </w:p>
    <w:p>
      <w:pPr>
        <w:adjustRightInd w:val="0"/>
        <w:snapToGrid w:val="0"/>
        <w:ind w:firstLine="480"/>
        <w:rPr>
          <w:rFonts w:ascii="Times New Roman" w:hAnsi="Times New Roman"/>
          <w:kern w:val="21"/>
        </w:rPr>
      </w:pPr>
      <w:r>
        <w:rPr>
          <w:rFonts w:ascii="Times New Roman" w:hAnsi="Times New Roman"/>
          <w:kern w:val="21"/>
        </w:rPr>
        <w:t>1、因环境污染直接导致10人以上30人以下死亡或50人以上100人以下中毒或重伤的；</w:t>
      </w:r>
    </w:p>
    <w:p>
      <w:pPr>
        <w:adjustRightInd w:val="0"/>
        <w:snapToGrid w:val="0"/>
        <w:ind w:firstLine="480"/>
        <w:rPr>
          <w:rFonts w:ascii="Times New Roman" w:hAnsi="Times New Roman"/>
          <w:kern w:val="21"/>
        </w:rPr>
      </w:pPr>
      <w:r>
        <w:rPr>
          <w:rFonts w:ascii="Times New Roman" w:hAnsi="Times New Roman"/>
          <w:kern w:val="21"/>
        </w:rPr>
        <w:t>2、因环境污染疏散、转移人员1万人以上5万人以下的；</w:t>
      </w:r>
    </w:p>
    <w:p>
      <w:pPr>
        <w:adjustRightInd w:val="0"/>
        <w:snapToGrid w:val="0"/>
        <w:ind w:firstLine="480"/>
        <w:rPr>
          <w:rFonts w:ascii="Times New Roman" w:hAnsi="Times New Roman"/>
          <w:kern w:val="21"/>
        </w:rPr>
      </w:pPr>
      <w:r>
        <w:rPr>
          <w:rFonts w:ascii="Times New Roman" w:hAnsi="Times New Roman"/>
          <w:kern w:val="21"/>
        </w:rPr>
        <w:t>3、因环境污染造成直接经济损失2000万元以上1亿元以下的；</w:t>
      </w:r>
    </w:p>
    <w:p>
      <w:pPr>
        <w:adjustRightInd w:val="0"/>
        <w:snapToGrid w:val="0"/>
        <w:ind w:firstLine="480"/>
        <w:rPr>
          <w:rFonts w:ascii="Times New Roman" w:hAnsi="Times New Roman"/>
          <w:kern w:val="21"/>
        </w:rPr>
      </w:pPr>
      <w:r>
        <w:rPr>
          <w:rFonts w:ascii="Times New Roman" w:hAnsi="Times New Roman"/>
          <w:kern w:val="21"/>
        </w:rPr>
        <w:t>4、因环境污染造成区域生态功能部分丧失或该区域国家重点保护野生动植物种群大批死亡的；</w:t>
      </w:r>
    </w:p>
    <w:p>
      <w:pPr>
        <w:adjustRightInd w:val="0"/>
        <w:snapToGrid w:val="0"/>
        <w:ind w:firstLine="480"/>
        <w:rPr>
          <w:rFonts w:ascii="Times New Roman" w:hAnsi="Times New Roman"/>
          <w:kern w:val="21"/>
        </w:rPr>
      </w:pPr>
      <w:r>
        <w:rPr>
          <w:rFonts w:ascii="Times New Roman" w:hAnsi="Times New Roman"/>
          <w:kern w:val="21"/>
        </w:rPr>
        <w:t>5、因环境污染造成市级城市集中式饮用水水源地取水中断的；</w:t>
      </w:r>
    </w:p>
    <w:p>
      <w:pPr>
        <w:adjustRightInd w:val="0"/>
        <w:snapToGrid w:val="0"/>
        <w:ind w:firstLine="480"/>
        <w:rPr>
          <w:rFonts w:ascii="Times New Roman" w:hAnsi="Times New Roman"/>
          <w:kern w:val="21"/>
        </w:rPr>
      </w:pPr>
      <w:r>
        <w:rPr>
          <w:rFonts w:ascii="Times New Roman" w:hAnsi="Times New Roman"/>
          <w:kern w:val="21"/>
        </w:rPr>
        <w:t>6、Ⅰ、Ⅱ类放射源丢失、被盗的；放射性同位素和射线装置失控导致3人以下急性死亡或者10人以上急性重度放射病、局部器官残疾的；放射性物质泄漏，造成较大范围辐射污染后果的；</w:t>
      </w:r>
    </w:p>
    <w:p>
      <w:pPr>
        <w:adjustRightInd w:val="0"/>
        <w:snapToGrid w:val="0"/>
        <w:ind w:firstLine="480"/>
        <w:rPr>
          <w:rFonts w:ascii="Times New Roman" w:hAnsi="Times New Roman"/>
          <w:kern w:val="21"/>
        </w:rPr>
      </w:pPr>
      <w:r>
        <w:rPr>
          <w:rFonts w:ascii="Times New Roman" w:hAnsi="Times New Roman"/>
          <w:kern w:val="21"/>
        </w:rPr>
        <w:t>7、造成跨省级行政区域影响的突发环境事件。</w:t>
      </w:r>
    </w:p>
    <w:p>
      <w:pPr>
        <w:pStyle w:val="6"/>
        <w:adjustRightInd w:val="0"/>
        <w:snapToGrid w:val="0"/>
        <w:jc w:val="both"/>
        <w:rPr>
          <w:kern w:val="21"/>
        </w:rPr>
      </w:pPr>
      <w:bookmarkStart w:id="51" w:name="_Toc1267"/>
      <w:bookmarkStart w:id="52" w:name="_Toc4403"/>
      <w:bookmarkStart w:id="53" w:name="_Toc454392606"/>
      <w:r>
        <w:rPr>
          <w:kern w:val="21"/>
        </w:rPr>
        <w:t>1.4.3较大环境事件（Ⅲ级）</w:t>
      </w:r>
      <w:bookmarkEnd w:id="48"/>
      <w:bookmarkEnd w:id="49"/>
      <w:bookmarkEnd w:id="50"/>
      <w:bookmarkEnd w:id="51"/>
      <w:bookmarkEnd w:id="52"/>
      <w:bookmarkEnd w:id="53"/>
    </w:p>
    <w:p>
      <w:pPr>
        <w:adjustRightInd w:val="0"/>
        <w:snapToGrid w:val="0"/>
        <w:ind w:firstLine="480"/>
        <w:rPr>
          <w:rFonts w:ascii="Times New Roman" w:hAnsi="Times New Roman"/>
          <w:kern w:val="21"/>
        </w:rPr>
      </w:pPr>
      <w:bookmarkStart w:id="54" w:name="_Toc300694410"/>
      <w:bookmarkStart w:id="55" w:name="_Toc301013297"/>
      <w:bookmarkStart w:id="56" w:name="_Toc350376272"/>
      <w:r>
        <w:rPr>
          <w:rFonts w:ascii="Times New Roman" w:hAnsi="Times New Roman"/>
          <w:kern w:val="21"/>
        </w:rPr>
        <w:t>凡符合下列情形之一的，为较大环境事件：</w:t>
      </w:r>
    </w:p>
    <w:p>
      <w:pPr>
        <w:adjustRightInd w:val="0"/>
        <w:snapToGrid w:val="0"/>
        <w:ind w:firstLine="480"/>
        <w:rPr>
          <w:rFonts w:ascii="Times New Roman" w:hAnsi="Times New Roman"/>
          <w:kern w:val="21"/>
        </w:rPr>
      </w:pPr>
      <w:r>
        <w:rPr>
          <w:rFonts w:ascii="Times New Roman" w:hAnsi="Times New Roman"/>
          <w:kern w:val="21"/>
        </w:rPr>
        <w:t>1、因环境污染直接导致3人以上10人以下死亡或10人以上50人以下中毒或重伤的；</w:t>
      </w:r>
    </w:p>
    <w:p>
      <w:pPr>
        <w:adjustRightInd w:val="0"/>
        <w:snapToGrid w:val="0"/>
        <w:ind w:firstLine="480"/>
        <w:rPr>
          <w:rFonts w:ascii="Times New Roman" w:hAnsi="Times New Roman"/>
          <w:kern w:val="21"/>
        </w:rPr>
      </w:pPr>
      <w:r>
        <w:rPr>
          <w:rFonts w:ascii="Times New Roman" w:hAnsi="Times New Roman"/>
          <w:kern w:val="21"/>
        </w:rPr>
        <w:t>2、因环境污染疏散、转移人员5000人以上1万人以下的；</w:t>
      </w:r>
    </w:p>
    <w:p>
      <w:pPr>
        <w:adjustRightInd w:val="0"/>
        <w:snapToGrid w:val="0"/>
        <w:ind w:firstLine="480"/>
        <w:rPr>
          <w:rFonts w:ascii="Times New Roman" w:hAnsi="Times New Roman"/>
          <w:kern w:val="21"/>
        </w:rPr>
      </w:pPr>
      <w:r>
        <w:rPr>
          <w:rFonts w:ascii="Times New Roman" w:hAnsi="Times New Roman"/>
          <w:kern w:val="21"/>
        </w:rPr>
        <w:t>3、因环境污染造成直接经济损失500万元以上2000万元以下的；</w:t>
      </w:r>
    </w:p>
    <w:p>
      <w:pPr>
        <w:adjustRightInd w:val="0"/>
        <w:snapToGrid w:val="0"/>
        <w:ind w:firstLine="480"/>
        <w:rPr>
          <w:rFonts w:ascii="Times New Roman" w:hAnsi="Times New Roman"/>
          <w:kern w:val="21"/>
        </w:rPr>
      </w:pPr>
      <w:r>
        <w:rPr>
          <w:rFonts w:ascii="Times New Roman" w:hAnsi="Times New Roman"/>
          <w:kern w:val="21"/>
        </w:rPr>
        <w:t>4、因环境污染造成国家重点保护的动植物物种受到破坏的；</w:t>
      </w:r>
    </w:p>
    <w:p>
      <w:pPr>
        <w:adjustRightInd w:val="0"/>
        <w:snapToGrid w:val="0"/>
        <w:ind w:firstLine="480"/>
        <w:rPr>
          <w:rFonts w:ascii="Times New Roman" w:hAnsi="Times New Roman"/>
          <w:kern w:val="21"/>
        </w:rPr>
      </w:pPr>
      <w:r>
        <w:rPr>
          <w:rFonts w:ascii="Times New Roman" w:hAnsi="Times New Roman"/>
          <w:kern w:val="21"/>
        </w:rPr>
        <w:t>5、因环境污染造成乡镇集中式饮用水水源地取水中断的；</w:t>
      </w:r>
    </w:p>
    <w:p>
      <w:pPr>
        <w:adjustRightInd w:val="0"/>
        <w:snapToGrid w:val="0"/>
        <w:ind w:firstLine="480"/>
        <w:rPr>
          <w:rFonts w:ascii="Times New Roman" w:hAnsi="Times New Roman"/>
          <w:kern w:val="21"/>
        </w:rPr>
      </w:pPr>
      <w:r>
        <w:rPr>
          <w:rFonts w:ascii="Times New Roman" w:hAnsi="Times New Roman"/>
          <w:kern w:val="21"/>
        </w:rPr>
        <w:t>6、Ⅲ类放射源丢失、被盗的；放射性同位素和射线装置失控导致10人以下急性重度放射病、局部器官残疾的；放射性物质泄漏，造成小范围辐射污染后果的；</w:t>
      </w:r>
    </w:p>
    <w:p>
      <w:pPr>
        <w:adjustRightInd w:val="0"/>
        <w:snapToGrid w:val="0"/>
        <w:ind w:firstLine="480"/>
        <w:rPr>
          <w:rFonts w:ascii="Times New Roman" w:hAnsi="Times New Roman"/>
          <w:kern w:val="21"/>
        </w:rPr>
      </w:pPr>
      <w:r>
        <w:rPr>
          <w:rFonts w:ascii="Times New Roman" w:hAnsi="Times New Roman"/>
          <w:kern w:val="21"/>
        </w:rPr>
        <w:t>7、造成跨设区的市级行政区域影响的突发环境事件。</w:t>
      </w:r>
    </w:p>
    <w:p>
      <w:pPr>
        <w:pStyle w:val="6"/>
        <w:adjustRightInd w:val="0"/>
        <w:snapToGrid w:val="0"/>
        <w:rPr>
          <w:kern w:val="21"/>
        </w:rPr>
      </w:pPr>
      <w:bookmarkStart w:id="57" w:name="_Toc25067"/>
      <w:bookmarkStart w:id="58" w:name="_Toc454392607"/>
      <w:bookmarkStart w:id="59" w:name="_Toc19901"/>
      <w:r>
        <w:rPr>
          <w:kern w:val="21"/>
        </w:rPr>
        <w:t>1.4.4一般环境事件（Ⅳ级）</w:t>
      </w:r>
      <w:bookmarkEnd w:id="54"/>
      <w:bookmarkEnd w:id="55"/>
      <w:bookmarkEnd w:id="56"/>
      <w:bookmarkEnd w:id="57"/>
      <w:bookmarkEnd w:id="58"/>
      <w:bookmarkEnd w:id="59"/>
    </w:p>
    <w:p>
      <w:pPr>
        <w:adjustRightInd w:val="0"/>
        <w:snapToGrid w:val="0"/>
        <w:ind w:firstLine="480"/>
        <w:rPr>
          <w:rFonts w:ascii="Times New Roman" w:hAnsi="Times New Roman"/>
          <w:kern w:val="21"/>
        </w:rPr>
      </w:pPr>
      <w:bookmarkStart w:id="60" w:name="_Toc300694411"/>
      <w:r>
        <w:rPr>
          <w:rFonts w:ascii="Times New Roman" w:hAnsi="Times New Roman"/>
          <w:kern w:val="21"/>
        </w:rPr>
        <w:t>1、因环境污染直接导致3人以下死亡或10人以下中毒或重伤的；</w:t>
      </w:r>
    </w:p>
    <w:p>
      <w:pPr>
        <w:adjustRightInd w:val="0"/>
        <w:snapToGrid w:val="0"/>
        <w:ind w:firstLine="480"/>
        <w:rPr>
          <w:rFonts w:ascii="Times New Roman" w:hAnsi="Times New Roman"/>
          <w:kern w:val="21"/>
        </w:rPr>
      </w:pPr>
      <w:r>
        <w:rPr>
          <w:rFonts w:ascii="Times New Roman" w:hAnsi="Times New Roman"/>
          <w:kern w:val="21"/>
        </w:rPr>
        <w:t>2、因环境污染疏散、转移人员5000人以下的；</w:t>
      </w:r>
    </w:p>
    <w:p>
      <w:pPr>
        <w:adjustRightInd w:val="0"/>
        <w:snapToGrid w:val="0"/>
        <w:ind w:firstLine="480"/>
        <w:rPr>
          <w:rFonts w:ascii="Times New Roman" w:hAnsi="Times New Roman"/>
          <w:kern w:val="21"/>
        </w:rPr>
      </w:pPr>
      <w:r>
        <w:rPr>
          <w:rFonts w:ascii="Times New Roman" w:hAnsi="Times New Roman"/>
          <w:kern w:val="21"/>
        </w:rPr>
        <w:t>3、因环境污染造成直接经济损失500万元以下的；</w:t>
      </w:r>
    </w:p>
    <w:p>
      <w:pPr>
        <w:adjustRightInd w:val="0"/>
        <w:snapToGrid w:val="0"/>
        <w:ind w:firstLine="480"/>
        <w:rPr>
          <w:rFonts w:ascii="Times New Roman" w:hAnsi="Times New Roman"/>
          <w:kern w:val="21"/>
        </w:rPr>
      </w:pPr>
      <w:r>
        <w:rPr>
          <w:rFonts w:ascii="Times New Roman" w:hAnsi="Times New Roman"/>
          <w:kern w:val="21"/>
        </w:rPr>
        <w:t>4、因环境污染造成跨市级行政区域纠纷，引起一般性群体影响的；</w:t>
      </w:r>
    </w:p>
    <w:p>
      <w:pPr>
        <w:adjustRightInd w:val="0"/>
        <w:snapToGrid w:val="0"/>
        <w:ind w:firstLine="480"/>
        <w:rPr>
          <w:rFonts w:ascii="Times New Roman" w:hAnsi="Times New Roman"/>
          <w:kern w:val="21"/>
        </w:rPr>
      </w:pPr>
      <w:r>
        <w:rPr>
          <w:rFonts w:ascii="Times New Roman" w:hAnsi="Times New Roman"/>
          <w:kern w:val="21"/>
        </w:rPr>
        <w:t>5、 Ⅳ、Ⅴ类放射源丢失、被盗的；放射性同位素和射线装置失控导致人员受到超过年剂量限值的照射的；放射性物质泄漏，造成厂区内或设施内局部辐射污染后果的；铀矿冶、伴生矿超标排放，造成环境辐射污染后果的；</w:t>
      </w:r>
    </w:p>
    <w:p>
      <w:pPr>
        <w:adjustRightInd w:val="0"/>
        <w:snapToGrid w:val="0"/>
        <w:ind w:firstLine="480"/>
        <w:rPr>
          <w:rFonts w:ascii="Times New Roman" w:hAnsi="Times New Roman"/>
          <w:kern w:val="21"/>
        </w:rPr>
      </w:pPr>
      <w:r>
        <w:rPr>
          <w:rFonts w:ascii="Times New Roman" w:hAnsi="Times New Roman"/>
          <w:kern w:val="21"/>
        </w:rPr>
        <w:t>6、对环境造成一定影响，尚未达到较大突发环境事件级别的。</w:t>
      </w:r>
    </w:p>
    <w:p>
      <w:pPr>
        <w:adjustRightInd w:val="0"/>
        <w:snapToGrid w:val="0"/>
        <w:ind w:firstLine="480"/>
        <w:rPr>
          <w:rFonts w:ascii="Times New Roman" w:hAnsi="Times New Roman"/>
          <w:kern w:val="21"/>
        </w:rPr>
      </w:pPr>
      <w:r>
        <w:rPr>
          <w:rFonts w:ascii="Times New Roman" w:hAnsi="Times New Roman"/>
          <w:kern w:val="21"/>
        </w:rPr>
        <w:t>根据《</w:t>
      </w:r>
      <w:r>
        <w:rPr>
          <w:rFonts w:hint="eastAsia" w:ascii="Times New Roman" w:hAnsi="Times New Roman"/>
          <w:kern w:val="21"/>
          <w:szCs w:val="24"/>
        </w:rPr>
        <w:t>湖口县金砂湾工业园污水处理厂</w:t>
      </w:r>
      <w:r>
        <w:rPr>
          <w:rFonts w:ascii="Times New Roman" w:hAnsi="Times New Roman"/>
          <w:kern w:val="21"/>
        </w:rPr>
        <w:t>突发环境事件风险评估报告》中的风险识别结论并结合项目实际情况，按照突发事件性质、社会危害程度、可控性和影响范围，突发环境事件可分为厂内级和厂外级。</w:t>
      </w:r>
    </w:p>
    <w:p>
      <w:pPr>
        <w:ind w:firstLine="0" w:firstLineChars="0"/>
        <w:jc w:val="center"/>
        <w:rPr>
          <w:rFonts w:ascii="Times New Roman" w:hAnsi="Times New Roman"/>
          <w:b/>
          <w:bCs/>
          <w:kern w:val="21"/>
          <w:szCs w:val="24"/>
        </w:rPr>
      </w:pPr>
      <w:r>
        <w:rPr>
          <w:rFonts w:ascii="Times New Roman" w:hAnsi="Times New Roman"/>
          <w:b/>
          <w:bCs/>
          <w:kern w:val="21"/>
          <w:szCs w:val="24"/>
        </w:rPr>
        <w:t>表1.4-1   突发环境事件分级情况</w:t>
      </w:r>
    </w:p>
    <w:tbl>
      <w:tblPr>
        <w:tblStyle w:val="4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2"/>
        <w:gridCol w:w="1726"/>
        <w:gridCol w:w="3669"/>
        <w:gridCol w:w="32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992" w:type="dxa"/>
            <w:vAlign w:val="center"/>
          </w:tcPr>
          <w:p>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事件类型</w:t>
            </w:r>
          </w:p>
        </w:tc>
        <w:tc>
          <w:tcPr>
            <w:tcW w:w="1726" w:type="dxa"/>
            <w:vAlign w:val="center"/>
          </w:tcPr>
          <w:p>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事故原因</w:t>
            </w:r>
          </w:p>
        </w:tc>
        <w:tc>
          <w:tcPr>
            <w:tcW w:w="3669" w:type="dxa"/>
            <w:vAlign w:val="center"/>
          </w:tcPr>
          <w:p>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厂内级</w:t>
            </w:r>
          </w:p>
        </w:tc>
        <w:tc>
          <w:tcPr>
            <w:tcW w:w="3251" w:type="dxa"/>
            <w:vAlign w:val="center"/>
          </w:tcPr>
          <w:p>
            <w:pPr>
              <w:pStyle w:val="58"/>
              <w:snapToGrid w:val="0"/>
              <w:jc w:val="center"/>
              <w:rPr>
                <w:rFonts w:ascii="Times New Roman" w:hAnsi="Times New Roman"/>
                <w:b/>
                <w:bCs/>
                <w:color w:val="auto"/>
                <w:kern w:val="21"/>
                <w:sz w:val="21"/>
                <w:szCs w:val="21"/>
              </w:rPr>
            </w:pPr>
            <w:r>
              <w:rPr>
                <w:rFonts w:ascii="Times New Roman" w:hAnsi="Times New Roman"/>
                <w:b/>
                <w:bCs/>
                <w:color w:val="auto"/>
                <w:kern w:val="21"/>
                <w:sz w:val="21"/>
                <w:szCs w:val="21"/>
              </w:rPr>
              <w:t>厂外级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污泥泄露</w:t>
            </w: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设备故障或污泥在</w:t>
            </w:r>
            <w:r>
              <w:rPr>
                <w:rFonts w:hint="eastAsia" w:ascii="Times New Roman" w:hAnsi="Times New Roman"/>
                <w:color w:val="auto"/>
                <w:kern w:val="21"/>
                <w:sz w:val="21"/>
                <w:szCs w:val="21"/>
              </w:rPr>
              <w:t>贮存、</w:t>
            </w:r>
            <w:r>
              <w:rPr>
                <w:rFonts w:ascii="Times New Roman" w:hAnsi="Times New Roman"/>
                <w:color w:val="auto"/>
                <w:kern w:val="21"/>
                <w:sz w:val="21"/>
                <w:szCs w:val="21"/>
              </w:rPr>
              <w:t>运输过程中发生泄漏事故</w:t>
            </w:r>
          </w:p>
        </w:tc>
        <w:tc>
          <w:tcPr>
            <w:tcW w:w="3669"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污泥小量泄漏</w:t>
            </w:r>
          </w:p>
        </w:tc>
        <w:tc>
          <w:tcPr>
            <w:tcW w:w="3251"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污泥大量泄漏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restart"/>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非正常状态导致污水超标排放</w:t>
            </w: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设备故障</w:t>
            </w:r>
          </w:p>
        </w:tc>
        <w:tc>
          <w:tcPr>
            <w:tcW w:w="3669" w:type="dxa"/>
            <w:vMerge w:val="restart"/>
            <w:vAlign w:val="center"/>
          </w:tcPr>
          <w:p>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当时长为12h内，进水超过设计进水浓度；或出水出现不达标现象，已经超过《城镇污水处理厂污染物排放标准》标准的。</w:t>
            </w:r>
          </w:p>
          <w:p>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当厂内个别设备发生故障，可能对污水处理系统的正常运行造成严重影响，使得处理效果欠佳的。</w:t>
            </w:r>
          </w:p>
          <w:p>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当由外界突发因素导致厂内停电在24h以内而使污水处理设备暂时停运的。</w:t>
            </w:r>
          </w:p>
          <w:p>
            <w:pPr>
              <w:pStyle w:val="58"/>
              <w:numPr>
                <w:ilvl w:val="0"/>
                <w:numId w:val="2"/>
              </w:numPr>
              <w:snapToGrid w:val="0"/>
              <w:jc w:val="center"/>
              <w:rPr>
                <w:rFonts w:ascii="Times New Roman" w:hAnsi="Times New Roman"/>
                <w:color w:val="auto"/>
                <w:kern w:val="21"/>
                <w:sz w:val="21"/>
                <w:szCs w:val="21"/>
              </w:rPr>
            </w:pPr>
            <w:r>
              <w:rPr>
                <w:rFonts w:ascii="Times New Roman" w:hAnsi="Times New Roman"/>
                <w:color w:val="auto"/>
                <w:kern w:val="21"/>
                <w:sz w:val="21"/>
                <w:szCs w:val="21"/>
              </w:rPr>
              <w:t>当</w:t>
            </w:r>
            <w:r>
              <w:rPr>
                <w:rFonts w:ascii="Times New Roman" w:hAnsi="Times New Roman"/>
                <w:color w:val="auto"/>
                <w:sz w:val="21"/>
                <w:szCs w:val="21"/>
              </w:rPr>
              <w:t>污水进水量陡增，超过污水处理系统容纳能力，导致污水管线低洼处少量溢流</w:t>
            </w:r>
          </w:p>
        </w:tc>
        <w:tc>
          <w:tcPr>
            <w:tcW w:w="3251" w:type="dxa"/>
            <w:vMerge w:val="restart"/>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（1）当时长超过12h，进水超过设计进水浓度；或出水出现不达标现象，已经超过《城镇污水处理厂污染物排放标准》标准的.</w:t>
            </w:r>
          </w:p>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（2）当厂内个别设备发生故障，可能对污水处理系统的正常运行造成严重影响，使得处理效果欠佳的。</w:t>
            </w:r>
          </w:p>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（3）当由外界突发因素导致厂内停电在24h以上而使污水处理设备暂时停运的。</w:t>
            </w:r>
          </w:p>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（4）当</w:t>
            </w:r>
            <w:r>
              <w:rPr>
                <w:rFonts w:ascii="Times New Roman" w:hAnsi="Times New Roman"/>
                <w:color w:val="auto"/>
                <w:sz w:val="21"/>
                <w:szCs w:val="21"/>
              </w:rPr>
              <w:t>污水进水量陡增，超过污水处理系统容纳能力，导致污水管线低洼处大量溢流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continue"/>
            <w:vAlign w:val="center"/>
          </w:tcPr>
          <w:p>
            <w:pPr>
              <w:pStyle w:val="58"/>
              <w:snapToGrid w:val="0"/>
              <w:jc w:val="center"/>
              <w:rPr>
                <w:rFonts w:ascii="Times New Roman" w:hAnsi="Times New Roman"/>
                <w:color w:val="auto"/>
                <w:kern w:val="21"/>
                <w:sz w:val="21"/>
                <w:szCs w:val="21"/>
              </w:rPr>
            </w:pP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非正常停电</w:t>
            </w:r>
          </w:p>
        </w:tc>
        <w:tc>
          <w:tcPr>
            <w:tcW w:w="3669" w:type="dxa"/>
            <w:vMerge w:val="continue"/>
            <w:vAlign w:val="center"/>
          </w:tcPr>
          <w:p>
            <w:pPr>
              <w:pStyle w:val="58"/>
              <w:snapToGrid w:val="0"/>
              <w:jc w:val="center"/>
              <w:rPr>
                <w:rFonts w:ascii="Times New Roman" w:hAnsi="Times New Roman"/>
                <w:color w:val="auto"/>
                <w:kern w:val="21"/>
                <w:sz w:val="21"/>
                <w:szCs w:val="21"/>
              </w:rPr>
            </w:pPr>
          </w:p>
        </w:tc>
        <w:tc>
          <w:tcPr>
            <w:tcW w:w="3251" w:type="dxa"/>
            <w:vMerge w:val="continue"/>
            <w:vAlign w:val="center"/>
          </w:tcPr>
          <w:p>
            <w:pPr>
              <w:pStyle w:val="58"/>
              <w:snapToGrid w:val="0"/>
              <w:jc w:val="center"/>
              <w:rPr>
                <w:rFonts w:ascii="Times New Roman" w:hAnsi="Times New Roman"/>
                <w:color w:val="auto"/>
                <w:kern w:val="2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Merge w:val="continue"/>
            <w:vAlign w:val="center"/>
          </w:tcPr>
          <w:p>
            <w:pPr>
              <w:pStyle w:val="58"/>
              <w:snapToGrid w:val="0"/>
              <w:jc w:val="center"/>
              <w:rPr>
                <w:rFonts w:ascii="Times New Roman" w:hAnsi="Times New Roman"/>
                <w:color w:val="auto"/>
                <w:kern w:val="21"/>
                <w:sz w:val="21"/>
                <w:szCs w:val="21"/>
              </w:rPr>
            </w:pP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自然灾害</w:t>
            </w:r>
          </w:p>
        </w:tc>
        <w:tc>
          <w:tcPr>
            <w:tcW w:w="3669" w:type="dxa"/>
            <w:vMerge w:val="continue"/>
            <w:vAlign w:val="center"/>
          </w:tcPr>
          <w:p>
            <w:pPr>
              <w:pStyle w:val="58"/>
              <w:snapToGrid w:val="0"/>
              <w:jc w:val="center"/>
              <w:rPr>
                <w:rFonts w:ascii="Times New Roman" w:hAnsi="Times New Roman"/>
                <w:color w:val="auto"/>
                <w:kern w:val="21"/>
                <w:sz w:val="21"/>
                <w:szCs w:val="21"/>
              </w:rPr>
            </w:pPr>
          </w:p>
        </w:tc>
        <w:tc>
          <w:tcPr>
            <w:tcW w:w="3251" w:type="dxa"/>
            <w:vMerge w:val="continue"/>
            <w:vAlign w:val="center"/>
          </w:tcPr>
          <w:p>
            <w:pPr>
              <w:pStyle w:val="58"/>
              <w:snapToGrid w:val="0"/>
              <w:jc w:val="center"/>
              <w:rPr>
                <w:rFonts w:ascii="Times New Roman" w:hAnsi="Times New Roman"/>
                <w:color w:val="auto"/>
                <w:kern w:val="2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4" w:hRule="atLeast"/>
          <w:jc w:val="center"/>
        </w:trPr>
        <w:tc>
          <w:tcPr>
            <w:tcW w:w="992" w:type="dxa"/>
            <w:vMerge w:val="continue"/>
            <w:vAlign w:val="center"/>
          </w:tcPr>
          <w:p>
            <w:pPr>
              <w:pStyle w:val="58"/>
              <w:snapToGrid w:val="0"/>
              <w:jc w:val="center"/>
              <w:rPr>
                <w:rFonts w:ascii="Times New Roman" w:hAnsi="Times New Roman"/>
                <w:color w:val="auto"/>
                <w:kern w:val="21"/>
                <w:sz w:val="21"/>
                <w:szCs w:val="21"/>
              </w:rPr>
            </w:pP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进水水质异常</w:t>
            </w:r>
          </w:p>
        </w:tc>
        <w:tc>
          <w:tcPr>
            <w:tcW w:w="3669" w:type="dxa"/>
            <w:vMerge w:val="continue"/>
            <w:vAlign w:val="center"/>
          </w:tcPr>
          <w:p>
            <w:pPr>
              <w:pStyle w:val="58"/>
              <w:snapToGrid w:val="0"/>
              <w:jc w:val="center"/>
              <w:rPr>
                <w:rFonts w:ascii="Times New Roman" w:hAnsi="Times New Roman"/>
                <w:color w:val="auto"/>
                <w:kern w:val="21"/>
                <w:sz w:val="21"/>
                <w:szCs w:val="21"/>
              </w:rPr>
            </w:pPr>
          </w:p>
        </w:tc>
        <w:tc>
          <w:tcPr>
            <w:tcW w:w="3251" w:type="dxa"/>
            <w:vMerge w:val="continue"/>
            <w:vAlign w:val="center"/>
          </w:tcPr>
          <w:p>
            <w:pPr>
              <w:pStyle w:val="58"/>
              <w:snapToGrid w:val="0"/>
              <w:jc w:val="center"/>
              <w:rPr>
                <w:rFonts w:ascii="Times New Roman" w:hAnsi="Times New Roman"/>
                <w:color w:val="auto"/>
                <w:kern w:val="2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1" w:hRule="atLeast"/>
          <w:jc w:val="center"/>
        </w:trPr>
        <w:tc>
          <w:tcPr>
            <w:tcW w:w="992" w:type="dxa"/>
            <w:vMerge w:val="continue"/>
            <w:vAlign w:val="center"/>
          </w:tcPr>
          <w:p>
            <w:pPr>
              <w:pStyle w:val="58"/>
              <w:snapToGrid w:val="0"/>
              <w:jc w:val="center"/>
              <w:rPr>
                <w:rFonts w:ascii="Times New Roman" w:hAnsi="Times New Roman"/>
                <w:color w:val="auto"/>
                <w:kern w:val="21"/>
                <w:sz w:val="21"/>
                <w:szCs w:val="21"/>
              </w:rPr>
            </w:pPr>
          </w:p>
        </w:tc>
        <w:tc>
          <w:tcPr>
            <w:tcW w:w="1726"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进水水量异常</w:t>
            </w:r>
          </w:p>
        </w:tc>
        <w:tc>
          <w:tcPr>
            <w:tcW w:w="3669" w:type="dxa"/>
            <w:vMerge w:val="continue"/>
            <w:vAlign w:val="center"/>
          </w:tcPr>
          <w:p>
            <w:pPr>
              <w:pStyle w:val="58"/>
              <w:snapToGrid w:val="0"/>
              <w:jc w:val="center"/>
              <w:rPr>
                <w:rFonts w:ascii="Times New Roman" w:hAnsi="Times New Roman"/>
                <w:color w:val="auto"/>
                <w:kern w:val="21"/>
                <w:sz w:val="21"/>
                <w:szCs w:val="21"/>
              </w:rPr>
            </w:pPr>
          </w:p>
        </w:tc>
        <w:tc>
          <w:tcPr>
            <w:tcW w:w="3251" w:type="dxa"/>
            <w:vMerge w:val="continue"/>
            <w:vAlign w:val="center"/>
          </w:tcPr>
          <w:p>
            <w:pPr>
              <w:pStyle w:val="58"/>
              <w:snapToGrid w:val="0"/>
              <w:jc w:val="center"/>
              <w:rPr>
                <w:rFonts w:ascii="Times New Roman" w:hAnsi="Times New Roman"/>
                <w:color w:val="auto"/>
                <w:kern w:val="21"/>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2"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化学品泄漏</w:t>
            </w:r>
          </w:p>
        </w:tc>
        <w:tc>
          <w:tcPr>
            <w:tcW w:w="1726" w:type="dxa"/>
            <w:vAlign w:val="center"/>
          </w:tcPr>
          <w:p>
            <w:pPr>
              <w:pStyle w:val="58"/>
              <w:snapToGrid w:val="0"/>
              <w:jc w:val="center"/>
              <w:rPr>
                <w:rFonts w:ascii="Times New Roman" w:hAnsi="Times New Roman"/>
                <w:color w:val="auto"/>
                <w:kern w:val="21"/>
                <w:sz w:val="21"/>
                <w:szCs w:val="21"/>
              </w:rPr>
            </w:pPr>
            <w:r>
              <w:rPr>
                <w:rFonts w:hint="eastAsia" w:ascii="Times New Roman" w:hAnsi="Times New Roman"/>
                <w:color w:val="auto"/>
                <w:kern w:val="21"/>
                <w:sz w:val="21"/>
                <w:szCs w:val="21"/>
              </w:rPr>
              <w:t>罐区</w:t>
            </w:r>
            <w:r>
              <w:rPr>
                <w:rFonts w:ascii="Times New Roman" w:hAnsi="Times New Roman"/>
                <w:color w:val="auto"/>
                <w:kern w:val="21"/>
                <w:sz w:val="21"/>
                <w:szCs w:val="21"/>
              </w:rPr>
              <w:t>和袋装PAM、PAC泄漏</w:t>
            </w:r>
          </w:p>
        </w:tc>
        <w:tc>
          <w:tcPr>
            <w:tcW w:w="3669"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（1）PAM、PAC包装袋出现破损造成少量药剂泄漏；</w:t>
            </w:r>
          </w:p>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w:t>
            </w:r>
            <w:r>
              <w:rPr>
                <w:rFonts w:hint="eastAsia" w:ascii="Times New Roman" w:hAnsi="Times New Roman"/>
                <w:color w:val="auto"/>
                <w:kern w:val="21"/>
                <w:sz w:val="21"/>
                <w:szCs w:val="21"/>
              </w:rPr>
              <w:t>硫酸、次氯酸钠、双氧水储罐</w:t>
            </w:r>
            <w:r>
              <w:rPr>
                <w:rFonts w:ascii="Times New Roman" w:hAnsi="Times New Roman"/>
                <w:color w:val="auto"/>
                <w:kern w:val="21"/>
                <w:sz w:val="21"/>
                <w:szCs w:val="21"/>
              </w:rPr>
              <w:t>出现裂缝。</w:t>
            </w:r>
          </w:p>
        </w:tc>
        <w:tc>
          <w:tcPr>
            <w:tcW w:w="3251" w:type="dxa"/>
            <w:vAlign w:val="center"/>
          </w:tcPr>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（1）PAM、PAC包装袋出现破损造成大量药剂泄漏；</w:t>
            </w:r>
          </w:p>
          <w:p>
            <w:pPr>
              <w:pStyle w:val="58"/>
              <w:snapToGrid w:val="0"/>
              <w:jc w:val="center"/>
              <w:rPr>
                <w:rFonts w:ascii="Times New Roman" w:hAnsi="Times New Roman"/>
                <w:color w:val="auto"/>
                <w:kern w:val="21"/>
                <w:sz w:val="21"/>
                <w:szCs w:val="21"/>
              </w:rPr>
            </w:pPr>
            <w:r>
              <w:rPr>
                <w:rFonts w:ascii="Times New Roman" w:hAnsi="Times New Roman"/>
                <w:color w:val="auto"/>
                <w:kern w:val="21"/>
                <w:sz w:val="21"/>
                <w:szCs w:val="21"/>
              </w:rPr>
              <w:t>（2）</w:t>
            </w:r>
            <w:r>
              <w:rPr>
                <w:rFonts w:hint="eastAsia" w:ascii="Times New Roman" w:hAnsi="Times New Roman"/>
                <w:color w:val="auto"/>
                <w:kern w:val="21"/>
                <w:sz w:val="21"/>
                <w:szCs w:val="21"/>
              </w:rPr>
              <w:t>硫酸、次氯酸钠、双氧水储罐</w:t>
            </w:r>
            <w:r>
              <w:rPr>
                <w:rFonts w:ascii="Times New Roman" w:hAnsi="Times New Roman"/>
                <w:color w:val="auto"/>
                <w:kern w:val="21"/>
                <w:sz w:val="21"/>
                <w:szCs w:val="21"/>
              </w:rPr>
              <w:t>出现大面积破损。</w:t>
            </w:r>
          </w:p>
        </w:tc>
      </w:tr>
    </w:tbl>
    <w:p>
      <w:pPr>
        <w:pStyle w:val="5"/>
        <w:adjustRightInd w:val="0"/>
        <w:spacing w:line="360" w:lineRule="auto"/>
        <w:jc w:val="both"/>
        <w:rPr>
          <w:kern w:val="21"/>
        </w:rPr>
      </w:pPr>
      <w:bookmarkStart w:id="61" w:name="_Toc27226"/>
      <w:r>
        <w:rPr>
          <w:kern w:val="21"/>
        </w:rPr>
        <w:t>1.5应急联动机制</w:t>
      </w:r>
      <w:bookmarkEnd w:id="61"/>
    </w:p>
    <w:p>
      <w:pPr>
        <w:adjustRightInd w:val="0"/>
        <w:snapToGrid w:val="0"/>
        <w:ind w:firstLine="480"/>
        <w:rPr>
          <w:rFonts w:ascii="Times New Roman" w:hAnsi="Times New Roman"/>
          <w:kern w:val="21"/>
        </w:rPr>
      </w:pPr>
      <w:r>
        <w:rPr>
          <w:rFonts w:hint="eastAsia" w:ascii="Times New Roman" w:hAnsi="Times New Roman"/>
          <w:kern w:val="21"/>
        </w:rPr>
        <w:t>本厂</w:t>
      </w:r>
      <w:r>
        <w:rPr>
          <w:rFonts w:ascii="Times New Roman" w:hAnsi="Times New Roman"/>
          <w:kern w:val="21"/>
        </w:rPr>
        <w:t>应急预案体系根据有关法律、法规等有关部门要求，针对我</w:t>
      </w:r>
      <w:r>
        <w:rPr>
          <w:rFonts w:hint="eastAsia" w:ascii="Times New Roman" w:hAnsi="Times New Roman"/>
          <w:kern w:val="21"/>
        </w:rPr>
        <w:t>厂</w:t>
      </w:r>
      <w:r>
        <w:rPr>
          <w:rFonts w:ascii="Times New Roman" w:hAnsi="Times New Roman"/>
          <w:kern w:val="21"/>
        </w:rPr>
        <w:t>的实际生产经验情况制定突发环境事件总体应急预案，不单独制定各专项应急预案。突发环境事件综合应急预案（以下简称“应急预案”），是</w:t>
      </w:r>
      <w:r>
        <w:rPr>
          <w:rFonts w:hint="eastAsia" w:ascii="Times New Roman" w:hAnsi="Times New Roman"/>
          <w:kern w:val="21"/>
        </w:rPr>
        <w:t>本厂</w:t>
      </w:r>
      <w:r>
        <w:rPr>
          <w:rFonts w:ascii="Times New Roman" w:hAnsi="Times New Roman"/>
          <w:kern w:val="21"/>
        </w:rPr>
        <w:t>应急预案体系的纲领，是</w:t>
      </w:r>
      <w:r>
        <w:rPr>
          <w:rFonts w:hint="eastAsia" w:ascii="Times New Roman" w:hAnsi="Times New Roman"/>
          <w:kern w:val="21"/>
        </w:rPr>
        <w:t>本厂</w:t>
      </w:r>
      <w:r>
        <w:rPr>
          <w:rFonts w:ascii="Times New Roman" w:hAnsi="Times New Roman"/>
          <w:kern w:val="21"/>
        </w:rPr>
        <w:t>为应对突发环境事件而制定的规范性文件，为</w:t>
      </w:r>
      <w:r>
        <w:rPr>
          <w:rFonts w:hint="eastAsia" w:ascii="Times New Roman" w:hAnsi="Times New Roman"/>
          <w:kern w:val="21"/>
        </w:rPr>
        <w:t>本厂</w:t>
      </w:r>
      <w:r>
        <w:rPr>
          <w:rFonts w:ascii="Times New Roman" w:hAnsi="Times New Roman"/>
          <w:kern w:val="21"/>
        </w:rPr>
        <w:t>突发环境现场处置方案提供指导原则和框架。应急预案涉及企业多个组织与部门，特别是突发环保事故时不可能完全确定其属性，使应急救援行动充满变数，多数情况下，应急救援行动都必须寻求外部力量的救援。因此，企业与各相关救援单位、政府部门间的联动就显得尤为重要，本预案确定联动机制如下：</w:t>
      </w:r>
    </w:p>
    <w:p>
      <w:pPr>
        <w:adjustRightInd w:val="0"/>
        <w:snapToGrid w:val="0"/>
        <w:ind w:firstLine="480"/>
        <w:rPr>
          <w:rFonts w:ascii="Times New Roman" w:hAnsi="Times New Roman"/>
          <w:kern w:val="21"/>
        </w:rPr>
      </w:pPr>
      <w:r>
        <w:rPr>
          <w:rFonts w:ascii="Times New Roman" w:hAnsi="Times New Roman"/>
          <w:kern w:val="21"/>
        </w:rPr>
        <w:t>1、与各应急救援联动单位保持联系，安排和落实专门值班人员。一旦发生厂区级、厂外级突发环境事件，密切联系各应急救援联动单位迅速出动，赶赴现场实施应急处置。</w:t>
      </w:r>
    </w:p>
    <w:p>
      <w:pPr>
        <w:adjustRightInd w:val="0"/>
        <w:snapToGrid w:val="0"/>
        <w:ind w:firstLine="480"/>
        <w:rPr>
          <w:rFonts w:ascii="Times New Roman" w:hAnsi="Times New Roman"/>
          <w:kern w:val="21"/>
        </w:rPr>
      </w:pPr>
      <w:r>
        <w:rPr>
          <w:rFonts w:ascii="Times New Roman" w:hAnsi="Times New Roman"/>
          <w:kern w:val="21"/>
        </w:rPr>
        <w:t>2、建立通讯联络手册，加强与应急救援联动部门的联系、沟通和合作。</w:t>
      </w:r>
    </w:p>
    <w:p>
      <w:pPr>
        <w:adjustRightInd w:val="0"/>
        <w:snapToGrid w:val="0"/>
        <w:ind w:firstLine="480"/>
        <w:rPr>
          <w:rFonts w:ascii="Times New Roman" w:hAnsi="Times New Roman"/>
          <w:kern w:val="21"/>
        </w:rPr>
      </w:pPr>
      <w:r>
        <w:rPr>
          <w:rFonts w:ascii="Times New Roman" w:hAnsi="Times New Roman"/>
          <w:kern w:val="21"/>
        </w:rPr>
        <w:t>3、企业应加强应急培训和演练，并请相关部门和单位参与演练或者指导，提高应急联动的融合度和战斗力，以便及时、有效地处理突发环境事故。</w:t>
      </w:r>
    </w:p>
    <w:p>
      <w:pPr>
        <w:adjustRightInd w:val="0"/>
        <w:snapToGrid w:val="0"/>
        <w:ind w:firstLine="480"/>
        <w:rPr>
          <w:rFonts w:ascii="Times New Roman" w:hAnsi="Times New Roman"/>
          <w:kern w:val="21"/>
        </w:rPr>
      </w:pPr>
      <w:r>
        <w:rPr>
          <w:rFonts w:ascii="Times New Roman" w:hAnsi="Times New Roman"/>
          <w:kern w:val="21"/>
        </w:rPr>
        <w:t>4、企业各部门根据应急处置流程和职责的要求，熟悉企业突发环境事故应急预案。</w:t>
      </w:r>
    </w:p>
    <w:p>
      <w:pPr>
        <w:adjustRightInd w:val="0"/>
        <w:snapToGrid w:val="0"/>
        <w:ind w:firstLine="480"/>
        <w:rPr>
          <w:rFonts w:ascii="Times New Roman" w:hAnsi="Times New Roman"/>
          <w:b/>
          <w:kern w:val="21"/>
        </w:rPr>
      </w:pPr>
      <w:r>
        <w:rPr>
          <w:rFonts w:ascii="Times New Roman" w:hAnsi="Times New Roman"/>
          <w:kern w:val="21"/>
        </w:rPr>
        <w:t>5、事故应急联动机制图：</w:t>
      </w: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p>
    <w:p>
      <w:pPr>
        <w:pStyle w:val="118"/>
        <w:spacing w:line="560" w:lineRule="exact"/>
        <w:ind w:firstLine="480"/>
        <w:jc w:val="center"/>
        <w:rPr>
          <w:rFonts w:ascii="Times New Roman" w:hAnsi="Times New Roman"/>
          <w:b/>
          <w:kern w:val="21"/>
        </w:rPr>
      </w:pPr>
      <w:r>
        <w:rPr>
          <w:rFonts w:ascii="Times New Roman" w:hAnsi="Times New Roman"/>
          <w:bCs/>
          <w:kern w:val="21"/>
        </w:rPr>
        <w:drawing>
          <wp:anchor distT="0" distB="0" distL="114300" distR="114300" simplePos="0" relativeHeight="251661312" behindDoc="0" locked="0" layoutInCell="1" allowOverlap="1">
            <wp:simplePos x="0" y="0"/>
            <wp:positionH relativeFrom="column">
              <wp:posOffset>1760220</wp:posOffset>
            </wp:positionH>
            <wp:positionV relativeFrom="paragraph">
              <wp:posOffset>-106680</wp:posOffset>
            </wp:positionV>
            <wp:extent cx="2821940" cy="2330450"/>
            <wp:effectExtent l="0" t="0" r="12700" b="1270"/>
            <wp:wrapNone/>
            <wp:docPr id="89" name="图片 275" descr="15099586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75" descr="1509958669(1)"/>
                    <pic:cNvPicPr>
                      <a:picLocks noChangeAspect="1"/>
                    </pic:cNvPicPr>
                  </pic:nvPicPr>
                  <pic:blipFill>
                    <a:blip r:embed="rId22" cstate="print"/>
                    <a:stretch>
                      <a:fillRect/>
                    </a:stretch>
                  </pic:blipFill>
                  <pic:spPr>
                    <a:xfrm>
                      <a:off x="0" y="0"/>
                      <a:ext cx="2821940" cy="2330450"/>
                    </a:xfrm>
                    <a:prstGeom prst="rect">
                      <a:avLst/>
                    </a:prstGeom>
                    <a:noFill/>
                    <a:ln>
                      <a:noFill/>
                    </a:ln>
                  </pic:spPr>
                </pic:pic>
              </a:graphicData>
            </a:graphic>
          </wp:anchor>
        </w:drawing>
      </w:r>
    </w:p>
    <w:p>
      <w:pPr>
        <w:pStyle w:val="118"/>
        <w:spacing w:line="560" w:lineRule="exact"/>
        <w:ind w:firstLine="480"/>
        <w:jc w:val="center"/>
        <w:rPr>
          <w:rFonts w:ascii="Times New Roman" w:hAnsi="Times New Roman"/>
          <w:b/>
          <w:kern w:val="21"/>
        </w:rPr>
      </w:pPr>
      <w:r>
        <w:rPr>
          <w:rFonts w:ascii="Times New Roman" w:hAnsi="Times New Roman"/>
          <w:kern w:val="21"/>
        </w:rPr>
        <w:pict>
          <v:shape id="文本框 305" o:spid="_x0000_s2050" o:spt="202" type="#_x0000_t202" style="position:absolute;left:0pt;margin-left:216pt;margin-top:17.85pt;height:58.25pt;width:70.75pt;z-index:251663360;mso-width-relative:page;mso-height-relative:page;" stroked="f" coordsize="21600,21600" o:gfxdata="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FgAAAGRycy9QSwECFAAUAAAACACHTuJA05PtVNgAAAAKAQAADwAAAAAAAAABACAAAAA4AAAAZHJz&#10;L2Rvd25yZXYueG1sUEsBAhQAFAAAAAgAh07iQMXOEPq1AQAAPwMAAA4AAAAAAAAAAQAgAAAAPQEA&#10;AGRycy9lMm9Eb2MueG1sUEsFBgAAAAAGAAYAWQEAAGQFAAAAAA==&#10;">
            <v:path/>
            <v:fill focussize="0,0"/>
            <v:stroke on="f" joinstyle="miter"/>
            <v:imagedata o:title=""/>
            <o:lock v:ext="edit"/>
            <v:textbox>
              <w:txbxContent>
                <w:p>
                  <w:pPr>
                    <w:spacing w:line="240" w:lineRule="auto"/>
                    <w:ind w:firstLine="0" w:firstLineChars="0"/>
                    <w:rPr>
                      <w:sz w:val="32"/>
                      <w:szCs w:val="24"/>
                    </w:rPr>
                  </w:pPr>
                  <w:r>
                    <w:rPr>
                      <w:rFonts w:hint="eastAsia" w:ascii="宋体" w:hAnsi="宋体" w:cs="宋体"/>
                      <w:sz w:val="18"/>
                      <w:szCs w:val="18"/>
                    </w:rPr>
                    <w:t>湖口县金砂湾工业园集中污水处理厂</w:t>
                  </w:r>
                </w:p>
              </w:txbxContent>
            </v:textbox>
          </v:shape>
        </w:pict>
      </w: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p>
    <w:p>
      <w:pPr>
        <w:pStyle w:val="118"/>
        <w:spacing w:line="560" w:lineRule="exact"/>
        <w:ind w:firstLine="482"/>
        <w:jc w:val="center"/>
        <w:rPr>
          <w:rFonts w:ascii="Times New Roman" w:hAnsi="Times New Roman"/>
          <w:b/>
          <w:kern w:val="21"/>
        </w:rPr>
      </w:pPr>
      <w:r>
        <w:rPr>
          <w:rFonts w:ascii="Times New Roman" w:hAnsi="Times New Roman"/>
          <w:b/>
          <w:kern w:val="21"/>
        </w:rPr>
        <w:t>图1.5-1事故应急联动机制图</w:t>
      </w:r>
    </w:p>
    <w:p>
      <w:pPr>
        <w:pStyle w:val="5"/>
        <w:adjustRightInd w:val="0"/>
        <w:spacing w:line="360" w:lineRule="auto"/>
        <w:rPr>
          <w:kern w:val="21"/>
        </w:rPr>
      </w:pPr>
      <w:bookmarkStart w:id="62" w:name="_Toc333474572"/>
      <w:bookmarkStart w:id="63" w:name="_Toc1277"/>
      <w:bookmarkStart w:id="64" w:name="_Toc350376273"/>
      <w:r>
        <w:rPr>
          <w:kern w:val="21"/>
        </w:rPr>
        <w:t>1.6工作原则</w:t>
      </w:r>
      <w:bookmarkEnd w:id="60"/>
      <w:bookmarkEnd w:id="62"/>
      <w:bookmarkEnd w:id="63"/>
      <w:bookmarkEnd w:id="64"/>
    </w:p>
    <w:p>
      <w:pPr>
        <w:adjustRightInd w:val="0"/>
        <w:snapToGrid w:val="0"/>
        <w:ind w:firstLine="480"/>
        <w:rPr>
          <w:rFonts w:ascii="Times New Roman" w:hAnsi="Times New Roman"/>
          <w:kern w:val="21"/>
        </w:rPr>
      </w:pPr>
      <w:r>
        <w:rPr>
          <w:rFonts w:ascii="Times New Roman" w:hAnsi="Times New Roman"/>
          <w:kern w:val="21"/>
        </w:rPr>
        <w:t>坚持科学发展观，坚持以人为本、依法处置，树立全面、协调、可持续的科学发展观。本着实事求是，切实可行的方针，切实提高企业及各级部门应对突发环境事件的能力。着重贯彻如下原则：</w:t>
      </w:r>
    </w:p>
    <w:p>
      <w:pPr>
        <w:adjustRightInd w:val="0"/>
        <w:snapToGrid w:val="0"/>
        <w:ind w:firstLine="480"/>
        <w:rPr>
          <w:rFonts w:ascii="Times New Roman" w:hAnsi="Times New Roman"/>
          <w:kern w:val="21"/>
        </w:rPr>
      </w:pPr>
      <w:r>
        <w:rPr>
          <w:rFonts w:ascii="Times New Roman" w:hAnsi="Times New Roman"/>
          <w:kern w:val="21"/>
        </w:rPr>
        <w:t xml:space="preserve">1、坚持以人为本，预防为主。加强对环境事件危险源的监测、监控并实施监督管理，建立环境事件风险防范体系，积极预防、及时控制、消除隐患，提高环境事件防范和处理能力，尽可能地避免或减少突发环境事件的发生，消除或减轻环境事件造成的中长期影响，最大程度地保障公众健康，保护人民群众生命财产安全。  </w:t>
      </w:r>
    </w:p>
    <w:p>
      <w:pPr>
        <w:adjustRightInd w:val="0"/>
        <w:snapToGrid w:val="0"/>
        <w:ind w:firstLine="480"/>
        <w:rPr>
          <w:rFonts w:ascii="Times New Roman" w:hAnsi="Times New Roman"/>
          <w:kern w:val="21"/>
        </w:rPr>
      </w:pPr>
      <w:r>
        <w:rPr>
          <w:rFonts w:ascii="Times New Roman" w:hAnsi="Times New Roman"/>
          <w:kern w:val="21"/>
        </w:rPr>
        <w:t xml:space="preserve">2、坚持统一领导，分类管理，分级响应。接受政府环保部门的指导，使企业的突发性环境污染事故应急系统成为区域系统的有机组成部分。实行“法人代表统一领导指挥，各单位积极参与和具体负责”的原则，加强企业各部门之间协同与合作，提高快速反应能力。针对不同污染源所造成的环境污染的特点，实行分类管理，充分发挥部门的专业优势，采取的措施与突发环境事件造成的危害范围和社会影响相适应。  </w:t>
      </w:r>
    </w:p>
    <w:p>
      <w:pPr>
        <w:adjustRightInd w:val="0"/>
        <w:snapToGrid w:val="0"/>
        <w:ind w:firstLine="480"/>
        <w:rPr>
          <w:rFonts w:ascii="Times New Roman" w:hAnsi="Times New Roman"/>
          <w:kern w:val="21"/>
        </w:rPr>
      </w:pPr>
      <w:r>
        <w:rPr>
          <w:rFonts w:ascii="Times New Roman" w:hAnsi="Times New Roman"/>
          <w:kern w:val="21"/>
        </w:rPr>
        <w:t>3、坚持平战结合，专兼结合，充分利用现有资源。积极做好应对突发性环境污染事故的思想、物资、技术和工作准备，加强培训演习，应急系统做到常备不懈，可为本企业和其它企业及社会提供服务，做到应急快速有效。</w:t>
      </w:r>
    </w:p>
    <w:p>
      <w:pPr>
        <w:adjustRightInd w:val="0"/>
        <w:snapToGrid w:val="0"/>
        <w:ind w:firstLine="480"/>
        <w:rPr>
          <w:rFonts w:ascii="Times New Roman" w:hAnsi="Times New Roman"/>
          <w:kern w:val="21"/>
        </w:rPr>
      </w:pPr>
      <w:r>
        <w:rPr>
          <w:rFonts w:ascii="Times New Roman" w:hAnsi="Times New Roman"/>
          <w:kern w:val="21"/>
        </w:rPr>
        <w:t>4、坚持指挥机构单独设立，应急不能职能交叉、分散力量的原则。</w:t>
      </w:r>
    </w:p>
    <w:p>
      <w:pPr>
        <w:adjustRightInd w:val="0"/>
        <w:snapToGrid w:val="0"/>
        <w:ind w:firstLine="480"/>
        <w:rPr>
          <w:rFonts w:ascii="Times New Roman" w:hAnsi="Times New Roman"/>
          <w:kern w:val="21"/>
        </w:rPr>
      </w:pPr>
      <w:r>
        <w:rPr>
          <w:rFonts w:ascii="Times New Roman" w:hAnsi="Times New Roman"/>
          <w:kern w:val="21"/>
        </w:rPr>
        <w:t>5、坚持按照应急体系设置机构职权，应急指令下达应急部门应在一条线上，以减少执行时间、增强执行力度。</w:t>
      </w:r>
    </w:p>
    <w:p>
      <w:pPr>
        <w:pStyle w:val="5"/>
        <w:adjustRightInd w:val="0"/>
        <w:spacing w:line="360" w:lineRule="auto"/>
        <w:rPr>
          <w:kern w:val="21"/>
        </w:rPr>
      </w:pPr>
      <w:bookmarkStart w:id="65" w:name="_Toc28209"/>
      <w:r>
        <w:rPr>
          <w:kern w:val="21"/>
        </w:rPr>
        <w:t>1.7应急预案体系</w:t>
      </w:r>
      <w:bookmarkEnd w:id="65"/>
    </w:p>
    <w:p>
      <w:pPr>
        <w:adjustRightInd w:val="0"/>
        <w:snapToGrid w:val="0"/>
        <w:ind w:firstLine="480"/>
        <w:rPr>
          <w:rFonts w:ascii="Times New Roman" w:hAnsi="Times New Roman"/>
          <w:kern w:val="21"/>
        </w:rPr>
      </w:pPr>
      <w:r>
        <w:rPr>
          <w:rFonts w:ascii="Times New Roman" w:hAnsi="Times New Roman"/>
          <w:kern w:val="21"/>
        </w:rPr>
        <w:t>本突发事件环境应急预案是我司根据《企业事业单位突发环境事件应急预案备案管理办法（试行）》和《江西省人民政府办公厅关于印发江西省突发环境事件应急预案的通知》（赣府厅字〔2016〕14号）要求进行编制。突发环境事件应急预案是针对环境风险种类较多、可能发生多种类型突发事件制定的应急预案，包括应急组织机构及职责、预案体系及响应程序、事件预防及应急保障、应急培训及预案演练等内容。突发环境应急预案和安全生产应急预案之间相互协调、互为补充完善。</w:t>
      </w:r>
    </w:p>
    <w:p>
      <w:pPr>
        <w:adjustRightInd w:val="0"/>
        <w:snapToGrid w:val="0"/>
        <w:ind w:firstLine="480"/>
        <w:rPr>
          <w:rFonts w:ascii="Times New Roman" w:hAnsi="Times New Roman"/>
          <w:kern w:val="21"/>
        </w:rPr>
      </w:pPr>
      <w:r>
        <w:rPr>
          <w:rFonts w:ascii="Times New Roman" w:hAnsi="Times New Roman"/>
          <w:kern w:val="21"/>
        </w:rPr>
        <w:t>公司应急预案关系如图1.7-1。</w:t>
      </w:r>
    </w:p>
    <w:p>
      <w:pPr>
        <w:ind w:firstLine="0" w:firstLineChars="0"/>
        <w:jc w:val="center"/>
        <w:rPr>
          <w:rFonts w:ascii="Times New Roman" w:hAnsi="Times New Roman"/>
          <w:kern w:val="21"/>
        </w:rPr>
      </w:pPr>
      <w:r>
        <w:rPr>
          <w:rFonts w:ascii="Times New Roman" w:hAnsi="Times New Roman"/>
          <w:color w:val="auto"/>
          <w:kern w:val="21"/>
        </w:rPr>
        <w:pict>
          <v:group id="画布 250" o:spid="_x0000_s2075" o:spt="203" style="height:311.9pt;width:434.55pt;" coordsize="5518785,3961130" editas="canvas">
            <o:lock v:ext="edit"/>
            <v:rect id="画布 250" o:spid="_x0000_s2074" o:spt="1" style="position:absolute;left:0;top:0;height:3961130;width:5518785;" filled="f" stroked="f" coordsize="21600,21600">
              <v:path/>
              <v:fill on="f" focussize="0,0"/>
              <v:stroke on="f"/>
              <v:imagedata o:title=""/>
              <o:lock v:ext="edit" aspectratio="f"/>
            </v:rect>
            <v:shape id="文本框 251" o:spid="_x0000_s2065" o:spt="202" type="#_x0000_t202" style="position:absolute;left:1748155;top:299720;height:400685;width:208597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lgRCq1AAAAAUBAAAPAAAA&#10;AAAAAAEAIAAAACIAAABkcnMvZG93bnJldi54bWxQSwECFAAUAAAACACHTuJAZAZ2cRkCAAAoBAAA&#10;DgAAAAAAAAABACAAAAAjAQAAZHJzL2Uyb0RvYy54bWxQSwUGAAAAAAYABgBZAQAArgUAAAAA&#10;">
              <v:path/>
              <v:fill on="f" focussize="0,0"/>
              <v:stroke color="#000000" joinstyle="miter"/>
              <v:imagedata o:title=""/>
              <o:lock v:ext="edit" aspectratio="f"/>
              <v:textbox>
                <w:txbxContent>
                  <w:p>
                    <w:pPr>
                      <w:ind w:firstLine="0" w:firstLineChars="0"/>
                      <w:jc w:val="center"/>
                      <w:rPr>
                        <w:rFonts w:hint="eastAsia"/>
                      </w:rPr>
                    </w:pPr>
                    <w:r>
                      <w:rPr>
                        <w:rFonts w:hint="eastAsia"/>
                      </w:rPr>
                      <w:t>国家突发环境事件应急预案</w:t>
                    </w:r>
                  </w:p>
                </w:txbxContent>
              </v:textbox>
            </v:shape>
            <v:shape id="文本框 252" o:spid="_x0000_s2066" o:spt="202" type="#_x0000_t202" style="position:absolute;left:1396365;top:3137535;height:713105;width:27108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lgRCq1AAAAAUBAAAP&#10;AAAAAAAAAAEAIAAAACIAAABkcnMvZG93bnJldi54bWxQSwECFAAUAAAACACHTuJA4G8FGhwCAAAp&#10;BAAADgAAAAAAAAABACAAAAAjAQAAZHJzL2Uyb0RvYy54bWxQSwUGAAAAAAYABgBZAQAAsQUAAAAA&#10;">
              <v:path/>
              <v:fill on="f" focussize="0,0"/>
              <v:stroke color="#000000" joinstyle="miter"/>
              <v:imagedata o:title=""/>
              <o:lock v:ext="edit" aspectratio="f"/>
              <v:textbox>
                <w:txbxContent>
                  <w:p>
                    <w:pPr>
                      <w:ind w:firstLine="0" w:firstLineChars="0"/>
                      <w:jc w:val="center"/>
                      <w:rPr>
                        <w:rFonts w:hint="eastAsia"/>
                      </w:rPr>
                    </w:pPr>
                    <w:r>
                      <w:rPr>
                        <w:rFonts w:hint="eastAsia"/>
                      </w:rPr>
                      <w:t>湖口县金砂湾工业园</w:t>
                    </w:r>
                    <w:r>
                      <w:rPr>
                        <w:rFonts w:hint="eastAsia"/>
                        <w:lang w:eastAsia="zh-CN"/>
                      </w:rPr>
                      <w:t>集中</w:t>
                    </w:r>
                    <w:r>
                      <w:rPr>
                        <w:rFonts w:hint="eastAsia"/>
                      </w:rPr>
                      <w:t>污水处理厂突发环境事件应急预案</w:t>
                    </w:r>
                  </w:p>
                </w:txbxContent>
              </v:textbox>
            </v:shape>
            <v:shape id="文本框 253" o:spid="_x0000_s2067" o:spt="202" type="#_x0000_t202" style="position:absolute;left:1694180;top:1618615;height:505460;width:22155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WBEKrUAAAABQEAAA8A&#10;AAAAAAAAAQAgAAAAIgAAAGRycy9kb3ducmV2LnhtbFBLAQIUABQAAAAIAIdO4kA17SEXGwIAACkE&#10;AAAOAAAAAAAAAAEAIAAAACMBAABkcnMvZTJvRG9jLnhtbFBLBQYAAAAABgAGAFkBAACwBQAAAAA=&#10;">
              <v:path/>
              <v:fill on="f" focussize="0,0"/>
              <v:stroke color="#000000" joinstyle="miter"/>
              <v:imagedata o:title=""/>
              <o:lock v:ext="edit" aspectratio="f"/>
              <v:textbox>
                <w:txbxContent>
                  <w:p>
                    <w:pPr>
                      <w:ind w:firstLine="0" w:firstLineChars="0"/>
                      <w:jc w:val="center"/>
                      <w:rPr>
                        <w:rFonts w:hint="eastAsia"/>
                      </w:rPr>
                    </w:pPr>
                    <w:r>
                      <w:rPr>
                        <w:rFonts w:hint="eastAsia"/>
                        <w:lang w:eastAsia="zh-CN"/>
                      </w:rPr>
                      <w:t>九江</w:t>
                    </w:r>
                    <w:r>
                      <w:rPr>
                        <w:rFonts w:hint="eastAsia"/>
                      </w:rPr>
                      <w:t>市突发环境事件应急预案</w:t>
                    </w:r>
                  </w:p>
                </w:txbxContent>
              </v:textbox>
            </v:shape>
            <v:shape id="文本框 254" o:spid="_x0000_s2068" o:spt="202" type="#_x0000_t202" style="position:absolute;left:1675130;top:989330;height:393700;width:224472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WBEKrUAAAABQEAAA8A&#10;AAAAAAAAAQAgAAAAIgAAAGRycy9kb3ducmV2LnhtbFBLAQIUABQAAAAIAIdO4kAypuBeGwIAACgE&#10;AAAOAAAAAAAAAAEAIAAAACMBAABkcnMvZTJvRG9jLnhtbFBLBQYAAAAABgAGAFkBAACwBQAAAAA=&#10;">
              <v:path/>
              <v:fill on="f" focussize="0,0"/>
              <v:stroke color="#000000" joinstyle="miter"/>
              <v:imagedata o:title=""/>
              <o:lock v:ext="edit" aspectratio="f"/>
              <v:textbox>
                <w:txbxContent>
                  <w:p>
                    <w:pPr>
                      <w:ind w:firstLine="0" w:firstLineChars="0"/>
                      <w:jc w:val="center"/>
                      <w:rPr>
                        <w:rFonts w:hint="eastAsia"/>
                      </w:rPr>
                    </w:pPr>
                    <w:r>
                      <w:rPr>
                        <w:rFonts w:hint="eastAsia"/>
                      </w:rPr>
                      <w:t>江西省突发环境事件应急预案</w:t>
                    </w:r>
                  </w:p>
                </w:txbxContent>
              </v:textbox>
            </v:shape>
            <v:shape id="自选图形 257" o:spid="_x0000_s2069" o:spt="32" type="#_x0000_t32" style="position:absolute;left:2790824;top:700405;height:288925;width:698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Cayt5Q1gAAAAUBAAAP&#10;AAAAAAAAAAEAIAAAACIAAABkcnMvZG93bnJldi54bWxQSwECFAAUAAAACACHTuJAnF862BoCAAAN&#10;BAAADgAAAAAAAAABACAAAAAlAQAAZHJzL2Uyb0RvYy54bWxQSwUGAAAAAAYABgBZAQAAsQUAAAAA&#10;">
              <v:path arrowok="t"/>
              <v:fill on="f" focussize="0,0"/>
              <v:stroke color="#000000" joinstyle="round" endarrow="open"/>
              <v:imagedata o:title=""/>
              <o:lock v:ext="edit" aspectratio="f"/>
            </v:shape>
            <v:shape id="自选图形 258" o:spid="_x0000_s2070" o:spt="32" type="#_x0000_t32" style="position:absolute;left:2786380;top:137223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JrK3lDWAAAABQEA&#10;AA8AAAAAAAAAAQAgAAAAIgAAAGRycy9kb3ducmV2LnhtbFBLAQIUABQAAAAIAIdO4kAvl6w9HAIA&#10;AA4EAAAOAAAAAAAAAAEAIAAAACUBAABkcnMvZTJvRG9jLnhtbFBLBQYAAAAABgAGAFkBAACzBQAA&#10;AAA=&#10;">
              <v:path arrowok="t"/>
              <v:fill on="f" focussize="0,0"/>
              <v:stroke color="#000000" joinstyle="round" endarrow="open"/>
              <v:imagedata o:title=""/>
              <o:lock v:ext="edit" aspectratio="f"/>
            </v:shape>
            <v:shape id="文本框 253" o:spid="_x0000_s2071" o:spt="202" type="#_x0000_t202" style="position:absolute;left:1681480;top:2389505;height:505460;width:2215515;" filled="f" stroked="t" coordsize="21600,21600" o:gfxdata="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lgRCq1AAAAAUBAAAP&#10;AAAAAAAAAAEAIAAAACIAAABkcnMvZG93bnJldi54bWxQSwECFAAUAAAACACHTuJAOFdrzhwCAAAr&#10;BAAADgAAAAAAAAABACAAAAAjAQAAZHJzL2Uyb0RvYy54bWxQSwUGAAAAAAYABgBZAQAAsQUAAAAA&#10;">
              <v:path/>
              <v:fill on="f" focussize="0,0"/>
              <v:stroke color="#000000" joinstyle="miter"/>
              <v:imagedata o:title=""/>
              <o:lock v:ext="edit" aspectratio="f"/>
              <v:textbox>
                <w:txbxContent>
                  <w:p>
                    <w:pPr>
                      <w:ind w:firstLine="0" w:firstLineChars="0"/>
                      <w:jc w:val="both"/>
                      <w:rPr>
                        <w:rFonts w:hint="eastAsia"/>
                      </w:rPr>
                    </w:pPr>
                    <w:r>
                      <w:rPr>
                        <w:rFonts w:hint="eastAsia"/>
                        <w:lang w:eastAsia="zh-CN"/>
                      </w:rPr>
                      <w:t>湖口县</w:t>
                    </w:r>
                    <w:r>
                      <w:rPr>
                        <w:rFonts w:hint="eastAsia"/>
                      </w:rPr>
                      <w:t>突发环境事件应急预案</w:t>
                    </w:r>
                  </w:p>
                </w:txbxContent>
              </v:textbox>
            </v:shape>
            <v:shape id="自选图形 258" o:spid="_x0000_s2072" o:spt="32" type="#_x0000_t32" style="position:absolute;left:2759710;top:213931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msreUNYAAAAF&#10;AQAADwAAAAAAAAABACAAAAAiAAAAZHJzL2Rvd25yZXYueG1sUEsBAhQAFAAAAAgAh07iQELgH4Me&#10;AgAAEAQAAA4AAAAAAAAAAQAgAAAAJQEAAGRycy9lMm9Eb2MueG1sUEsFBgAAAAAGAAYAWQEAALUF&#10;AAAAAA==&#10;">
              <v:path arrowok="t"/>
              <v:fill on="f" focussize="0,0"/>
              <v:stroke color="#000000" joinstyle="round" endarrow="open"/>
              <v:imagedata o:title=""/>
              <o:lock v:ext="edit" aspectratio="f"/>
            </v:shape>
            <v:shape id="自选图形 258" o:spid="_x0000_s2073" o:spt="32" type="#_x0000_t32" style="position:absolute;left:2738120;top:2922905;height:235585;width:4445;" filled="f" stroked="t" coordsize="21600,21600" o:gfxdata="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ayt5Q1gAAAAUB&#10;AAAPAAAAAAAAAAEAIAAAACIAAABkcnMvZG93bnJldi54bWxQSwECFAAUAAAACACHTuJAwaT1Oh0C&#10;AAAQBAAADgAAAAAAAAABACAAAAAlAQAAZHJzL2Uyb0RvYy54bWxQSwUGAAAAAAYABgBZAQAAtAUA&#10;AAAA&#10;">
              <v:path arrowok="t"/>
              <v:fill on="f" focussize="0,0"/>
              <v:stroke color="#000000" joinstyle="round" endarrow="open"/>
              <v:imagedata o:title=""/>
              <o:lock v:ext="edit" aspectratio="f"/>
            </v:shape>
            <w10:wrap type="none"/>
            <w10:anchorlock/>
          </v:group>
        </w:pict>
      </w:r>
    </w:p>
    <w:p>
      <w:pPr>
        <w:ind w:firstLine="241" w:firstLineChars="100"/>
        <w:jc w:val="center"/>
        <w:rPr>
          <w:rFonts w:ascii="Times New Roman" w:hAnsi="Times New Roman"/>
          <w:b/>
          <w:bCs/>
          <w:kern w:val="21"/>
        </w:rPr>
      </w:pPr>
      <w:r>
        <w:rPr>
          <w:rFonts w:ascii="Times New Roman" w:hAnsi="Times New Roman"/>
          <w:b/>
          <w:bCs/>
          <w:kern w:val="21"/>
        </w:rPr>
        <w:t>图1.7-1 应急预案关系图</w:t>
      </w:r>
      <w:bookmarkEnd w:id="14"/>
      <w:bookmarkEnd w:id="15"/>
      <w:bookmarkEnd w:id="16"/>
      <w:bookmarkStart w:id="66" w:name="_Toc350349969"/>
      <w:bookmarkStart w:id="67" w:name="_Toc262152777"/>
      <w:bookmarkStart w:id="68" w:name="_Toc262112477"/>
    </w:p>
    <w:p>
      <w:pPr>
        <w:pStyle w:val="4"/>
        <w:adjustRightInd w:val="0"/>
        <w:snapToGrid w:val="0"/>
        <w:rPr>
          <w:kern w:val="21"/>
        </w:rPr>
      </w:pPr>
      <w:bookmarkStart w:id="69" w:name="_Toc18539"/>
      <w:r>
        <w:rPr>
          <w:kern w:val="21"/>
        </w:rPr>
        <w:t>2、企业基本情况</w:t>
      </w:r>
      <w:bookmarkEnd w:id="66"/>
      <w:bookmarkEnd w:id="67"/>
      <w:bookmarkEnd w:id="68"/>
      <w:bookmarkEnd w:id="69"/>
    </w:p>
    <w:p>
      <w:pPr>
        <w:pStyle w:val="5"/>
        <w:adjustRightInd w:val="0"/>
        <w:spacing w:line="360" w:lineRule="auto"/>
        <w:rPr>
          <w:kern w:val="21"/>
        </w:rPr>
      </w:pPr>
      <w:bookmarkStart w:id="70" w:name="_Toc350349970"/>
      <w:bookmarkStart w:id="71" w:name="_Toc262152778"/>
      <w:bookmarkStart w:id="72" w:name="_Toc262112478"/>
      <w:bookmarkStart w:id="73" w:name="_Toc29871"/>
      <w:r>
        <w:rPr>
          <w:kern w:val="21"/>
        </w:rPr>
        <w:t>2.1 企业简介</w:t>
      </w:r>
      <w:bookmarkEnd w:id="70"/>
      <w:bookmarkEnd w:id="71"/>
      <w:bookmarkEnd w:id="72"/>
      <w:bookmarkEnd w:id="73"/>
    </w:p>
    <w:p>
      <w:pPr>
        <w:adjustRightInd w:val="0"/>
        <w:snapToGrid w:val="0"/>
        <w:ind w:firstLine="480"/>
        <w:rPr>
          <w:rFonts w:ascii="Times New Roman" w:hAnsi="Times New Roman"/>
          <w:kern w:val="21"/>
        </w:rPr>
      </w:pPr>
      <w:r>
        <w:rPr>
          <w:rFonts w:ascii="Times New Roman" w:hAnsi="Times New Roman"/>
          <w:kern w:val="21"/>
        </w:rPr>
        <w:t>企业名称：</w:t>
      </w:r>
      <w:r>
        <w:rPr>
          <w:rFonts w:hint="eastAsia" w:ascii="Times New Roman" w:hAnsi="Times New Roman"/>
          <w:kern w:val="21"/>
        </w:rPr>
        <w:t>湖口县金砂湾工业园污水处理厂建设办公室</w:t>
      </w:r>
    </w:p>
    <w:p>
      <w:pPr>
        <w:adjustRightInd w:val="0"/>
        <w:snapToGrid w:val="0"/>
        <w:ind w:firstLine="480"/>
        <w:rPr>
          <w:rFonts w:ascii="Times New Roman" w:hAnsi="Times New Roman"/>
          <w:kern w:val="21"/>
        </w:rPr>
      </w:pPr>
      <w:r>
        <w:rPr>
          <w:rFonts w:ascii="Times New Roman" w:hAnsi="Times New Roman"/>
          <w:kern w:val="21"/>
        </w:rPr>
        <w:t>法人代表：</w:t>
      </w:r>
      <w:r>
        <w:rPr>
          <w:rFonts w:hint="eastAsia" w:ascii="Times New Roman" w:hAnsi="Times New Roman"/>
          <w:kern w:val="21"/>
        </w:rPr>
        <w:t>黎宵月</w:t>
      </w:r>
    </w:p>
    <w:p>
      <w:pPr>
        <w:adjustRightInd w:val="0"/>
        <w:snapToGrid w:val="0"/>
        <w:ind w:firstLine="480"/>
        <w:rPr>
          <w:rFonts w:ascii="Times New Roman" w:hAnsi="Times New Roman"/>
          <w:kern w:val="21"/>
        </w:rPr>
      </w:pPr>
      <w:r>
        <w:rPr>
          <w:rFonts w:ascii="Times New Roman" w:hAnsi="Times New Roman"/>
          <w:kern w:val="21"/>
        </w:rPr>
        <w:t>项目名称：</w:t>
      </w:r>
      <w:r>
        <w:rPr>
          <w:rFonts w:hint="eastAsia" w:ascii="Times New Roman" w:hAnsi="Times New Roman"/>
          <w:kern w:val="21"/>
        </w:rPr>
        <w:t>湖口县金砂湾工业园集中污水处理工程建设项目</w:t>
      </w:r>
    </w:p>
    <w:p>
      <w:pPr>
        <w:adjustRightInd w:val="0"/>
        <w:snapToGrid w:val="0"/>
        <w:ind w:firstLine="480"/>
        <w:rPr>
          <w:sz w:val="21"/>
        </w:rPr>
      </w:pPr>
      <w:r>
        <w:rPr>
          <w:rFonts w:ascii="Times New Roman" w:hAnsi="Times New Roman"/>
          <w:kern w:val="21"/>
        </w:rPr>
        <w:t>地理位置：</w:t>
      </w:r>
      <w:r>
        <w:rPr>
          <w:rFonts w:hint="eastAsia" w:ascii="Times New Roman" w:hAnsi="Times New Roman"/>
          <w:kern w:val="21"/>
        </w:rPr>
        <w:t>九江市湖口县金砂湾工业园北区</w:t>
      </w:r>
    </w:p>
    <w:p>
      <w:pPr>
        <w:adjustRightInd w:val="0"/>
        <w:snapToGrid w:val="0"/>
        <w:ind w:firstLine="480"/>
        <w:rPr>
          <w:rFonts w:ascii="Times New Roman" w:hAnsi="Times New Roman"/>
          <w:kern w:val="21"/>
        </w:rPr>
      </w:pPr>
      <w:r>
        <w:rPr>
          <w:rFonts w:ascii="Times New Roman" w:hAnsi="Times New Roman"/>
          <w:kern w:val="21"/>
        </w:rPr>
        <w:t>行业类别：D4620污水处理及其再生利用</w:t>
      </w:r>
    </w:p>
    <w:p>
      <w:pPr>
        <w:adjustRightInd w:val="0"/>
        <w:snapToGrid w:val="0"/>
        <w:ind w:firstLine="480"/>
        <w:rPr>
          <w:rFonts w:ascii="Times New Roman" w:hAnsi="Times New Roman"/>
          <w:kern w:val="21"/>
        </w:rPr>
      </w:pPr>
      <w:r>
        <w:rPr>
          <w:rFonts w:ascii="Times New Roman" w:hAnsi="Times New Roman"/>
          <w:kern w:val="21"/>
        </w:rPr>
        <w:t>企业规模：总占地面积为4万m</w:t>
      </w:r>
      <w:r>
        <w:rPr>
          <w:rFonts w:ascii="Times New Roman" w:hAnsi="Times New Roman"/>
          <w:kern w:val="21"/>
          <w:vertAlign w:val="superscript"/>
        </w:rPr>
        <w:t>2</w:t>
      </w:r>
    </w:p>
    <w:p>
      <w:pPr>
        <w:adjustRightInd w:val="0"/>
        <w:snapToGrid w:val="0"/>
        <w:ind w:firstLine="480"/>
        <w:rPr>
          <w:rFonts w:ascii="Times New Roman" w:hAnsi="Times New Roman"/>
          <w:kern w:val="21"/>
          <w:szCs w:val="24"/>
        </w:rPr>
      </w:pPr>
      <w:r>
        <w:rPr>
          <w:rFonts w:ascii="Times New Roman" w:hAnsi="Times New Roman"/>
          <w:kern w:val="21"/>
        </w:rPr>
        <w:t>规模：污水处理厂采用</w:t>
      </w:r>
      <w:r>
        <w:rPr>
          <w:rFonts w:hint="eastAsia" w:ascii="Times New Roman" w:hAnsi="Times New Roman"/>
          <w:kern w:val="21"/>
        </w:rPr>
        <w:t>“粗格栅+提升泵+细格栅+调节池+UASB水解池+厌氧池+缺氧池+好氧池+二沉池+芬顿氧化池+高效生物滤池+出水监测池”</w:t>
      </w:r>
      <w:r>
        <w:rPr>
          <w:rFonts w:ascii="Times New Roman" w:hAnsi="Times New Roman"/>
          <w:kern w:val="21"/>
        </w:rPr>
        <w:t>工艺。该污水处理厂处理规模为</w:t>
      </w:r>
      <w:r>
        <w:rPr>
          <w:rFonts w:hint="eastAsia" w:ascii="Times New Roman" w:hAnsi="Times New Roman"/>
          <w:kern w:val="21"/>
        </w:rPr>
        <w:t>2</w:t>
      </w:r>
      <w:r>
        <w:rPr>
          <w:rFonts w:ascii="Times New Roman" w:hAnsi="Times New Roman"/>
          <w:kern w:val="21"/>
        </w:rPr>
        <w:t>万m</w:t>
      </w:r>
      <w:r>
        <w:rPr>
          <w:rFonts w:ascii="Times New Roman" w:hAnsi="Times New Roman"/>
          <w:kern w:val="21"/>
          <w:vertAlign w:val="superscript"/>
        </w:rPr>
        <w:t>3</w:t>
      </w:r>
      <w:r>
        <w:rPr>
          <w:rFonts w:ascii="Times New Roman" w:hAnsi="Times New Roman"/>
          <w:kern w:val="21"/>
        </w:rPr>
        <w:t>/d</w:t>
      </w:r>
      <w:r>
        <w:rPr>
          <w:rFonts w:ascii="Times New Roman" w:hAnsi="Times New Roman"/>
          <w:kern w:val="21"/>
          <w:szCs w:val="24"/>
        </w:rPr>
        <w:t>。</w:t>
      </w:r>
    </w:p>
    <w:p>
      <w:pPr>
        <w:pStyle w:val="5"/>
        <w:adjustRightInd w:val="0"/>
        <w:spacing w:line="360" w:lineRule="auto"/>
        <w:rPr>
          <w:kern w:val="21"/>
          <w:sz w:val="30"/>
          <w:szCs w:val="30"/>
        </w:rPr>
      </w:pPr>
      <w:bookmarkStart w:id="74" w:name="_Toc2491"/>
      <w:bookmarkStart w:id="75" w:name="_Toc393979435"/>
      <w:bookmarkStart w:id="76" w:name="_Toc400699358"/>
      <w:r>
        <w:rPr>
          <w:kern w:val="21"/>
          <w:sz w:val="30"/>
          <w:szCs w:val="30"/>
        </w:rPr>
        <w:t>2.2 企业</w:t>
      </w:r>
      <w:r>
        <w:rPr>
          <w:kern w:val="21"/>
          <w:szCs w:val="28"/>
        </w:rPr>
        <w:t>生产</w:t>
      </w:r>
      <w:r>
        <w:rPr>
          <w:kern w:val="21"/>
          <w:sz w:val="30"/>
          <w:szCs w:val="30"/>
        </w:rPr>
        <w:t>现状</w:t>
      </w:r>
      <w:bookmarkEnd w:id="74"/>
      <w:bookmarkEnd w:id="75"/>
      <w:bookmarkEnd w:id="76"/>
    </w:p>
    <w:p>
      <w:pPr>
        <w:pStyle w:val="6"/>
        <w:adjustRightInd w:val="0"/>
        <w:snapToGrid w:val="0"/>
        <w:rPr>
          <w:kern w:val="21"/>
        </w:rPr>
      </w:pPr>
      <w:bookmarkStart w:id="77" w:name="_Toc393979436"/>
      <w:bookmarkStart w:id="78" w:name="_Toc23809"/>
      <w:r>
        <w:rPr>
          <w:kern w:val="21"/>
        </w:rPr>
        <w:t xml:space="preserve">2.2.1 </w:t>
      </w:r>
      <w:bookmarkEnd w:id="77"/>
      <w:r>
        <w:rPr>
          <w:kern w:val="21"/>
        </w:rPr>
        <w:t>原辅材料消耗情况</w:t>
      </w:r>
      <w:bookmarkEnd w:id="78"/>
    </w:p>
    <w:p>
      <w:pPr>
        <w:adjustRightInd w:val="0"/>
        <w:snapToGrid w:val="0"/>
        <w:ind w:firstLine="480"/>
        <w:rPr>
          <w:rFonts w:ascii="Times New Roman" w:hAnsi="Times New Roman"/>
          <w:kern w:val="21"/>
        </w:rPr>
      </w:pPr>
      <w:r>
        <w:rPr>
          <w:rFonts w:ascii="Times New Roman" w:hAnsi="Times New Roman"/>
          <w:kern w:val="21"/>
        </w:rPr>
        <w:t>（1）生产使用的主要化学药剂、消耗情况</w:t>
      </w:r>
    </w:p>
    <w:p>
      <w:pPr>
        <w:adjustRightInd w:val="0"/>
        <w:snapToGrid w:val="0"/>
        <w:ind w:firstLine="480"/>
        <w:rPr>
          <w:rFonts w:ascii="Times New Roman" w:hAnsi="Times New Roman"/>
          <w:kern w:val="21"/>
        </w:rPr>
      </w:pPr>
      <w:r>
        <w:rPr>
          <w:rFonts w:ascii="Times New Roman" w:hAnsi="Times New Roman"/>
          <w:kern w:val="21"/>
        </w:rPr>
        <w:t>项目在污水处理过程中，主要用到的化学物质是聚合氯化铝（PAC）和聚丙烯酰胺（PAM）。化学品具体如表2.2-1所示。</w:t>
      </w:r>
    </w:p>
    <w:p>
      <w:pPr>
        <w:ind w:firstLine="482"/>
        <w:jc w:val="center"/>
        <w:rPr>
          <w:rFonts w:ascii="Times New Roman" w:hAnsi="Times New Roman"/>
          <w:b/>
          <w:bCs/>
          <w:kern w:val="21"/>
          <w:szCs w:val="24"/>
        </w:rPr>
      </w:pPr>
      <w:r>
        <w:rPr>
          <w:rFonts w:ascii="Times New Roman" w:hAnsi="Times New Roman"/>
          <w:b/>
          <w:bCs/>
          <w:kern w:val="21"/>
          <w:szCs w:val="24"/>
        </w:rPr>
        <w:t>表2.2-1   企业化学药剂储存情况汇总表</w:t>
      </w:r>
    </w:p>
    <w:tbl>
      <w:tblPr>
        <w:tblStyle w:val="49"/>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0"/>
        <w:gridCol w:w="1991"/>
        <w:gridCol w:w="1991"/>
        <w:gridCol w:w="1993"/>
        <w:gridCol w:w="19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b/>
                <w:bCs/>
                <w:sz w:val="21"/>
              </w:rPr>
            </w:pPr>
            <w:r>
              <w:rPr>
                <w:rFonts w:hint="eastAsia"/>
                <w:b/>
                <w:bCs/>
                <w:sz w:val="21"/>
              </w:rPr>
              <w:t>序号</w:t>
            </w:r>
          </w:p>
        </w:tc>
        <w:tc>
          <w:tcPr>
            <w:tcW w:w="999" w:type="pct"/>
          </w:tcPr>
          <w:p>
            <w:pPr>
              <w:pStyle w:val="41"/>
              <w:tabs>
                <w:tab w:val="center" w:pos="4153"/>
                <w:tab w:val="left" w:pos="6845"/>
              </w:tabs>
              <w:spacing w:line="240" w:lineRule="auto"/>
              <w:ind w:firstLine="0" w:firstLineChars="0"/>
              <w:jc w:val="center"/>
              <w:rPr>
                <w:b/>
                <w:bCs/>
                <w:sz w:val="21"/>
              </w:rPr>
            </w:pPr>
            <w:r>
              <w:rPr>
                <w:rFonts w:hint="eastAsia"/>
                <w:b/>
                <w:bCs/>
                <w:sz w:val="21"/>
              </w:rPr>
              <w:t>名称</w:t>
            </w:r>
          </w:p>
        </w:tc>
        <w:tc>
          <w:tcPr>
            <w:tcW w:w="999" w:type="pct"/>
          </w:tcPr>
          <w:p>
            <w:pPr>
              <w:pStyle w:val="41"/>
              <w:tabs>
                <w:tab w:val="center" w:pos="4153"/>
                <w:tab w:val="left" w:pos="6845"/>
              </w:tabs>
              <w:spacing w:line="240" w:lineRule="auto"/>
              <w:ind w:firstLine="0" w:firstLineChars="0"/>
              <w:jc w:val="center"/>
              <w:rPr>
                <w:rFonts w:ascii="Times New Roman" w:hAnsi="Times New Roman"/>
                <w:b/>
                <w:bCs/>
                <w:sz w:val="21"/>
              </w:rPr>
            </w:pPr>
            <w:r>
              <w:rPr>
                <w:rFonts w:ascii="Times New Roman" w:hAnsi="Times New Roman"/>
                <w:b/>
                <w:bCs/>
                <w:sz w:val="21"/>
              </w:rPr>
              <w:t>年投加量（t/a）</w:t>
            </w:r>
          </w:p>
        </w:tc>
        <w:tc>
          <w:tcPr>
            <w:tcW w:w="1000" w:type="pct"/>
          </w:tcPr>
          <w:p>
            <w:pPr>
              <w:pStyle w:val="41"/>
              <w:tabs>
                <w:tab w:val="center" w:pos="4153"/>
                <w:tab w:val="left" w:pos="6845"/>
              </w:tabs>
              <w:spacing w:line="240" w:lineRule="auto"/>
              <w:ind w:firstLine="0" w:firstLineChars="0"/>
              <w:jc w:val="center"/>
              <w:rPr>
                <w:rFonts w:ascii="Times New Roman" w:hAnsi="Times New Roman"/>
                <w:b/>
                <w:bCs/>
                <w:sz w:val="21"/>
              </w:rPr>
            </w:pPr>
            <w:r>
              <w:rPr>
                <w:rFonts w:ascii="Times New Roman" w:hAnsi="Times New Roman"/>
                <w:b/>
                <w:bCs/>
                <w:sz w:val="21"/>
              </w:rPr>
              <w:t>最大存储量(t)</w:t>
            </w:r>
          </w:p>
        </w:tc>
        <w:tc>
          <w:tcPr>
            <w:tcW w:w="1000" w:type="pct"/>
          </w:tcPr>
          <w:p>
            <w:pPr>
              <w:pStyle w:val="41"/>
              <w:tabs>
                <w:tab w:val="center" w:pos="4153"/>
                <w:tab w:val="left" w:pos="6845"/>
              </w:tabs>
              <w:spacing w:line="240" w:lineRule="auto"/>
              <w:ind w:firstLine="0" w:firstLineChars="0"/>
              <w:jc w:val="center"/>
              <w:rPr>
                <w:b/>
                <w:bCs/>
                <w:sz w:val="21"/>
              </w:rPr>
            </w:pPr>
            <w:r>
              <w:rPr>
                <w:rFonts w:hint="eastAsia"/>
                <w:b/>
                <w:bCs/>
                <w:sz w:val="21"/>
              </w:rPr>
              <w:t xml:space="preserve">备注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1</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氢氧化钠</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11411.11</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15</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7.3kg/吨废水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2</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葡萄糖</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4341.67</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20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2.7kg/吨废水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3</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硫酸</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13064.44</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30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8.3kg/吨废水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4</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双氧水</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10335.56</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20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6.6kg/吨废水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5</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PAM</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302.8</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10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0.2kg/吨废水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6</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PAC</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25</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15</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0.016kg/吨废水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7</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硫酸亚铁</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4641.67</w:t>
            </w:r>
          </w:p>
        </w:tc>
        <w:tc>
          <w:tcPr>
            <w:tcW w:w="1000" w:type="pct"/>
          </w:tcPr>
          <w:p>
            <w:pPr>
              <w:pStyle w:val="41"/>
              <w:tabs>
                <w:tab w:val="left" w:pos="6845"/>
              </w:tabs>
              <w:spacing w:line="240" w:lineRule="auto"/>
              <w:ind w:firstLine="630" w:firstLineChars="300"/>
              <w:rPr>
                <w:sz w:val="21"/>
              </w:rPr>
            </w:pPr>
            <w:r>
              <w:rPr>
                <w:rFonts w:hint="eastAsia"/>
                <w:sz w:val="21"/>
              </w:rPr>
              <w:t>25</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3.0kg/吨废水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8</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氢氧化钙</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11672.22</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10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7.5kg/吨废水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pct"/>
          </w:tcPr>
          <w:p>
            <w:pPr>
              <w:pStyle w:val="41"/>
              <w:tabs>
                <w:tab w:val="center" w:pos="4153"/>
                <w:tab w:val="left" w:pos="6845"/>
              </w:tabs>
              <w:spacing w:line="240" w:lineRule="auto"/>
              <w:ind w:firstLine="0" w:firstLineChars="0"/>
              <w:jc w:val="center"/>
              <w:rPr>
                <w:sz w:val="21"/>
              </w:rPr>
            </w:pPr>
            <w:r>
              <w:rPr>
                <w:rFonts w:hint="eastAsia"/>
                <w:sz w:val="21"/>
              </w:rPr>
              <w:t>9</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次氯酸钠</w:t>
            </w:r>
          </w:p>
        </w:tc>
        <w:tc>
          <w:tcPr>
            <w:tcW w:w="999" w:type="pct"/>
          </w:tcPr>
          <w:p>
            <w:pPr>
              <w:pStyle w:val="41"/>
              <w:tabs>
                <w:tab w:val="center" w:pos="4153"/>
                <w:tab w:val="left" w:pos="6845"/>
              </w:tabs>
              <w:spacing w:line="240" w:lineRule="auto"/>
              <w:ind w:firstLine="0" w:firstLineChars="0"/>
              <w:jc w:val="center"/>
              <w:rPr>
                <w:sz w:val="21"/>
              </w:rPr>
            </w:pPr>
            <w:r>
              <w:rPr>
                <w:rFonts w:hint="eastAsia"/>
                <w:sz w:val="21"/>
              </w:rPr>
              <w:t>322.22</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30</w:t>
            </w:r>
          </w:p>
        </w:tc>
        <w:tc>
          <w:tcPr>
            <w:tcW w:w="1000" w:type="pct"/>
          </w:tcPr>
          <w:p>
            <w:pPr>
              <w:pStyle w:val="41"/>
              <w:tabs>
                <w:tab w:val="center" w:pos="4153"/>
                <w:tab w:val="left" w:pos="6845"/>
              </w:tabs>
              <w:spacing w:line="240" w:lineRule="auto"/>
              <w:ind w:firstLine="0" w:firstLineChars="0"/>
              <w:jc w:val="center"/>
              <w:rPr>
                <w:sz w:val="21"/>
              </w:rPr>
            </w:pPr>
            <w:r>
              <w:rPr>
                <w:rFonts w:hint="eastAsia"/>
                <w:sz w:val="21"/>
              </w:rPr>
              <w:t>0.2kg/吨废水</w:t>
            </w:r>
          </w:p>
        </w:tc>
      </w:tr>
    </w:tbl>
    <w:p>
      <w:pPr>
        <w:pStyle w:val="47"/>
        <w:ind w:firstLine="480"/>
      </w:pPr>
    </w:p>
    <w:p>
      <w:pPr>
        <w:pStyle w:val="6"/>
        <w:adjustRightInd w:val="0"/>
        <w:snapToGrid w:val="0"/>
        <w:rPr>
          <w:kern w:val="21"/>
        </w:rPr>
      </w:pPr>
      <w:bookmarkStart w:id="79" w:name="_Toc19488"/>
      <w:bookmarkStart w:id="80" w:name="_Toc393979439"/>
      <w:r>
        <w:rPr>
          <w:kern w:val="21"/>
        </w:rPr>
        <w:t>2.2.2主要产品及规模</w:t>
      </w:r>
      <w:bookmarkEnd w:id="79"/>
    </w:p>
    <w:p>
      <w:pPr>
        <w:adjustRightInd w:val="0"/>
        <w:snapToGrid w:val="0"/>
        <w:ind w:firstLine="480"/>
        <w:rPr>
          <w:rFonts w:ascii="Times New Roman" w:hAnsi="Times New Roman"/>
          <w:kern w:val="21"/>
        </w:rPr>
      </w:pPr>
      <w:r>
        <w:rPr>
          <w:rFonts w:ascii="Times New Roman" w:hAnsi="Times New Roman"/>
          <w:kern w:val="21"/>
        </w:rPr>
        <w:t>污水处理厂设计进、出水水质如下表：</w:t>
      </w:r>
    </w:p>
    <w:p>
      <w:pPr>
        <w:pStyle w:val="220"/>
        <w:ind w:firstLine="482"/>
        <w:rPr>
          <w:rStyle w:val="248"/>
          <w:b/>
          <w:kern w:val="21"/>
        </w:rPr>
      </w:pPr>
      <w:r>
        <w:rPr>
          <w:rStyle w:val="248"/>
          <w:b/>
          <w:kern w:val="21"/>
        </w:rPr>
        <w:t>表2.2-2  本污水厂设计进水水质表</w:t>
      </w:r>
    </w:p>
    <w:tbl>
      <w:tblPr>
        <w:tblStyle w:val="48"/>
        <w:tblW w:w="4997"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540"/>
        <w:gridCol w:w="1526"/>
        <w:gridCol w:w="1450"/>
        <w:gridCol w:w="1411"/>
        <w:gridCol w:w="1219"/>
        <w:gridCol w:w="1343"/>
        <w:gridCol w:w="1467"/>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jc w:val="center"/>
        </w:trPr>
        <w:tc>
          <w:tcPr>
            <w:tcW w:w="773" w:type="pct"/>
            <w:vAlign w:val="center"/>
          </w:tcPr>
          <w:p>
            <w:pPr>
              <w:pStyle w:val="225"/>
              <w:adjustRightInd w:val="0"/>
              <w:snapToGrid w:val="0"/>
              <w:spacing w:line="240" w:lineRule="auto"/>
              <w:jc w:val="center"/>
              <w:rPr>
                <w:kern w:val="21"/>
                <w:sz w:val="21"/>
                <w:szCs w:val="21"/>
              </w:rPr>
            </w:pPr>
            <w:r>
              <w:rPr>
                <w:kern w:val="21"/>
                <w:sz w:val="21"/>
                <w:szCs w:val="21"/>
              </w:rPr>
              <w:t>项目</w:t>
            </w:r>
          </w:p>
        </w:tc>
        <w:tc>
          <w:tcPr>
            <w:tcW w:w="766" w:type="pct"/>
            <w:vAlign w:val="center"/>
          </w:tcPr>
          <w:p>
            <w:pPr>
              <w:pStyle w:val="225"/>
              <w:adjustRightInd w:val="0"/>
              <w:snapToGrid w:val="0"/>
              <w:spacing w:line="240" w:lineRule="auto"/>
              <w:jc w:val="center"/>
              <w:rPr>
                <w:kern w:val="21"/>
                <w:sz w:val="21"/>
                <w:szCs w:val="21"/>
                <w:vertAlign w:val="subscript"/>
              </w:rPr>
            </w:pPr>
            <w:r>
              <w:rPr>
                <w:kern w:val="21"/>
                <w:sz w:val="21"/>
                <w:szCs w:val="21"/>
              </w:rPr>
              <w:t>COD</w:t>
            </w:r>
            <w:r>
              <w:rPr>
                <w:kern w:val="21"/>
                <w:sz w:val="21"/>
                <w:szCs w:val="21"/>
                <w:vertAlign w:val="subscript"/>
              </w:rPr>
              <w:t>Cr</w:t>
            </w:r>
          </w:p>
          <w:p>
            <w:pPr>
              <w:pStyle w:val="225"/>
              <w:adjustRightInd w:val="0"/>
              <w:snapToGrid w:val="0"/>
              <w:spacing w:line="240" w:lineRule="auto"/>
              <w:jc w:val="center"/>
              <w:rPr>
                <w:kern w:val="21"/>
                <w:sz w:val="21"/>
                <w:szCs w:val="21"/>
              </w:rPr>
            </w:pPr>
            <w:r>
              <w:rPr>
                <w:kern w:val="21"/>
                <w:sz w:val="21"/>
                <w:szCs w:val="21"/>
              </w:rPr>
              <w:t>（mg/L）</w:t>
            </w:r>
          </w:p>
        </w:tc>
        <w:tc>
          <w:tcPr>
            <w:tcW w:w="728" w:type="pct"/>
            <w:vAlign w:val="center"/>
          </w:tcPr>
          <w:p>
            <w:pPr>
              <w:pStyle w:val="225"/>
              <w:adjustRightInd w:val="0"/>
              <w:snapToGrid w:val="0"/>
              <w:spacing w:line="240" w:lineRule="auto"/>
              <w:jc w:val="center"/>
              <w:rPr>
                <w:kern w:val="21"/>
                <w:sz w:val="21"/>
                <w:szCs w:val="21"/>
                <w:vertAlign w:val="subscript"/>
              </w:rPr>
            </w:pPr>
            <w:r>
              <w:rPr>
                <w:kern w:val="21"/>
                <w:sz w:val="21"/>
                <w:szCs w:val="21"/>
              </w:rPr>
              <w:t>BOD</w:t>
            </w:r>
            <w:r>
              <w:rPr>
                <w:kern w:val="21"/>
                <w:sz w:val="21"/>
                <w:szCs w:val="21"/>
                <w:vertAlign w:val="subscript"/>
              </w:rPr>
              <w:t>5</w:t>
            </w:r>
          </w:p>
          <w:p>
            <w:pPr>
              <w:pStyle w:val="225"/>
              <w:adjustRightInd w:val="0"/>
              <w:snapToGrid w:val="0"/>
              <w:spacing w:line="240" w:lineRule="auto"/>
              <w:jc w:val="center"/>
              <w:rPr>
                <w:kern w:val="21"/>
                <w:sz w:val="21"/>
                <w:szCs w:val="21"/>
              </w:rPr>
            </w:pPr>
            <w:r>
              <w:rPr>
                <w:kern w:val="21"/>
                <w:sz w:val="21"/>
                <w:szCs w:val="21"/>
              </w:rPr>
              <w:t>（mg/L）</w:t>
            </w:r>
          </w:p>
        </w:tc>
        <w:tc>
          <w:tcPr>
            <w:tcW w:w="708" w:type="pct"/>
            <w:vAlign w:val="center"/>
          </w:tcPr>
          <w:p>
            <w:pPr>
              <w:pStyle w:val="225"/>
              <w:adjustRightInd w:val="0"/>
              <w:snapToGrid w:val="0"/>
              <w:spacing w:line="240" w:lineRule="auto"/>
              <w:jc w:val="center"/>
              <w:rPr>
                <w:kern w:val="21"/>
                <w:sz w:val="21"/>
                <w:szCs w:val="21"/>
              </w:rPr>
            </w:pPr>
            <w:r>
              <w:rPr>
                <w:kern w:val="21"/>
                <w:sz w:val="21"/>
                <w:szCs w:val="21"/>
              </w:rPr>
              <w:t>SS</w:t>
            </w:r>
          </w:p>
          <w:p>
            <w:pPr>
              <w:pStyle w:val="225"/>
              <w:adjustRightInd w:val="0"/>
              <w:snapToGrid w:val="0"/>
              <w:spacing w:line="240" w:lineRule="auto"/>
              <w:jc w:val="center"/>
              <w:rPr>
                <w:kern w:val="21"/>
                <w:sz w:val="21"/>
                <w:szCs w:val="21"/>
              </w:rPr>
            </w:pPr>
            <w:r>
              <w:rPr>
                <w:kern w:val="21"/>
                <w:sz w:val="21"/>
                <w:szCs w:val="21"/>
              </w:rPr>
              <w:t>（mg/L）</w:t>
            </w:r>
          </w:p>
        </w:tc>
        <w:tc>
          <w:tcPr>
            <w:tcW w:w="612" w:type="pct"/>
            <w:vAlign w:val="center"/>
          </w:tcPr>
          <w:p>
            <w:pPr>
              <w:pStyle w:val="225"/>
              <w:adjustRightInd w:val="0"/>
              <w:snapToGrid w:val="0"/>
              <w:spacing w:line="240" w:lineRule="auto"/>
              <w:jc w:val="center"/>
              <w:rPr>
                <w:kern w:val="21"/>
                <w:sz w:val="21"/>
                <w:szCs w:val="21"/>
              </w:rPr>
            </w:pPr>
            <w:r>
              <w:rPr>
                <w:kern w:val="21"/>
                <w:sz w:val="21"/>
                <w:szCs w:val="21"/>
              </w:rPr>
              <w:t>TN</w:t>
            </w:r>
          </w:p>
          <w:p>
            <w:pPr>
              <w:pStyle w:val="225"/>
              <w:adjustRightInd w:val="0"/>
              <w:snapToGrid w:val="0"/>
              <w:spacing w:line="240" w:lineRule="auto"/>
              <w:jc w:val="center"/>
              <w:rPr>
                <w:kern w:val="21"/>
                <w:sz w:val="21"/>
                <w:szCs w:val="21"/>
              </w:rPr>
            </w:pPr>
            <w:r>
              <w:rPr>
                <w:kern w:val="21"/>
                <w:sz w:val="21"/>
                <w:szCs w:val="21"/>
              </w:rPr>
              <w:t>（mg/L）</w:t>
            </w:r>
          </w:p>
        </w:tc>
        <w:tc>
          <w:tcPr>
            <w:tcW w:w="674" w:type="pct"/>
            <w:vAlign w:val="center"/>
          </w:tcPr>
          <w:p>
            <w:pPr>
              <w:pStyle w:val="225"/>
              <w:adjustRightInd w:val="0"/>
              <w:snapToGrid w:val="0"/>
              <w:spacing w:line="240" w:lineRule="auto"/>
              <w:jc w:val="center"/>
              <w:rPr>
                <w:kern w:val="21"/>
                <w:sz w:val="21"/>
                <w:szCs w:val="21"/>
              </w:rPr>
            </w:pPr>
            <w:r>
              <w:rPr>
                <w:kern w:val="21"/>
                <w:sz w:val="21"/>
                <w:szCs w:val="21"/>
              </w:rPr>
              <w:t>TP</w:t>
            </w:r>
          </w:p>
          <w:p>
            <w:pPr>
              <w:pStyle w:val="225"/>
              <w:adjustRightInd w:val="0"/>
              <w:snapToGrid w:val="0"/>
              <w:spacing w:line="240" w:lineRule="auto"/>
              <w:jc w:val="center"/>
              <w:rPr>
                <w:kern w:val="21"/>
                <w:sz w:val="21"/>
                <w:szCs w:val="21"/>
              </w:rPr>
            </w:pPr>
            <w:r>
              <w:rPr>
                <w:kern w:val="21"/>
                <w:sz w:val="21"/>
                <w:szCs w:val="21"/>
              </w:rPr>
              <w:t>（mg/L）</w:t>
            </w:r>
          </w:p>
        </w:tc>
        <w:tc>
          <w:tcPr>
            <w:tcW w:w="736" w:type="pct"/>
            <w:vAlign w:val="center"/>
          </w:tcPr>
          <w:p>
            <w:pPr>
              <w:pStyle w:val="225"/>
              <w:adjustRightInd w:val="0"/>
              <w:snapToGrid w:val="0"/>
              <w:spacing w:line="240" w:lineRule="auto"/>
              <w:jc w:val="center"/>
              <w:rPr>
                <w:kern w:val="21"/>
                <w:sz w:val="21"/>
                <w:szCs w:val="21"/>
              </w:rPr>
            </w:pPr>
            <w:r>
              <w:rPr>
                <w:kern w:val="21"/>
                <w:sz w:val="21"/>
                <w:szCs w:val="21"/>
              </w:rPr>
              <w:t>PH</w:t>
            </w:r>
          </w:p>
          <w:p>
            <w:pPr>
              <w:pStyle w:val="225"/>
              <w:adjustRightInd w:val="0"/>
              <w:snapToGrid w:val="0"/>
              <w:spacing w:line="240" w:lineRule="auto"/>
              <w:jc w:val="center"/>
              <w:rPr>
                <w:kern w:val="21"/>
                <w:sz w:val="21"/>
                <w:szCs w:val="21"/>
              </w:rPr>
            </w:pPr>
            <w:r>
              <w:rPr>
                <w:kern w:val="21"/>
                <w:sz w:val="21"/>
                <w:szCs w:val="21"/>
              </w:rPr>
              <w:t>（mg/L）</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424" w:hRule="atLeast"/>
          <w:jc w:val="center"/>
        </w:trPr>
        <w:tc>
          <w:tcPr>
            <w:tcW w:w="773" w:type="pct"/>
            <w:vAlign w:val="center"/>
          </w:tcPr>
          <w:p>
            <w:pPr>
              <w:pStyle w:val="225"/>
              <w:adjustRightInd w:val="0"/>
              <w:snapToGrid w:val="0"/>
              <w:spacing w:line="240" w:lineRule="auto"/>
              <w:jc w:val="center"/>
              <w:rPr>
                <w:kern w:val="21"/>
                <w:sz w:val="21"/>
                <w:szCs w:val="21"/>
              </w:rPr>
            </w:pPr>
            <w:r>
              <w:rPr>
                <w:kern w:val="21"/>
                <w:sz w:val="21"/>
                <w:szCs w:val="21"/>
              </w:rPr>
              <w:t>进水水质</w:t>
            </w:r>
          </w:p>
        </w:tc>
        <w:tc>
          <w:tcPr>
            <w:tcW w:w="766" w:type="pct"/>
            <w:vAlign w:val="center"/>
          </w:tcPr>
          <w:p>
            <w:pPr>
              <w:pStyle w:val="225"/>
              <w:adjustRightInd w:val="0"/>
              <w:snapToGrid w:val="0"/>
              <w:spacing w:line="240" w:lineRule="auto"/>
              <w:jc w:val="center"/>
              <w:rPr>
                <w:bCs/>
                <w:kern w:val="21"/>
                <w:sz w:val="21"/>
                <w:szCs w:val="21"/>
              </w:rPr>
            </w:pPr>
            <w:r>
              <w:rPr>
                <w:bCs/>
                <w:kern w:val="21"/>
                <w:sz w:val="21"/>
                <w:szCs w:val="21"/>
              </w:rPr>
              <w:t>500</w:t>
            </w:r>
          </w:p>
        </w:tc>
        <w:tc>
          <w:tcPr>
            <w:tcW w:w="728" w:type="pct"/>
            <w:vAlign w:val="center"/>
          </w:tcPr>
          <w:p>
            <w:pPr>
              <w:pStyle w:val="225"/>
              <w:adjustRightInd w:val="0"/>
              <w:snapToGrid w:val="0"/>
              <w:spacing w:line="240" w:lineRule="auto"/>
              <w:jc w:val="center"/>
              <w:rPr>
                <w:bCs/>
                <w:kern w:val="21"/>
                <w:sz w:val="21"/>
                <w:szCs w:val="21"/>
              </w:rPr>
            </w:pPr>
            <w:r>
              <w:rPr>
                <w:rFonts w:hint="eastAsia"/>
                <w:bCs/>
                <w:kern w:val="21"/>
                <w:sz w:val="21"/>
                <w:szCs w:val="21"/>
              </w:rPr>
              <w:t>125</w:t>
            </w:r>
          </w:p>
        </w:tc>
        <w:tc>
          <w:tcPr>
            <w:tcW w:w="708" w:type="pct"/>
            <w:vAlign w:val="center"/>
          </w:tcPr>
          <w:p>
            <w:pPr>
              <w:pStyle w:val="225"/>
              <w:adjustRightInd w:val="0"/>
              <w:snapToGrid w:val="0"/>
              <w:spacing w:line="240" w:lineRule="auto"/>
              <w:jc w:val="center"/>
              <w:rPr>
                <w:bCs/>
                <w:kern w:val="21"/>
                <w:sz w:val="21"/>
                <w:szCs w:val="21"/>
              </w:rPr>
            </w:pPr>
            <w:r>
              <w:rPr>
                <w:rFonts w:hint="eastAsia"/>
                <w:bCs/>
                <w:kern w:val="21"/>
                <w:sz w:val="21"/>
                <w:szCs w:val="21"/>
              </w:rPr>
              <w:t>380</w:t>
            </w:r>
          </w:p>
        </w:tc>
        <w:tc>
          <w:tcPr>
            <w:tcW w:w="612" w:type="pct"/>
            <w:vAlign w:val="center"/>
          </w:tcPr>
          <w:p>
            <w:pPr>
              <w:pStyle w:val="225"/>
              <w:adjustRightInd w:val="0"/>
              <w:snapToGrid w:val="0"/>
              <w:spacing w:line="240" w:lineRule="auto"/>
              <w:jc w:val="center"/>
              <w:rPr>
                <w:bCs/>
                <w:kern w:val="21"/>
                <w:sz w:val="21"/>
                <w:szCs w:val="21"/>
              </w:rPr>
            </w:pPr>
            <w:r>
              <w:rPr>
                <w:rFonts w:hint="eastAsia"/>
                <w:bCs/>
                <w:kern w:val="21"/>
                <w:sz w:val="21"/>
                <w:szCs w:val="21"/>
              </w:rPr>
              <w:t>30</w:t>
            </w:r>
          </w:p>
        </w:tc>
        <w:tc>
          <w:tcPr>
            <w:tcW w:w="674" w:type="pct"/>
            <w:vAlign w:val="center"/>
          </w:tcPr>
          <w:p>
            <w:pPr>
              <w:pStyle w:val="225"/>
              <w:adjustRightInd w:val="0"/>
              <w:snapToGrid w:val="0"/>
              <w:spacing w:line="240" w:lineRule="auto"/>
              <w:jc w:val="center"/>
              <w:rPr>
                <w:bCs/>
                <w:kern w:val="21"/>
                <w:sz w:val="21"/>
                <w:szCs w:val="21"/>
              </w:rPr>
            </w:pPr>
            <w:r>
              <w:rPr>
                <w:rFonts w:hint="eastAsia"/>
                <w:bCs/>
                <w:kern w:val="21"/>
                <w:sz w:val="21"/>
                <w:szCs w:val="21"/>
              </w:rPr>
              <w:t>3</w:t>
            </w:r>
          </w:p>
        </w:tc>
        <w:tc>
          <w:tcPr>
            <w:tcW w:w="736" w:type="pct"/>
            <w:vAlign w:val="center"/>
          </w:tcPr>
          <w:p>
            <w:pPr>
              <w:pStyle w:val="225"/>
              <w:adjustRightInd w:val="0"/>
              <w:snapToGrid w:val="0"/>
              <w:spacing w:line="240" w:lineRule="auto"/>
              <w:jc w:val="center"/>
              <w:rPr>
                <w:bCs/>
                <w:kern w:val="21"/>
                <w:sz w:val="21"/>
                <w:szCs w:val="21"/>
              </w:rPr>
            </w:pPr>
            <w:r>
              <w:rPr>
                <w:bCs/>
                <w:kern w:val="21"/>
                <w:sz w:val="21"/>
                <w:szCs w:val="21"/>
              </w:rPr>
              <w:t>6～9</w:t>
            </w:r>
          </w:p>
        </w:tc>
      </w:tr>
    </w:tbl>
    <w:p>
      <w:pPr>
        <w:pStyle w:val="220"/>
        <w:ind w:firstLine="482"/>
        <w:rPr>
          <w:kern w:val="21"/>
        </w:rPr>
      </w:pPr>
    </w:p>
    <w:p>
      <w:pPr>
        <w:pStyle w:val="220"/>
        <w:ind w:firstLine="482"/>
        <w:rPr>
          <w:kern w:val="21"/>
        </w:rPr>
      </w:pPr>
      <w:r>
        <w:rPr>
          <w:kern w:val="21"/>
        </w:rPr>
        <w:t>表2.2-3  本污水厂设计出水水质表</w:t>
      </w:r>
    </w:p>
    <w:tbl>
      <w:tblPr>
        <w:tblStyle w:val="48"/>
        <w:tblW w:w="4998"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557"/>
        <w:gridCol w:w="1497"/>
        <w:gridCol w:w="1443"/>
        <w:gridCol w:w="1407"/>
        <w:gridCol w:w="1232"/>
        <w:gridCol w:w="1371"/>
        <w:gridCol w:w="1451"/>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jc w:val="center"/>
        </w:trPr>
        <w:tc>
          <w:tcPr>
            <w:tcW w:w="782" w:type="pct"/>
            <w:vAlign w:val="center"/>
          </w:tcPr>
          <w:p>
            <w:pPr>
              <w:pStyle w:val="225"/>
              <w:adjustRightInd w:val="0"/>
              <w:snapToGrid w:val="0"/>
              <w:spacing w:line="240" w:lineRule="auto"/>
              <w:jc w:val="center"/>
              <w:rPr>
                <w:kern w:val="21"/>
                <w:sz w:val="21"/>
                <w:szCs w:val="21"/>
              </w:rPr>
            </w:pPr>
            <w:r>
              <w:rPr>
                <w:kern w:val="21"/>
                <w:sz w:val="21"/>
                <w:szCs w:val="21"/>
              </w:rPr>
              <w:t>项目</w:t>
            </w:r>
          </w:p>
        </w:tc>
        <w:tc>
          <w:tcPr>
            <w:tcW w:w="751" w:type="pct"/>
            <w:vAlign w:val="center"/>
          </w:tcPr>
          <w:p>
            <w:pPr>
              <w:pStyle w:val="225"/>
              <w:adjustRightInd w:val="0"/>
              <w:snapToGrid w:val="0"/>
              <w:spacing w:line="240" w:lineRule="auto"/>
              <w:jc w:val="center"/>
              <w:rPr>
                <w:kern w:val="21"/>
                <w:sz w:val="21"/>
                <w:szCs w:val="21"/>
                <w:vertAlign w:val="subscript"/>
              </w:rPr>
            </w:pPr>
            <w:r>
              <w:rPr>
                <w:kern w:val="21"/>
                <w:sz w:val="21"/>
                <w:szCs w:val="21"/>
              </w:rPr>
              <w:t>COD</w:t>
            </w:r>
            <w:r>
              <w:rPr>
                <w:kern w:val="21"/>
                <w:sz w:val="21"/>
                <w:szCs w:val="21"/>
                <w:vertAlign w:val="subscript"/>
              </w:rPr>
              <w:t>Cr</w:t>
            </w:r>
          </w:p>
          <w:p>
            <w:pPr>
              <w:pStyle w:val="225"/>
              <w:adjustRightInd w:val="0"/>
              <w:snapToGrid w:val="0"/>
              <w:spacing w:line="240" w:lineRule="auto"/>
              <w:jc w:val="center"/>
              <w:rPr>
                <w:kern w:val="21"/>
                <w:sz w:val="21"/>
                <w:szCs w:val="21"/>
              </w:rPr>
            </w:pPr>
            <w:r>
              <w:rPr>
                <w:kern w:val="21"/>
                <w:sz w:val="21"/>
                <w:szCs w:val="21"/>
              </w:rPr>
              <w:t>（mg/L）</w:t>
            </w:r>
          </w:p>
        </w:tc>
        <w:tc>
          <w:tcPr>
            <w:tcW w:w="724" w:type="pct"/>
            <w:vAlign w:val="center"/>
          </w:tcPr>
          <w:p>
            <w:pPr>
              <w:pStyle w:val="225"/>
              <w:adjustRightInd w:val="0"/>
              <w:snapToGrid w:val="0"/>
              <w:spacing w:line="240" w:lineRule="auto"/>
              <w:jc w:val="center"/>
              <w:rPr>
                <w:kern w:val="21"/>
                <w:sz w:val="21"/>
                <w:szCs w:val="21"/>
                <w:vertAlign w:val="subscript"/>
              </w:rPr>
            </w:pPr>
            <w:r>
              <w:rPr>
                <w:kern w:val="21"/>
                <w:sz w:val="21"/>
                <w:szCs w:val="21"/>
              </w:rPr>
              <w:t>BOD</w:t>
            </w:r>
            <w:r>
              <w:rPr>
                <w:kern w:val="21"/>
                <w:sz w:val="21"/>
                <w:szCs w:val="21"/>
                <w:vertAlign w:val="subscript"/>
              </w:rPr>
              <w:t>5</w:t>
            </w:r>
          </w:p>
          <w:p>
            <w:pPr>
              <w:pStyle w:val="225"/>
              <w:adjustRightInd w:val="0"/>
              <w:snapToGrid w:val="0"/>
              <w:spacing w:line="240" w:lineRule="auto"/>
              <w:jc w:val="center"/>
              <w:rPr>
                <w:kern w:val="21"/>
                <w:sz w:val="21"/>
                <w:szCs w:val="21"/>
              </w:rPr>
            </w:pPr>
            <w:r>
              <w:rPr>
                <w:kern w:val="21"/>
                <w:sz w:val="21"/>
                <w:szCs w:val="21"/>
              </w:rPr>
              <w:t>（mg/L）</w:t>
            </w:r>
          </w:p>
        </w:tc>
        <w:tc>
          <w:tcPr>
            <w:tcW w:w="706" w:type="pct"/>
            <w:vAlign w:val="center"/>
          </w:tcPr>
          <w:p>
            <w:pPr>
              <w:pStyle w:val="225"/>
              <w:adjustRightInd w:val="0"/>
              <w:snapToGrid w:val="0"/>
              <w:spacing w:line="240" w:lineRule="auto"/>
              <w:jc w:val="center"/>
              <w:rPr>
                <w:kern w:val="21"/>
                <w:sz w:val="21"/>
                <w:szCs w:val="21"/>
              </w:rPr>
            </w:pPr>
            <w:r>
              <w:rPr>
                <w:kern w:val="21"/>
                <w:sz w:val="21"/>
                <w:szCs w:val="21"/>
              </w:rPr>
              <w:t>SS</w:t>
            </w:r>
          </w:p>
          <w:p>
            <w:pPr>
              <w:pStyle w:val="225"/>
              <w:adjustRightInd w:val="0"/>
              <w:snapToGrid w:val="0"/>
              <w:spacing w:line="240" w:lineRule="auto"/>
              <w:jc w:val="center"/>
              <w:rPr>
                <w:kern w:val="21"/>
                <w:sz w:val="21"/>
                <w:szCs w:val="21"/>
              </w:rPr>
            </w:pPr>
            <w:r>
              <w:rPr>
                <w:kern w:val="21"/>
                <w:sz w:val="21"/>
                <w:szCs w:val="21"/>
              </w:rPr>
              <w:t>（mg/L）</w:t>
            </w:r>
          </w:p>
        </w:tc>
        <w:tc>
          <w:tcPr>
            <w:tcW w:w="618" w:type="pct"/>
            <w:vAlign w:val="center"/>
          </w:tcPr>
          <w:p>
            <w:pPr>
              <w:pStyle w:val="225"/>
              <w:adjustRightInd w:val="0"/>
              <w:snapToGrid w:val="0"/>
              <w:spacing w:line="240" w:lineRule="auto"/>
              <w:jc w:val="center"/>
              <w:rPr>
                <w:kern w:val="21"/>
                <w:sz w:val="21"/>
                <w:szCs w:val="21"/>
              </w:rPr>
            </w:pPr>
            <w:r>
              <w:rPr>
                <w:kern w:val="21"/>
                <w:sz w:val="21"/>
                <w:szCs w:val="21"/>
              </w:rPr>
              <w:t>TN</w:t>
            </w:r>
          </w:p>
          <w:p>
            <w:pPr>
              <w:pStyle w:val="225"/>
              <w:adjustRightInd w:val="0"/>
              <w:snapToGrid w:val="0"/>
              <w:spacing w:line="240" w:lineRule="auto"/>
              <w:jc w:val="center"/>
              <w:rPr>
                <w:kern w:val="21"/>
                <w:sz w:val="21"/>
                <w:szCs w:val="21"/>
              </w:rPr>
            </w:pPr>
            <w:r>
              <w:rPr>
                <w:kern w:val="21"/>
                <w:sz w:val="21"/>
                <w:szCs w:val="21"/>
              </w:rPr>
              <w:t>（mg/L）</w:t>
            </w:r>
          </w:p>
        </w:tc>
        <w:tc>
          <w:tcPr>
            <w:tcW w:w="688" w:type="pct"/>
            <w:vAlign w:val="center"/>
          </w:tcPr>
          <w:p>
            <w:pPr>
              <w:pStyle w:val="225"/>
              <w:adjustRightInd w:val="0"/>
              <w:snapToGrid w:val="0"/>
              <w:spacing w:line="240" w:lineRule="auto"/>
              <w:jc w:val="center"/>
              <w:rPr>
                <w:kern w:val="21"/>
                <w:sz w:val="21"/>
                <w:szCs w:val="21"/>
              </w:rPr>
            </w:pPr>
            <w:r>
              <w:rPr>
                <w:kern w:val="21"/>
                <w:sz w:val="21"/>
                <w:szCs w:val="21"/>
              </w:rPr>
              <w:t>TP</w:t>
            </w:r>
          </w:p>
          <w:p>
            <w:pPr>
              <w:pStyle w:val="225"/>
              <w:adjustRightInd w:val="0"/>
              <w:snapToGrid w:val="0"/>
              <w:spacing w:line="240" w:lineRule="auto"/>
              <w:jc w:val="center"/>
              <w:rPr>
                <w:kern w:val="21"/>
                <w:sz w:val="21"/>
                <w:szCs w:val="21"/>
              </w:rPr>
            </w:pPr>
            <w:r>
              <w:rPr>
                <w:kern w:val="21"/>
                <w:sz w:val="21"/>
                <w:szCs w:val="21"/>
              </w:rPr>
              <w:t>（mg/L）</w:t>
            </w:r>
          </w:p>
        </w:tc>
        <w:tc>
          <w:tcPr>
            <w:tcW w:w="728" w:type="pct"/>
            <w:vAlign w:val="center"/>
          </w:tcPr>
          <w:p>
            <w:pPr>
              <w:pStyle w:val="225"/>
              <w:adjustRightInd w:val="0"/>
              <w:snapToGrid w:val="0"/>
              <w:spacing w:line="240" w:lineRule="auto"/>
              <w:jc w:val="center"/>
              <w:rPr>
                <w:kern w:val="21"/>
                <w:sz w:val="21"/>
                <w:szCs w:val="21"/>
              </w:rPr>
            </w:pPr>
            <w:r>
              <w:rPr>
                <w:kern w:val="21"/>
                <w:sz w:val="21"/>
                <w:szCs w:val="21"/>
              </w:rPr>
              <w:t>PH</w:t>
            </w:r>
          </w:p>
          <w:p>
            <w:pPr>
              <w:pStyle w:val="225"/>
              <w:adjustRightInd w:val="0"/>
              <w:snapToGrid w:val="0"/>
              <w:spacing w:line="240" w:lineRule="auto"/>
              <w:jc w:val="center"/>
              <w:rPr>
                <w:kern w:val="21"/>
                <w:sz w:val="21"/>
                <w:szCs w:val="21"/>
              </w:rPr>
            </w:pPr>
            <w:r>
              <w:rPr>
                <w:kern w:val="21"/>
                <w:sz w:val="21"/>
                <w:szCs w:val="21"/>
              </w:rPr>
              <w:t>（mg/L）</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75" w:hRule="atLeast"/>
          <w:jc w:val="center"/>
        </w:trPr>
        <w:tc>
          <w:tcPr>
            <w:tcW w:w="782" w:type="pct"/>
            <w:vAlign w:val="center"/>
          </w:tcPr>
          <w:p>
            <w:pPr>
              <w:pStyle w:val="225"/>
              <w:adjustRightInd w:val="0"/>
              <w:snapToGrid w:val="0"/>
              <w:spacing w:line="240" w:lineRule="auto"/>
              <w:jc w:val="center"/>
              <w:rPr>
                <w:kern w:val="21"/>
                <w:sz w:val="21"/>
                <w:szCs w:val="21"/>
              </w:rPr>
            </w:pPr>
            <w:r>
              <w:rPr>
                <w:kern w:val="21"/>
                <w:sz w:val="21"/>
                <w:szCs w:val="21"/>
              </w:rPr>
              <w:t>出水水质</w:t>
            </w:r>
          </w:p>
        </w:tc>
        <w:tc>
          <w:tcPr>
            <w:tcW w:w="751" w:type="pct"/>
            <w:vAlign w:val="center"/>
          </w:tcPr>
          <w:p>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100</w:t>
            </w:r>
          </w:p>
        </w:tc>
        <w:tc>
          <w:tcPr>
            <w:tcW w:w="724" w:type="pct"/>
            <w:vAlign w:val="center"/>
          </w:tcPr>
          <w:p>
            <w:pPr>
              <w:pStyle w:val="225"/>
              <w:adjustRightInd w:val="0"/>
              <w:snapToGrid w:val="0"/>
              <w:spacing w:line="240" w:lineRule="auto"/>
              <w:jc w:val="center"/>
              <w:rPr>
                <w:bCs/>
                <w:kern w:val="21"/>
                <w:sz w:val="21"/>
                <w:szCs w:val="21"/>
              </w:rPr>
            </w:pPr>
            <w:r>
              <w:rPr>
                <w:bCs/>
                <w:kern w:val="21"/>
                <w:sz w:val="21"/>
                <w:szCs w:val="21"/>
              </w:rPr>
              <w:t>≤20</w:t>
            </w:r>
          </w:p>
        </w:tc>
        <w:tc>
          <w:tcPr>
            <w:tcW w:w="706" w:type="pct"/>
            <w:vAlign w:val="center"/>
          </w:tcPr>
          <w:p>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70</w:t>
            </w:r>
          </w:p>
        </w:tc>
        <w:tc>
          <w:tcPr>
            <w:tcW w:w="618" w:type="pct"/>
            <w:vAlign w:val="center"/>
          </w:tcPr>
          <w:p>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15</w:t>
            </w:r>
          </w:p>
        </w:tc>
        <w:tc>
          <w:tcPr>
            <w:tcW w:w="688" w:type="pct"/>
            <w:vAlign w:val="center"/>
          </w:tcPr>
          <w:p>
            <w:pPr>
              <w:pStyle w:val="225"/>
              <w:adjustRightInd w:val="0"/>
              <w:snapToGrid w:val="0"/>
              <w:spacing w:line="240" w:lineRule="auto"/>
              <w:jc w:val="center"/>
              <w:rPr>
                <w:bCs/>
                <w:kern w:val="21"/>
                <w:sz w:val="21"/>
                <w:szCs w:val="21"/>
              </w:rPr>
            </w:pPr>
            <w:r>
              <w:rPr>
                <w:bCs/>
                <w:kern w:val="21"/>
                <w:sz w:val="21"/>
                <w:szCs w:val="21"/>
              </w:rPr>
              <w:t>≤</w:t>
            </w:r>
            <w:r>
              <w:rPr>
                <w:rFonts w:hint="eastAsia"/>
                <w:bCs/>
                <w:kern w:val="21"/>
                <w:sz w:val="21"/>
                <w:szCs w:val="21"/>
              </w:rPr>
              <w:t>0.5</w:t>
            </w:r>
          </w:p>
        </w:tc>
        <w:tc>
          <w:tcPr>
            <w:tcW w:w="728" w:type="pct"/>
            <w:vAlign w:val="center"/>
          </w:tcPr>
          <w:p>
            <w:pPr>
              <w:pStyle w:val="225"/>
              <w:adjustRightInd w:val="0"/>
              <w:snapToGrid w:val="0"/>
              <w:spacing w:line="240" w:lineRule="auto"/>
              <w:jc w:val="center"/>
              <w:rPr>
                <w:bCs/>
                <w:kern w:val="21"/>
                <w:sz w:val="21"/>
                <w:szCs w:val="21"/>
              </w:rPr>
            </w:pPr>
            <w:r>
              <w:rPr>
                <w:bCs/>
                <w:kern w:val="21"/>
                <w:sz w:val="21"/>
                <w:szCs w:val="21"/>
              </w:rPr>
              <w:t>6～9</w:t>
            </w:r>
          </w:p>
        </w:tc>
      </w:tr>
    </w:tbl>
    <w:p>
      <w:pPr>
        <w:pStyle w:val="6"/>
        <w:adjustRightInd w:val="0"/>
        <w:snapToGrid w:val="0"/>
        <w:rPr>
          <w:kern w:val="21"/>
        </w:rPr>
      </w:pPr>
      <w:bookmarkStart w:id="81" w:name="_Toc9055"/>
      <w:r>
        <w:rPr>
          <w:kern w:val="21"/>
        </w:rPr>
        <w:t>2.2.3 主要生产设备</w:t>
      </w:r>
      <w:bookmarkEnd w:id="81"/>
    </w:p>
    <w:p>
      <w:pPr>
        <w:adjustRightInd w:val="0"/>
        <w:snapToGrid w:val="0"/>
        <w:ind w:firstLine="480"/>
        <w:rPr>
          <w:rFonts w:ascii="Times New Roman" w:hAnsi="Times New Roman"/>
          <w:kern w:val="21"/>
        </w:rPr>
      </w:pPr>
      <w:r>
        <w:rPr>
          <w:rFonts w:ascii="Times New Roman" w:hAnsi="Times New Roman"/>
          <w:kern w:val="21"/>
        </w:rPr>
        <w:t>（1）生产设备</w:t>
      </w:r>
    </w:p>
    <w:p>
      <w:pPr>
        <w:adjustRightInd w:val="0"/>
        <w:snapToGrid w:val="0"/>
        <w:ind w:firstLine="480"/>
        <w:rPr>
          <w:rFonts w:ascii="Times New Roman" w:hAnsi="Times New Roman"/>
          <w:kern w:val="21"/>
        </w:rPr>
      </w:pPr>
      <w:r>
        <w:rPr>
          <w:rFonts w:ascii="Times New Roman" w:hAnsi="Times New Roman"/>
          <w:kern w:val="21"/>
        </w:rPr>
        <w:t xml:space="preserve">本企业生产中的主要生产设备详见表2.2-4。 </w:t>
      </w:r>
    </w:p>
    <w:p>
      <w:pPr>
        <w:pStyle w:val="220"/>
        <w:ind w:firstLine="482"/>
        <w:outlineLvl w:val="3"/>
        <w:rPr>
          <w:kern w:val="21"/>
        </w:rPr>
      </w:pPr>
      <w:r>
        <w:rPr>
          <w:kern w:val="21"/>
        </w:rPr>
        <w:t>表2.2-4 污水处理主要生产设备设施概况</w:t>
      </w:r>
    </w:p>
    <w:tbl>
      <w:tblPr>
        <w:tblStyle w:val="48"/>
        <w:tblW w:w="5134" w:type="pct"/>
        <w:jc w:val="center"/>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Layout w:type="autofit"/>
        <w:tblCellMar>
          <w:top w:w="0" w:type="dxa"/>
          <w:left w:w="108" w:type="dxa"/>
          <w:bottom w:w="0" w:type="dxa"/>
          <w:right w:w="108" w:type="dxa"/>
        </w:tblCellMar>
      </w:tblPr>
      <w:tblGrid>
        <w:gridCol w:w="912"/>
        <w:gridCol w:w="2144"/>
        <w:gridCol w:w="4253"/>
        <w:gridCol w:w="1056"/>
        <w:gridCol w:w="921"/>
        <w:gridCol w:w="943"/>
      </w:tblGrid>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87" w:hRule="atLeast"/>
          <w:jc w:val="center"/>
        </w:trPr>
        <w:tc>
          <w:tcPr>
            <w:tcW w:w="446" w:type="pct"/>
            <w:shd w:val="clear" w:color="auto" w:fill="auto"/>
            <w:vAlign w:val="center"/>
          </w:tcPr>
          <w:p>
            <w:pPr>
              <w:widowControl/>
              <w:spacing w:line="240" w:lineRule="auto"/>
              <w:ind w:firstLine="0" w:firstLineChars="0"/>
              <w:jc w:val="center"/>
              <w:rPr>
                <w:rFonts w:cs="宋体"/>
                <w:b/>
                <w:kern w:val="0"/>
                <w:sz w:val="21"/>
              </w:rPr>
            </w:pPr>
            <w:r>
              <w:rPr>
                <w:rFonts w:hint="eastAsia" w:cs="宋体"/>
                <w:b/>
                <w:kern w:val="0"/>
                <w:sz w:val="21"/>
              </w:rPr>
              <w:t>序号</w:t>
            </w:r>
          </w:p>
        </w:tc>
        <w:tc>
          <w:tcPr>
            <w:tcW w:w="1048" w:type="pct"/>
            <w:shd w:val="clear" w:color="auto" w:fill="auto"/>
            <w:vAlign w:val="center"/>
          </w:tcPr>
          <w:p>
            <w:pPr>
              <w:widowControl/>
              <w:spacing w:line="240" w:lineRule="auto"/>
              <w:ind w:firstLine="0" w:firstLineChars="0"/>
              <w:jc w:val="center"/>
              <w:rPr>
                <w:rFonts w:cs="宋体"/>
                <w:b/>
                <w:kern w:val="0"/>
                <w:sz w:val="21"/>
              </w:rPr>
            </w:pPr>
            <w:r>
              <w:rPr>
                <w:rFonts w:hint="eastAsia" w:cs="宋体"/>
                <w:b/>
                <w:kern w:val="0"/>
                <w:sz w:val="21"/>
              </w:rPr>
              <w:t>名称</w:t>
            </w:r>
          </w:p>
        </w:tc>
        <w:tc>
          <w:tcPr>
            <w:tcW w:w="2079" w:type="pct"/>
            <w:shd w:val="clear" w:color="auto" w:fill="auto"/>
            <w:vAlign w:val="center"/>
          </w:tcPr>
          <w:p>
            <w:pPr>
              <w:widowControl/>
              <w:spacing w:line="240" w:lineRule="auto"/>
              <w:ind w:firstLine="0" w:firstLineChars="0"/>
              <w:jc w:val="center"/>
              <w:rPr>
                <w:rFonts w:cs="宋体"/>
                <w:b/>
                <w:kern w:val="0"/>
                <w:sz w:val="21"/>
              </w:rPr>
            </w:pPr>
            <w:r>
              <w:rPr>
                <w:rFonts w:hint="eastAsia" w:cs="宋体"/>
                <w:b/>
                <w:kern w:val="0"/>
                <w:sz w:val="21"/>
              </w:rPr>
              <w:t>型号</w:t>
            </w:r>
          </w:p>
        </w:tc>
        <w:tc>
          <w:tcPr>
            <w:tcW w:w="516" w:type="pct"/>
            <w:shd w:val="clear" w:color="auto" w:fill="auto"/>
            <w:vAlign w:val="center"/>
          </w:tcPr>
          <w:p>
            <w:pPr>
              <w:widowControl/>
              <w:spacing w:line="240" w:lineRule="auto"/>
              <w:ind w:firstLine="0" w:firstLineChars="0"/>
              <w:jc w:val="center"/>
              <w:rPr>
                <w:rFonts w:cs="宋体"/>
                <w:b/>
                <w:kern w:val="0"/>
                <w:sz w:val="21"/>
              </w:rPr>
            </w:pPr>
            <w:r>
              <w:rPr>
                <w:rFonts w:hint="eastAsia" w:cs="宋体"/>
                <w:b/>
                <w:kern w:val="0"/>
                <w:sz w:val="21"/>
              </w:rPr>
              <w:t>单位</w:t>
            </w:r>
          </w:p>
        </w:tc>
        <w:tc>
          <w:tcPr>
            <w:tcW w:w="450" w:type="pct"/>
            <w:shd w:val="clear" w:color="auto" w:fill="auto"/>
            <w:vAlign w:val="center"/>
          </w:tcPr>
          <w:p>
            <w:pPr>
              <w:widowControl/>
              <w:spacing w:line="240" w:lineRule="auto"/>
              <w:ind w:firstLine="0" w:firstLineChars="0"/>
              <w:jc w:val="center"/>
              <w:rPr>
                <w:rFonts w:cs="宋体"/>
                <w:b/>
                <w:kern w:val="0"/>
                <w:sz w:val="21"/>
              </w:rPr>
            </w:pPr>
            <w:r>
              <w:rPr>
                <w:rFonts w:hint="eastAsia" w:cs="宋体"/>
                <w:b/>
                <w:kern w:val="0"/>
                <w:sz w:val="21"/>
              </w:rPr>
              <w:t>数量</w:t>
            </w:r>
          </w:p>
        </w:tc>
        <w:tc>
          <w:tcPr>
            <w:tcW w:w="460" w:type="pct"/>
            <w:shd w:val="clear" w:color="auto" w:fill="auto"/>
            <w:vAlign w:val="center"/>
          </w:tcPr>
          <w:p>
            <w:pPr>
              <w:widowControl/>
              <w:spacing w:line="240" w:lineRule="auto"/>
              <w:ind w:firstLine="0" w:firstLineChars="0"/>
              <w:jc w:val="center"/>
              <w:rPr>
                <w:rFonts w:cs="宋体"/>
                <w:b/>
                <w:bCs/>
                <w:kern w:val="0"/>
                <w:sz w:val="21"/>
              </w:rPr>
            </w:pPr>
            <w:r>
              <w:rPr>
                <w:rFonts w:hint="eastAsia" w:cs="宋体"/>
                <w:b/>
                <w:bCs/>
                <w:kern w:val="0"/>
                <w:sz w:val="21"/>
              </w:rPr>
              <w:t>备注</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15"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机械</w:t>
            </w:r>
          </w:p>
        </w:tc>
        <w:tc>
          <w:tcPr>
            <w:tcW w:w="2079" w:type="pct"/>
            <w:shd w:val="clear" w:color="auto" w:fill="auto"/>
            <w:vAlign w:val="center"/>
          </w:tcPr>
          <w:p>
            <w:pPr>
              <w:adjustRightInd w:val="0"/>
              <w:snapToGrid w:val="0"/>
              <w:spacing w:line="240" w:lineRule="auto"/>
              <w:ind w:firstLine="0" w:firstLineChars="0"/>
              <w:jc w:val="center"/>
              <w:rPr>
                <w:rFonts w:cs="宋体"/>
                <w:kern w:val="0"/>
                <w:sz w:val="21"/>
              </w:rPr>
            </w:pPr>
            <w:r>
              <w:rPr>
                <w:rFonts w:hint="eastAsia"/>
                <w:sz w:val="21"/>
              </w:rPr>
              <w:t>XCG-1400，格栅净宽：</w:t>
            </w:r>
            <w:r>
              <w:rPr>
                <w:sz w:val="21"/>
              </w:rPr>
              <w:t>1.</w:t>
            </w:r>
            <w:r>
              <w:rPr>
                <w:rFonts w:hint="eastAsia"/>
                <w:sz w:val="21"/>
              </w:rPr>
              <w:t>4</w:t>
            </w:r>
            <w:r>
              <w:rPr>
                <w:sz w:val="21"/>
              </w:rPr>
              <w:t>m</w:t>
            </w:r>
            <w:r>
              <w:rPr>
                <w:rFonts w:hint="eastAsia"/>
                <w:sz w:val="21"/>
              </w:rPr>
              <w:t>，栅条净间距：5</w:t>
            </w:r>
            <w:r>
              <w:rPr>
                <w:sz w:val="21"/>
              </w:rPr>
              <w:t>mm</w:t>
            </w:r>
            <w:r>
              <w:rPr>
                <w:rFonts w:hint="eastAsia"/>
                <w:sz w:val="21"/>
              </w:rPr>
              <w:t>，安装倾角α</w:t>
            </w:r>
            <w:r>
              <w:rPr>
                <w:sz w:val="21"/>
              </w:rPr>
              <w:t>=75</w:t>
            </w:r>
            <w:r>
              <w:rPr>
                <w:rFonts w:hint="eastAsia"/>
                <w:sz w:val="21"/>
              </w:rPr>
              <w:t>°，</w:t>
            </w:r>
            <w:r>
              <w:rPr>
                <w:sz w:val="21"/>
              </w:rPr>
              <w:t>N</w:t>
            </w:r>
            <w:r>
              <w:rPr>
                <w:rFonts w:hint="eastAsia"/>
                <w:sz w:val="21"/>
              </w:rPr>
              <w:t>＝</w:t>
            </w:r>
            <w:r>
              <w:rPr>
                <w:sz w:val="21"/>
              </w:rPr>
              <w:t>1.1kW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b/>
                <w:bC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螺旋输送机</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LS-300</w:t>
            </w:r>
            <w:r>
              <w:rPr>
                <w:rFonts w:hint="eastAsia"/>
                <w:kern w:val="0"/>
                <w:sz w:val="21"/>
              </w:rPr>
              <w:t>，</w:t>
            </w:r>
            <w:r>
              <w:rPr>
                <w:kern w:val="0"/>
                <w:sz w:val="21"/>
              </w:rPr>
              <w:t>L=4000</w:t>
            </w:r>
            <w:r>
              <w:rPr>
                <w:rFonts w:hint="eastAsia"/>
                <w:kern w:val="0"/>
                <w:sz w:val="21"/>
              </w:rPr>
              <w:t>，</w:t>
            </w:r>
            <w:r>
              <w:rPr>
                <w:kern w:val="0"/>
                <w:sz w:val="21"/>
              </w:rPr>
              <w:t>N</w:t>
            </w:r>
            <w:r>
              <w:rPr>
                <w:rFonts w:hint="eastAsia"/>
                <w:kern w:val="0"/>
                <w:sz w:val="21"/>
              </w:rPr>
              <w:t>＝</w:t>
            </w:r>
            <w:r>
              <w:rPr>
                <w:kern w:val="0"/>
                <w:sz w:val="21"/>
              </w:rPr>
              <w:t>1.1kW</w:t>
            </w:r>
            <w:r>
              <w:rPr>
                <w:rFonts w:hint="eastAsia"/>
                <w:kern w:val="0"/>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b/>
                <w:bC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除砂机</w:t>
            </w:r>
          </w:p>
        </w:tc>
        <w:tc>
          <w:tcPr>
            <w:tcW w:w="2079" w:type="pct"/>
            <w:shd w:val="clear" w:color="auto" w:fill="auto"/>
            <w:vAlign w:val="center"/>
          </w:tcPr>
          <w:p>
            <w:pPr>
              <w:widowControl/>
              <w:spacing w:line="240" w:lineRule="auto"/>
              <w:ind w:firstLine="0" w:firstLineChars="0"/>
              <w:jc w:val="center"/>
              <w:rPr>
                <w:kern w:val="0"/>
                <w:sz w:val="21"/>
                <w:lang w:val="sv-SE"/>
              </w:rPr>
            </w:pPr>
            <w:r>
              <w:rPr>
                <w:kern w:val="0"/>
                <w:sz w:val="21"/>
                <w:lang w:val="sv-SE"/>
              </w:rPr>
              <w:t>XCS-3.05</w:t>
            </w:r>
            <w:r>
              <w:rPr>
                <w:rFonts w:hint="eastAsia"/>
                <w:kern w:val="0"/>
                <w:sz w:val="21"/>
                <w:lang w:val="sv-SE"/>
              </w:rPr>
              <w:t>，</w:t>
            </w:r>
            <w:r>
              <w:rPr>
                <w:kern w:val="0"/>
                <w:sz w:val="21"/>
                <w:lang w:val="sv-SE"/>
              </w:rPr>
              <w:t>N</w:t>
            </w:r>
            <w:r>
              <w:rPr>
                <w:rFonts w:hint="eastAsia"/>
                <w:kern w:val="0"/>
                <w:sz w:val="21"/>
                <w:lang w:val="sv-SE"/>
              </w:rPr>
              <w:t>＝</w:t>
            </w:r>
            <w:r>
              <w:rPr>
                <w:kern w:val="0"/>
                <w:sz w:val="21"/>
                <w:lang w:val="sv-SE"/>
              </w:rPr>
              <w:t>0.75kW</w:t>
            </w:r>
            <w:r>
              <w:rPr>
                <w:rFonts w:hint="eastAsia"/>
                <w:kern w:val="0"/>
                <w:sz w:val="21"/>
                <w:lang w:val="sv-SE"/>
              </w:rPr>
              <w:t>，</w:t>
            </w:r>
            <w:r>
              <w:rPr>
                <w:kern w:val="0"/>
                <w:sz w:val="21"/>
                <w:lang w:val="sv-SE"/>
              </w:rPr>
              <w:t>15r/min</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b/>
                <w:bC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4</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螺旋压榨机</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LY-300</w:t>
            </w:r>
            <w:r>
              <w:rPr>
                <w:rFonts w:hint="eastAsia"/>
                <w:kern w:val="0"/>
                <w:sz w:val="21"/>
              </w:rPr>
              <w:t>，</w:t>
            </w:r>
            <w:r>
              <w:rPr>
                <w:kern w:val="0"/>
                <w:sz w:val="21"/>
              </w:rPr>
              <w:t>N=2.2kw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5</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污水提升泵</w:t>
            </w:r>
          </w:p>
        </w:tc>
        <w:tc>
          <w:tcPr>
            <w:tcW w:w="2079" w:type="pct"/>
            <w:shd w:val="clear" w:color="auto" w:fill="auto"/>
            <w:vAlign w:val="center"/>
          </w:tcPr>
          <w:p>
            <w:pPr>
              <w:adjustRightInd w:val="0"/>
              <w:snapToGrid w:val="0"/>
              <w:spacing w:line="240" w:lineRule="auto"/>
              <w:ind w:firstLine="0" w:firstLineChars="0"/>
              <w:jc w:val="center"/>
              <w:rPr>
                <w:kern w:val="0"/>
                <w:sz w:val="21"/>
              </w:rPr>
            </w:pPr>
            <w:r>
              <w:rPr>
                <w:sz w:val="21"/>
              </w:rPr>
              <w:t>300WQ800-15-55</w:t>
            </w:r>
            <w:r>
              <w:rPr>
                <w:rFonts w:hint="eastAsia"/>
                <w:sz w:val="21"/>
              </w:rPr>
              <w:t>，</w:t>
            </w:r>
            <w:r>
              <w:rPr>
                <w:sz w:val="21"/>
              </w:rPr>
              <w:t>Q=960m</w:t>
            </w:r>
            <w:r>
              <w:rPr>
                <w:sz w:val="21"/>
                <w:vertAlign w:val="superscript"/>
              </w:rPr>
              <w:t>3</w:t>
            </w:r>
            <w:r>
              <w:rPr>
                <w:sz w:val="21"/>
              </w:rPr>
              <w:t>/h</w:t>
            </w:r>
            <w:r>
              <w:rPr>
                <w:rFonts w:hint="eastAsia"/>
                <w:sz w:val="21"/>
              </w:rPr>
              <w:t>，</w:t>
            </w:r>
            <w:r>
              <w:rPr>
                <w:sz w:val="21"/>
              </w:rPr>
              <w:t>H=13m</w:t>
            </w:r>
            <w:r>
              <w:rPr>
                <w:rFonts w:hint="eastAsia"/>
                <w:sz w:val="21"/>
              </w:rPr>
              <w:t>，</w:t>
            </w:r>
            <w:r>
              <w:rPr>
                <w:sz w:val="21"/>
              </w:rPr>
              <w:t>N</w:t>
            </w:r>
            <w:r>
              <w:rPr>
                <w:rFonts w:hint="eastAsia"/>
                <w:sz w:val="21"/>
              </w:rPr>
              <w:t>＝</w:t>
            </w:r>
            <w:r>
              <w:rPr>
                <w:sz w:val="21"/>
              </w:rPr>
              <w:t>55kW</w:t>
            </w:r>
            <w:r>
              <w:rPr>
                <w:rFonts w:hint="eastAsia"/>
                <w:sz w:val="21"/>
              </w:rPr>
              <w:t>。带自藕装置</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6</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手轮式启闭机</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T=2.0t</w:t>
            </w:r>
            <w:r>
              <w:rPr>
                <w:rFonts w:hint="eastAsia"/>
                <w:kern w:val="0"/>
                <w:sz w:val="21"/>
              </w:rPr>
              <w:t>，</w:t>
            </w:r>
            <w:r>
              <w:rPr>
                <w:kern w:val="0"/>
                <w:sz w:val="21"/>
              </w:rPr>
              <w:t>N</w:t>
            </w:r>
            <w:r>
              <w:rPr>
                <w:rFonts w:hint="eastAsia"/>
                <w:kern w:val="0"/>
                <w:sz w:val="21"/>
              </w:rPr>
              <w:t>＝</w:t>
            </w:r>
            <w:r>
              <w:rPr>
                <w:kern w:val="0"/>
                <w:sz w:val="21"/>
              </w:rPr>
              <w:t>0.55kW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5</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7</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镶铜铸铁方闸门</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800</w:t>
            </w:r>
            <w:r>
              <w:rPr>
                <w:rFonts w:hint="eastAsia"/>
                <w:kern w:val="0"/>
                <w:sz w:val="21"/>
              </w:rPr>
              <w:t>×</w:t>
            </w:r>
            <w:r>
              <w:rPr>
                <w:kern w:val="0"/>
                <w:sz w:val="21"/>
              </w:rPr>
              <w:t>800</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5</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8</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电动葫芦</w:t>
            </w:r>
          </w:p>
        </w:tc>
        <w:tc>
          <w:tcPr>
            <w:tcW w:w="2079" w:type="pct"/>
            <w:shd w:val="clear" w:color="auto" w:fill="auto"/>
            <w:vAlign w:val="center"/>
          </w:tcPr>
          <w:p>
            <w:pPr>
              <w:widowControl/>
              <w:spacing w:line="240" w:lineRule="auto"/>
              <w:ind w:firstLine="0" w:firstLineChars="0"/>
              <w:jc w:val="center"/>
              <w:rPr>
                <w:kern w:val="0"/>
                <w:sz w:val="21"/>
                <w:lang w:val="de-DE"/>
              </w:rPr>
            </w:pPr>
            <w:r>
              <w:rPr>
                <w:kern w:val="0"/>
                <w:sz w:val="21"/>
                <w:lang w:val="de-DE"/>
              </w:rPr>
              <w:t>T=3.0t</w:t>
            </w:r>
            <w:r>
              <w:rPr>
                <w:rFonts w:hint="eastAsia"/>
                <w:kern w:val="0"/>
                <w:sz w:val="21"/>
                <w:lang w:val="de-DE"/>
              </w:rPr>
              <w:t>，</w:t>
            </w:r>
            <w:r>
              <w:rPr>
                <w:kern w:val="0"/>
                <w:sz w:val="21"/>
                <w:lang w:val="de-DE"/>
              </w:rPr>
              <w:t>N</w:t>
            </w:r>
            <w:r>
              <w:rPr>
                <w:rFonts w:hint="eastAsia"/>
                <w:kern w:val="0"/>
                <w:sz w:val="21"/>
                <w:lang w:val="de-DE"/>
              </w:rPr>
              <w:t>＝</w:t>
            </w:r>
            <w:r>
              <w:rPr>
                <w:kern w:val="0"/>
                <w:sz w:val="21"/>
                <w:lang w:val="de-DE"/>
              </w:rPr>
              <w:t>3kW</w:t>
            </w:r>
            <w:r>
              <w:rPr>
                <w:rFonts w:hint="eastAsia"/>
                <w:kern w:val="0"/>
                <w:sz w:val="21"/>
                <w:lang w:val="de-DE"/>
              </w:rPr>
              <w:t>，MD3-12D</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258"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9</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空气压缩机</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N</w:t>
            </w:r>
            <w:r>
              <w:rPr>
                <w:rFonts w:hint="eastAsia"/>
                <w:kern w:val="0"/>
                <w:sz w:val="21"/>
              </w:rPr>
              <w:t>＝</w:t>
            </w:r>
            <w:r>
              <w:rPr>
                <w:kern w:val="0"/>
                <w:sz w:val="21"/>
              </w:rPr>
              <w:t>1.1kW</w:t>
            </w:r>
            <w:r>
              <w:rPr>
                <w:rFonts w:hint="eastAsia"/>
                <w:kern w:val="0"/>
                <w:sz w:val="21"/>
              </w:rPr>
              <w:t>，与气提吸砂系统配套</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10</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砂水分离器</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 xml:space="preserve">LSF-320 </w:t>
            </w:r>
            <w:r>
              <w:rPr>
                <w:rFonts w:hint="eastAsia"/>
                <w:kern w:val="0"/>
                <w:sz w:val="21"/>
              </w:rPr>
              <w:t>，</w:t>
            </w:r>
            <w:r>
              <w:rPr>
                <w:kern w:val="0"/>
                <w:sz w:val="21"/>
              </w:rPr>
              <w:t>N</w:t>
            </w:r>
            <w:r>
              <w:rPr>
                <w:rFonts w:hint="eastAsia"/>
                <w:kern w:val="0"/>
                <w:sz w:val="21"/>
              </w:rPr>
              <w:t>＝</w:t>
            </w:r>
            <w:r>
              <w:rPr>
                <w:kern w:val="0"/>
                <w:sz w:val="21"/>
              </w:rPr>
              <w:t>0.37kW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05"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11</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砂浆泵</w:t>
            </w:r>
          </w:p>
        </w:tc>
        <w:tc>
          <w:tcPr>
            <w:tcW w:w="2079" w:type="pct"/>
            <w:shd w:val="clear" w:color="auto" w:fill="auto"/>
            <w:vAlign w:val="center"/>
          </w:tcPr>
          <w:p>
            <w:pPr>
              <w:adjustRightInd w:val="0"/>
              <w:snapToGrid w:val="0"/>
              <w:spacing w:line="240" w:lineRule="auto"/>
              <w:ind w:firstLine="0" w:firstLineChars="0"/>
              <w:jc w:val="center"/>
              <w:rPr>
                <w:kern w:val="0"/>
                <w:sz w:val="21"/>
              </w:rPr>
            </w:pPr>
            <w:r>
              <w:rPr>
                <w:sz w:val="21"/>
              </w:rPr>
              <w:t>UHB-ZK100/120-20</w:t>
            </w:r>
            <w:r>
              <w:rPr>
                <w:rFonts w:hint="eastAsia"/>
                <w:sz w:val="21"/>
              </w:rPr>
              <w:t>，</w:t>
            </w:r>
            <w:r>
              <w:rPr>
                <w:sz w:val="21"/>
              </w:rPr>
              <w:t>Q</w:t>
            </w:r>
            <w:r>
              <w:rPr>
                <w:rFonts w:hint="eastAsia"/>
                <w:sz w:val="21"/>
              </w:rPr>
              <w:t>＝8</w:t>
            </w:r>
            <w:r>
              <w:rPr>
                <w:sz w:val="21"/>
              </w:rPr>
              <w:t>0 m</w:t>
            </w:r>
            <w:r>
              <w:rPr>
                <w:sz w:val="21"/>
                <w:vertAlign w:val="superscript"/>
              </w:rPr>
              <w:t>3</w:t>
            </w:r>
            <w:r>
              <w:rPr>
                <w:sz w:val="21"/>
              </w:rPr>
              <w:t>/h</w:t>
            </w:r>
            <w:r>
              <w:rPr>
                <w:rFonts w:hint="eastAsia"/>
                <w:sz w:val="21"/>
              </w:rPr>
              <w:t>，</w:t>
            </w:r>
            <w:r>
              <w:rPr>
                <w:sz w:val="21"/>
              </w:rPr>
              <w:t>H</w:t>
            </w:r>
            <w:r>
              <w:rPr>
                <w:rFonts w:hint="eastAsia"/>
                <w:sz w:val="21"/>
              </w:rPr>
              <w:t>＝15</w:t>
            </w:r>
            <w:r>
              <w:rPr>
                <w:sz w:val="21"/>
              </w:rPr>
              <w:t>m</w:t>
            </w:r>
            <w:r>
              <w:rPr>
                <w:rFonts w:hint="eastAsia"/>
                <w:sz w:val="21"/>
              </w:rPr>
              <w:t>，</w:t>
            </w:r>
            <w:r>
              <w:rPr>
                <w:sz w:val="21"/>
              </w:rPr>
              <w:t>N</w:t>
            </w:r>
            <w:r>
              <w:rPr>
                <w:rFonts w:hint="eastAsia"/>
                <w:sz w:val="21"/>
              </w:rPr>
              <w:t>＝7.5</w:t>
            </w:r>
            <w:r>
              <w:rPr>
                <w:sz w:val="21"/>
              </w:rPr>
              <w:t>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11"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12</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超声波液位计</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54"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13</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污水提升泵</w:t>
            </w:r>
          </w:p>
        </w:tc>
        <w:tc>
          <w:tcPr>
            <w:tcW w:w="2079" w:type="pct"/>
            <w:shd w:val="clear" w:color="auto" w:fill="auto"/>
            <w:vAlign w:val="center"/>
          </w:tcPr>
          <w:p>
            <w:pPr>
              <w:adjustRightInd w:val="0"/>
              <w:snapToGrid w:val="0"/>
              <w:spacing w:line="240" w:lineRule="auto"/>
              <w:ind w:firstLine="0" w:firstLineChars="0"/>
              <w:jc w:val="center"/>
              <w:rPr>
                <w:rFonts w:cs="宋体"/>
                <w:kern w:val="0"/>
                <w:sz w:val="21"/>
              </w:rPr>
            </w:pPr>
            <w:r>
              <w:rPr>
                <w:rFonts w:hint="eastAsia"/>
                <w:sz w:val="21"/>
              </w:rPr>
              <w:t>带自藕装置。规格型号：</w:t>
            </w:r>
            <w:r>
              <w:rPr>
                <w:sz w:val="21"/>
              </w:rPr>
              <w:t>300WQ800-15-55</w:t>
            </w:r>
            <w:r>
              <w:rPr>
                <w:rFonts w:hint="eastAsia"/>
                <w:sz w:val="21"/>
              </w:rPr>
              <w:t>，</w:t>
            </w:r>
            <w:r>
              <w:rPr>
                <w:sz w:val="21"/>
              </w:rPr>
              <w:t>Q=960m</w:t>
            </w:r>
            <w:r>
              <w:rPr>
                <w:sz w:val="21"/>
                <w:vertAlign w:val="superscript"/>
              </w:rPr>
              <w:t>3</w:t>
            </w:r>
            <w:r>
              <w:rPr>
                <w:sz w:val="21"/>
              </w:rPr>
              <w:t>/h</w:t>
            </w:r>
            <w:r>
              <w:rPr>
                <w:rFonts w:hint="eastAsia"/>
                <w:sz w:val="21"/>
              </w:rPr>
              <w:t>，</w:t>
            </w:r>
            <w:r>
              <w:rPr>
                <w:sz w:val="21"/>
              </w:rPr>
              <w:t>H=13m</w:t>
            </w:r>
            <w:r>
              <w:rPr>
                <w:rFonts w:hint="eastAsia"/>
                <w:sz w:val="21"/>
              </w:rPr>
              <w:t>，</w:t>
            </w:r>
            <w:r>
              <w:rPr>
                <w:sz w:val="21"/>
              </w:rPr>
              <w:t>N</w:t>
            </w:r>
            <w:r>
              <w:rPr>
                <w:rFonts w:hint="eastAsia"/>
                <w:sz w:val="21"/>
              </w:rPr>
              <w:t>＝</w:t>
            </w:r>
            <w:r>
              <w:rPr>
                <w:sz w:val="21"/>
              </w:rPr>
              <w:t>55kW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14</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搅拌装置</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N</w:t>
            </w:r>
            <w:r>
              <w:rPr>
                <w:rFonts w:hint="eastAsia"/>
                <w:kern w:val="0"/>
                <w:sz w:val="21"/>
              </w:rPr>
              <w:t>＝5.5</w:t>
            </w:r>
            <w:r>
              <w:rPr>
                <w:kern w:val="0"/>
                <w:sz w:val="21"/>
              </w:rPr>
              <w:t>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15</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超声波物位仪</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WMC</w:t>
            </w:r>
            <w:r>
              <w:rPr>
                <w:rFonts w:hint="eastAsia"/>
                <w:kern w:val="0"/>
                <w:sz w:val="21"/>
              </w:rPr>
              <w:t>型</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16</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搅拌机装置</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N</w:t>
            </w:r>
            <w:r>
              <w:rPr>
                <w:rFonts w:hint="eastAsia"/>
                <w:kern w:val="0"/>
                <w:sz w:val="21"/>
              </w:rPr>
              <w:t>＝</w:t>
            </w:r>
            <w:r>
              <w:rPr>
                <w:kern w:val="0"/>
                <w:sz w:val="21"/>
              </w:rPr>
              <w:t>15kW</w:t>
            </w:r>
            <w:r>
              <w:rPr>
                <w:rFonts w:hint="eastAsia"/>
                <w:kern w:val="0"/>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17</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曝气装置</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18</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斜管填料</w:t>
            </w:r>
          </w:p>
        </w:tc>
        <w:tc>
          <w:tcPr>
            <w:tcW w:w="2079" w:type="pct"/>
            <w:shd w:val="clear" w:color="auto" w:fill="auto"/>
            <w:vAlign w:val="center"/>
          </w:tcPr>
          <w:p>
            <w:pPr>
              <w:adjustRightInd w:val="0"/>
              <w:snapToGrid w:val="0"/>
              <w:spacing w:line="240" w:lineRule="auto"/>
              <w:ind w:firstLine="0" w:firstLineChars="0"/>
              <w:jc w:val="center"/>
              <w:rPr>
                <w:rFonts w:cs="宋体"/>
                <w:kern w:val="0"/>
                <w:sz w:val="21"/>
              </w:rPr>
            </w:pPr>
            <w:r>
              <w:rPr>
                <w:rFonts w:hint="eastAsia"/>
                <w:sz w:val="21"/>
              </w:rPr>
              <w:t>Φ50</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cs="宋体"/>
                <w:kern w:val="0"/>
                <w:sz w:val="21"/>
              </w:rPr>
              <w:t>M</w:t>
            </w:r>
            <w:r>
              <w:rPr>
                <w:rFonts w:hint="eastAsia" w:cs="宋体"/>
                <w:kern w:val="0"/>
                <w:sz w:val="21"/>
                <w:vertAlign w:val="superscript"/>
              </w:rPr>
              <w:t>2</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480</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19</w:t>
            </w:r>
          </w:p>
        </w:tc>
        <w:tc>
          <w:tcPr>
            <w:tcW w:w="1048" w:type="pct"/>
            <w:shd w:val="clear" w:color="auto" w:fill="auto"/>
            <w:vAlign w:val="center"/>
          </w:tcPr>
          <w:p>
            <w:pPr>
              <w:widowControl/>
              <w:spacing w:line="240" w:lineRule="auto"/>
              <w:ind w:firstLine="0" w:firstLineChars="0"/>
              <w:jc w:val="center"/>
              <w:rPr>
                <w:kern w:val="0"/>
                <w:sz w:val="21"/>
              </w:rPr>
            </w:pPr>
            <w:r>
              <w:rPr>
                <w:rFonts w:hint="eastAsia"/>
                <w:kern w:val="0"/>
                <w:sz w:val="21"/>
              </w:rPr>
              <w:t>混合液回流泵</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Q=</w:t>
            </w:r>
            <w:r>
              <w:rPr>
                <w:rFonts w:hint="eastAsia"/>
                <w:kern w:val="0"/>
                <w:sz w:val="21"/>
              </w:rPr>
              <w:t>480</w:t>
            </w:r>
            <w:r>
              <w:rPr>
                <w:kern w:val="0"/>
                <w:sz w:val="21"/>
              </w:rPr>
              <w:t>m</w:t>
            </w:r>
            <w:r>
              <w:rPr>
                <w:kern w:val="0"/>
                <w:sz w:val="21"/>
                <w:vertAlign w:val="superscript"/>
              </w:rPr>
              <w:t>3</w:t>
            </w:r>
            <w:r>
              <w:rPr>
                <w:kern w:val="0"/>
                <w:sz w:val="21"/>
              </w:rPr>
              <w:t>/h，H=</w:t>
            </w:r>
            <w:r>
              <w:rPr>
                <w:rFonts w:hint="eastAsia"/>
                <w:kern w:val="0"/>
                <w:sz w:val="21"/>
              </w:rPr>
              <w:t>7</w:t>
            </w:r>
            <w:r>
              <w:rPr>
                <w:kern w:val="0"/>
                <w:sz w:val="21"/>
              </w:rPr>
              <w:t>m，N＝</w:t>
            </w:r>
            <w:r>
              <w:rPr>
                <w:rFonts w:hint="eastAsia"/>
                <w:kern w:val="0"/>
                <w:sz w:val="21"/>
              </w:rPr>
              <w:t>15</w:t>
            </w:r>
            <w:r>
              <w:rPr>
                <w:kern w:val="0"/>
                <w:sz w:val="21"/>
              </w:rPr>
              <w:t>kW</w:t>
            </w:r>
          </w:p>
        </w:tc>
        <w:tc>
          <w:tcPr>
            <w:tcW w:w="516" w:type="pct"/>
            <w:shd w:val="clear" w:color="auto" w:fill="auto"/>
            <w:vAlign w:val="center"/>
          </w:tcPr>
          <w:p>
            <w:pPr>
              <w:adjustRightInd w:val="0"/>
              <w:snapToGrid w:val="0"/>
              <w:spacing w:line="240" w:lineRule="auto"/>
              <w:ind w:firstLine="0" w:firstLineChars="0"/>
              <w:jc w:val="center"/>
              <w:rPr>
                <w:sz w:val="21"/>
              </w:rPr>
            </w:pPr>
            <w:r>
              <w:rPr>
                <w:rFonts w:hint="eastAsia"/>
                <w:sz w:val="21"/>
              </w:rPr>
              <w:t>台</w:t>
            </w:r>
          </w:p>
        </w:tc>
        <w:tc>
          <w:tcPr>
            <w:tcW w:w="450" w:type="pct"/>
            <w:shd w:val="clear" w:color="auto" w:fill="auto"/>
            <w:vAlign w:val="center"/>
          </w:tcPr>
          <w:p>
            <w:pPr>
              <w:adjustRightInd w:val="0"/>
              <w:snapToGrid w:val="0"/>
              <w:spacing w:line="240" w:lineRule="auto"/>
              <w:ind w:firstLine="0" w:firstLineChars="0"/>
              <w:jc w:val="center"/>
              <w:rPr>
                <w:sz w:val="21"/>
              </w:rPr>
            </w:pPr>
            <w:r>
              <w:rPr>
                <w:rFonts w:hint="eastAsia"/>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20</w:t>
            </w:r>
          </w:p>
        </w:tc>
        <w:tc>
          <w:tcPr>
            <w:tcW w:w="1048" w:type="pct"/>
            <w:shd w:val="clear" w:color="auto" w:fill="auto"/>
            <w:vAlign w:val="center"/>
          </w:tcPr>
          <w:p>
            <w:pPr>
              <w:widowControl/>
              <w:spacing w:line="240" w:lineRule="auto"/>
              <w:ind w:firstLine="0" w:firstLineChars="0"/>
              <w:jc w:val="center"/>
              <w:rPr>
                <w:kern w:val="0"/>
                <w:sz w:val="21"/>
              </w:rPr>
            </w:pPr>
            <w:r>
              <w:rPr>
                <w:rFonts w:hint="eastAsia"/>
                <w:kern w:val="0"/>
                <w:sz w:val="21"/>
              </w:rPr>
              <w:t>潜水搅拌机</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N=15kW</w:t>
            </w:r>
            <w:r>
              <w:rPr>
                <w:rFonts w:hint="eastAsia"/>
                <w:kern w:val="0"/>
                <w:sz w:val="21"/>
              </w:rPr>
              <w:t>，搅拌半径</w:t>
            </w:r>
            <w:r>
              <w:rPr>
                <w:kern w:val="0"/>
                <w:sz w:val="21"/>
              </w:rPr>
              <w:t>R</w:t>
            </w:r>
            <w:r>
              <w:rPr>
                <w:rFonts w:hint="eastAsia"/>
                <w:kern w:val="0"/>
                <w:sz w:val="21"/>
              </w:rPr>
              <w:t>＝</w:t>
            </w:r>
            <w:r>
              <w:rPr>
                <w:kern w:val="0"/>
                <w:sz w:val="21"/>
              </w:rPr>
              <w:t>900</w:t>
            </w:r>
            <w:r>
              <w:rPr>
                <w:rFonts w:hint="eastAsia"/>
                <w:kern w:val="0"/>
                <w:sz w:val="21"/>
              </w:rPr>
              <w:t>；</w:t>
            </w:r>
          </w:p>
        </w:tc>
        <w:tc>
          <w:tcPr>
            <w:tcW w:w="516" w:type="pct"/>
            <w:shd w:val="clear" w:color="auto" w:fill="auto"/>
            <w:vAlign w:val="center"/>
          </w:tcPr>
          <w:p>
            <w:pPr>
              <w:widowControl/>
              <w:spacing w:line="240" w:lineRule="auto"/>
              <w:ind w:firstLine="0" w:firstLineChars="0"/>
              <w:jc w:val="center"/>
              <w:rPr>
                <w:kern w:val="0"/>
                <w:sz w:val="21"/>
              </w:rPr>
            </w:pPr>
            <w:r>
              <w:rPr>
                <w:rFonts w:hint="eastAsia"/>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26"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21</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污泥回流泵</w:t>
            </w:r>
          </w:p>
        </w:tc>
        <w:tc>
          <w:tcPr>
            <w:tcW w:w="2079" w:type="pct"/>
            <w:shd w:val="clear" w:color="auto" w:fill="auto"/>
            <w:vAlign w:val="center"/>
          </w:tcPr>
          <w:p>
            <w:pPr>
              <w:adjustRightInd w:val="0"/>
              <w:snapToGrid w:val="0"/>
              <w:spacing w:line="240" w:lineRule="auto"/>
              <w:ind w:firstLine="0" w:firstLineChars="0"/>
              <w:jc w:val="center"/>
              <w:rPr>
                <w:sz w:val="21"/>
              </w:rPr>
            </w:pPr>
            <w:r>
              <w:rPr>
                <w:sz w:val="21"/>
              </w:rPr>
              <w:t>Q=960m</w:t>
            </w:r>
            <w:r>
              <w:rPr>
                <w:sz w:val="21"/>
                <w:vertAlign w:val="superscript"/>
              </w:rPr>
              <w:t>3</w:t>
            </w:r>
            <w:r>
              <w:rPr>
                <w:sz w:val="21"/>
              </w:rPr>
              <w:t>/h</w:t>
            </w:r>
            <w:r>
              <w:rPr>
                <w:rFonts w:hint="eastAsia"/>
                <w:sz w:val="21"/>
              </w:rPr>
              <w:t>，</w:t>
            </w:r>
            <w:r>
              <w:rPr>
                <w:sz w:val="21"/>
              </w:rPr>
              <w:t>H=</w:t>
            </w:r>
            <w:r>
              <w:rPr>
                <w:rFonts w:hint="eastAsia"/>
                <w:sz w:val="21"/>
              </w:rPr>
              <w:t>7</w:t>
            </w:r>
            <w:r>
              <w:rPr>
                <w:sz w:val="21"/>
              </w:rPr>
              <w:t>m</w:t>
            </w:r>
            <w:r>
              <w:rPr>
                <w:rFonts w:hint="eastAsia"/>
                <w:sz w:val="21"/>
              </w:rPr>
              <w:t>，</w:t>
            </w:r>
            <w:r>
              <w:rPr>
                <w:sz w:val="21"/>
              </w:rPr>
              <w:t>N</w:t>
            </w:r>
            <w:r>
              <w:rPr>
                <w:rFonts w:hint="eastAsia"/>
                <w:sz w:val="21"/>
              </w:rPr>
              <w:t>＝37</w:t>
            </w:r>
            <w:r>
              <w:rPr>
                <w:sz w:val="21"/>
              </w:rPr>
              <w:t>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22</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微孔曝气器</w:t>
            </w:r>
          </w:p>
        </w:tc>
        <w:tc>
          <w:tcPr>
            <w:tcW w:w="2079"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Φ</w:t>
            </w:r>
            <w:r>
              <w:rPr>
                <w:kern w:val="0"/>
                <w:sz w:val="21"/>
              </w:rPr>
              <w:t>215,</w:t>
            </w:r>
            <w:r>
              <w:rPr>
                <w:rFonts w:hint="eastAsia" w:cs="宋体"/>
                <w:kern w:val="0"/>
                <w:sz w:val="21"/>
              </w:rPr>
              <w:t>单个供气量2.</w:t>
            </w:r>
            <w:r>
              <w:rPr>
                <w:kern w:val="0"/>
                <w:sz w:val="21"/>
              </w:rPr>
              <w:t>5m</w:t>
            </w:r>
            <w:r>
              <w:rPr>
                <w:kern w:val="0"/>
                <w:sz w:val="21"/>
                <w:vertAlign w:val="superscript"/>
              </w:rPr>
              <w:t>3</w:t>
            </w:r>
            <w:r>
              <w:rPr>
                <w:kern w:val="0"/>
                <w:sz w:val="21"/>
              </w:rPr>
              <w:t>/h</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96</w:t>
            </w:r>
            <w:r>
              <w:rPr>
                <w:kern w:val="0"/>
                <w:sz w:val="21"/>
              </w:rPr>
              <w:t>00</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23</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离心风机</w:t>
            </w:r>
          </w:p>
        </w:tc>
        <w:tc>
          <w:tcPr>
            <w:tcW w:w="2079" w:type="pct"/>
            <w:shd w:val="clear" w:color="auto" w:fill="auto"/>
            <w:vAlign w:val="center"/>
          </w:tcPr>
          <w:p>
            <w:pPr>
              <w:adjustRightInd w:val="0"/>
              <w:snapToGrid w:val="0"/>
              <w:spacing w:line="240" w:lineRule="auto"/>
              <w:ind w:firstLine="0" w:firstLineChars="0"/>
              <w:jc w:val="center"/>
              <w:rPr>
                <w:kern w:val="0"/>
                <w:sz w:val="21"/>
              </w:rPr>
            </w:pPr>
            <w:r>
              <w:rPr>
                <w:sz w:val="21"/>
              </w:rPr>
              <w:t>Q</w:t>
            </w:r>
            <w:r>
              <w:rPr>
                <w:rFonts w:hint="eastAsia"/>
                <w:sz w:val="21"/>
              </w:rPr>
              <w:t>＝</w:t>
            </w:r>
            <w:r>
              <w:rPr>
                <w:sz w:val="21"/>
              </w:rPr>
              <w:t>73.1m</w:t>
            </w:r>
            <w:r>
              <w:rPr>
                <w:sz w:val="21"/>
                <w:vertAlign w:val="superscript"/>
              </w:rPr>
              <w:t>3</w:t>
            </w:r>
            <w:r>
              <w:rPr>
                <w:sz w:val="21"/>
              </w:rPr>
              <w:t>/min</w:t>
            </w:r>
            <w:r>
              <w:rPr>
                <w:rFonts w:hint="eastAsia"/>
                <w:sz w:val="21"/>
              </w:rPr>
              <w:t>，</w:t>
            </w:r>
            <w:r>
              <w:rPr>
                <w:sz w:val="21"/>
              </w:rPr>
              <w:t>H</w:t>
            </w:r>
            <w:r>
              <w:rPr>
                <w:rFonts w:hint="eastAsia"/>
                <w:sz w:val="21"/>
              </w:rPr>
              <w:t>＝</w:t>
            </w:r>
            <w:r>
              <w:rPr>
                <w:sz w:val="21"/>
              </w:rPr>
              <w:t>6m</w:t>
            </w:r>
            <w:r>
              <w:rPr>
                <w:rFonts w:hint="eastAsia"/>
                <w:sz w:val="21"/>
              </w:rPr>
              <w:t>，</w:t>
            </w:r>
            <w:r>
              <w:rPr>
                <w:sz w:val="21"/>
              </w:rPr>
              <w:t>N</w:t>
            </w:r>
            <w:r>
              <w:rPr>
                <w:rFonts w:hint="eastAsia"/>
                <w:sz w:val="21"/>
              </w:rPr>
              <w:t>＝</w:t>
            </w:r>
            <w:r>
              <w:rPr>
                <w:sz w:val="21"/>
              </w:rPr>
              <w:t>110kW</w:t>
            </w:r>
            <w:r>
              <w:rPr>
                <w:kern w:val="0"/>
                <w:sz w:val="21"/>
              </w:rPr>
              <w:t xml:space="preserve"> </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24</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pPr>
              <w:adjustRightInd w:val="0"/>
              <w:snapToGrid w:val="0"/>
              <w:spacing w:line="240" w:lineRule="auto"/>
              <w:ind w:firstLine="0" w:firstLineChars="0"/>
              <w:jc w:val="center"/>
              <w:rPr>
                <w:kern w:val="0"/>
                <w:sz w:val="21"/>
              </w:rPr>
            </w:pPr>
            <w:r>
              <w:rPr>
                <w:sz w:val="21"/>
              </w:rPr>
              <w:t>Q=400m</w:t>
            </w:r>
            <w:r>
              <w:rPr>
                <w:sz w:val="21"/>
                <w:vertAlign w:val="superscript"/>
              </w:rPr>
              <w:t>3</w:t>
            </w:r>
            <w:r>
              <w:rPr>
                <w:sz w:val="21"/>
              </w:rPr>
              <w:t>/h</w:t>
            </w:r>
            <w:r>
              <w:rPr>
                <w:rFonts w:hint="eastAsia"/>
                <w:sz w:val="21"/>
              </w:rPr>
              <w:t>，</w:t>
            </w:r>
            <w:r>
              <w:rPr>
                <w:sz w:val="21"/>
              </w:rPr>
              <w:t>H=1</w:t>
            </w:r>
            <w:r>
              <w:rPr>
                <w:rFonts w:hint="eastAsia"/>
                <w:sz w:val="21"/>
              </w:rPr>
              <w:t>0</w:t>
            </w:r>
            <w:r>
              <w:rPr>
                <w:sz w:val="21"/>
              </w:rPr>
              <w:t>m</w:t>
            </w:r>
            <w:r>
              <w:rPr>
                <w:rFonts w:hint="eastAsia"/>
                <w:sz w:val="21"/>
              </w:rPr>
              <w:t>，</w:t>
            </w:r>
            <w:r>
              <w:rPr>
                <w:sz w:val="21"/>
              </w:rPr>
              <w:t>N</w:t>
            </w:r>
            <w:r>
              <w:rPr>
                <w:rFonts w:hint="eastAsia"/>
                <w:sz w:val="21"/>
              </w:rPr>
              <w:t>＝22</w:t>
            </w:r>
            <w:r>
              <w:rPr>
                <w:sz w:val="21"/>
              </w:rPr>
              <w:t>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25</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半桥式刮吸泥机</w:t>
            </w:r>
          </w:p>
        </w:tc>
        <w:tc>
          <w:tcPr>
            <w:tcW w:w="2079" w:type="pct"/>
            <w:shd w:val="clear" w:color="auto" w:fill="auto"/>
            <w:vAlign w:val="center"/>
          </w:tcPr>
          <w:p>
            <w:pPr>
              <w:adjustRightInd w:val="0"/>
              <w:snapToGrid w:val="0"/>
              <w:spacing w:line="240" w:lineRule="auto"/>
              <w:ind w:firstLine="0" w:firstLineChars="0"/>
              <w:jc w:val="center"/>
              <w:rPr>
                <w:sz w:val="21"/>
              </w:rPr>
            </w:pPr>
            <w:r>
              <w:rPr>
                <w:rFonts w:hint="eastAsia"/>
                <w:sz w:val="21"/>
              </w:rPr>
              <w:t>Φ</w:t>
            </w:r>
            <w:r>
              <w:rPr>
                <w:sz w:val="21"/>
              </w:rPr>
              <w:t>4</w:t>
            </w:r>
            <w:r>
              <w:rPr>
                <w:rFonts w:hint="eastAsia"/>
                <w:sz w:val="21"/>
              </w:rPr>
              <w:t>2</w:t>
            </w:r>
            <w:r>
              <w:rPr>
                <w:sz w:val="21"/>
              </w:rPr>
              <w:t>m</w:t>
            </w:r>
            <w:r>
              <w:rPr>
                <w:rFonts w:hint="eastAsia"/>
                <w:sz w:val="21"/>
              </w:rPr>
              <w:t>，</w:t>
            </w:r>
            <w:r>
              <w:rPr>
                <w:sz w:val="21"/>
              </w:rPr>
              <w:t xml:space="preserve"> v=1.6m/min</w:t>
            </w:r>
            <w:r>
              <w:rPr>
                <w:rFonts w:hint="eastAsia"/>
                <w:sz w:val="21"/>
              </w:rPr>
              <w:t>，</w:t>
            </w:r>
            <w:r>
              <w:rPr>
                <w:sz w:val="21"/>
              </w:rPr>
              <w:t>N</w:t>
            </w:r>
            <w:r>
              <w:rPr>
                <w:rFonts w:hint="eastAsia"/>
                <w:sz w:val="21"/>
              </w:rPr>
              <w:t>＝</w:t>
            </w:r>
            <w:r>
              <w:rPr>
                <w:sz w:val="21"/>
              </w:rPr>
              <w:t>0.75kW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26</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闸门、启闭机</w:t>
            </w:r>
          </w:p>
        </w:tc>
        <w:tc>
          <w:tcPr>
            <w:tcW w:w="2079" w:type="pct"/>
            <w:shd w:val="clear" w:color="auto" w:fill="auto"/>
            <w:vAlign w:val="center"/>
          </w:tcPr>
          <w:p>
            <w:pPr>
              <w:adjustRightInd w:val="0"/>
              <w:snapToGrid w:val="0"/>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27</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液位控制开关</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28</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电磁流量计</w:t>
            </w:r>
          </w:p>
        </w:tc>
        <w:tc>
          <w:tcPr>
            <w:tcW w:w="2079"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量程</w:t>
            </w:r>
            <w:r>
              <w:rPr>
                <w:kern w:val="0"/>
                <w:sz w:val="21"/>
              </w:rPr>
              <w:t>0-2500 m</w:t>
            </w:r>
            <w:r>
              <w:rPr>
                <w:kern w:val="0"/>
                <w:sz w:val="21"/>
                <w:vertAlign w:val="superscript"/>
              </w:rPr>
              <w:t>3</w:t>
            </w:r>
            <w:r>
              <w:rPr>
                <w:kern w:val="0"/>
                <w:sz w:val="21"/>
              </w:rPr>
              <w:t>/h</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588"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29</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全桥式刮吸泥机</w:t>
            </w:r>
          </w:p>
        </w:tc>
        <w:tc>
          <w:tcPr>
            <w:tcW w:w="2079" w:type="pct"/>
            <w:shd w:val="clear" w:color="auto" w:fill="auto"/>
            <w:vAlign w:val="center"/>
          </w:tcPr>
          <w:p>
            <w:pPr>
              <w:adjustRightInd w:val="0"/>
              <w:snapToGrid w:val="0"/>
              <w:spacing w:line="240" w:lineRule="auto"/>
              <w:ind w:firstLine="0" w:firstLineChars="0"/>
              <w:jc w:val="center"/>
              <w:rPr>
                <w:rFonts w:cs="宋体"/>
                <w:kern w:val="0"/>
                <w:sz w:val="21"/>
              </w:rPr>
            </w:pPr>
            <w:r>
              <w:rPr>
                <w:rFonts w:hint="eastAsia"/>
                <w:sz w:val="21"/>
              </w:rPr>
              <w:t>Φ16</w:t>
            </w:r>
            <w:r>
              <w:rPr>
                <w:sz w:val="21"/>
              </w:rPr>
              <w:t>m</w:t>
            </w:r>
            <w:r>
              <w:rPr>
                <w:rFonts w:hint="eastAsia"/>
                <w:sz w:val="21"/>
              </w:rPr>
              <w:t>，周边线速度</w:t>
            </w:r>
            <w:r>
              <w:rPr>
                <w:sz w:val="21"/>
              </w:rPr>
              <w:t>v=1.6m/min</w:t>
            </w:r>
            <w:r>
              <w:rPr>
                <w:rFonts w:hint="eastAsia"/>
                <w:sz w:val="21"/>
              </w:rPr>
              <w:t>，</w:t>
            </w:r>
            <w:r>
              <w:rPr>
                <w:sz w:val="21"/>
              </w:rPr>
              <w:t>N</w:t>
            </w:r>
            <w:r>
              <w:rPr>
                <w:rFonts w:hint="eastAsia"/>
                <w:sz w:val="21"/>
              </w:rPr>
              <w:t>＝</w:t>
            </w:r>
            <w:r>
              <w:rPr>
                <w:sz w:val="21"/>
              </w:rPr>
              <w:t>0.75kW</w:t>
            </w:r>
            <w:r>
              <w:rPr>
                <w:rFonts w:hint="eastAsia"/>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84"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30</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pPr>
              <w:widowControl/>
              <w:spacing w:line="240" w:lineRule="auto"/>
              <w:ind w:firstLine="0" w:firstLineChars="0"/>
              <w:jc w:val="center"/>
              <w:rPr>
                <w:kern w:val="0"/>
                <w:sz w:val="21"/>
              </w:rPr>
            </w:pPr>
            <w:r>
              <w:rPr>
                <w:kern w:val="0"/>
                <w:sz w:val="21"/>
              </w:rPr>
              <w:t>Q</w:t>
            </w:r>
            <w:r>
              <w:rPr>
                <w:rFonts w:hint="eastAsia"/>
                <w:kern w:val="0"/>
                <w:sz w:val="21"/>
              </w:rPr>
              <w:t>＝</w:t>
            </w:r>
            <w:r>
              <w:rPr>
                <w:kern w:val="0"/>
                <w:sz w:val="21"/>
              </w:rPr>
              <w:t>200 m</w:t>
            </w:r>
            <w:r>
              <w:rPr>
                <w:kern w:val="0"/>
                <w:sz w:val="21"/>
                <w:vertAlign w:val="superscript"/>
              </w:rPr>
              <w:t>3</w:t>
            </w:r>
            <w:r>
              <w:rPr>
                <w:kern w:val="0"/>
                <w:sz w:val="21"/>
              </w:rPr>
              <w:t>/h</w:t>
            </w:r>
            <w:r>
              <w:rPr>
                <w:rFonts w:hint="eastAsia"/>
                <w:kern w:val="0"/>
                <w:sz w:val="21"/>
              </w:rPr>
              <w:t>，</w:t>
            </w:r>
            <w:r>
              <w:rPr>
                <w:kern w:val="0"/>
                <w:sz w:val="21"/>
              </w:rPr>
              <w:t>H</w:t>
            </w:r>
            <w:r>
              <w:rPr>
                <w:rFonts w:hint="eastAsia"/>
                <w:kern w:val="0"/>
                <w:sz w:val="21"/>
              </w:rPr>
              <w:t>＝</w:t>
            </w:r>
            <w:r>
              <w:rPr>
                <w:kern w:val="0"/>
                <w:sz w:val="21"/>
              </w:rPr>
              <w:t>15m</w:t>
            </w:r>
            <w:r>
              <w:rPr>
                <w:rFonts w:hint="eastAsia"/>
                <w:kern w:val="0"/>
                <w:sz w:val="21"/>
              </w:rPr>
              <w:t>，</w:t>
            </w:r>
            <w:r>
              <w:rPr>
                <w:kern w:val="0"/>
                <w:sz w:val="21"/>
              </w:rPr>
              <w:t>N</w:t>
            </w:r>
            <w:r>
              <w:rPr>
                <w:rFonts w:hint="eastAsia"/>
                <w:kern w:val="0"/>
                <w:sz w:val="21"/>
              </w:rPr>
              <w:t>＝</w:t>
            </w:r>
            <w:r>
              <w:rPr>
                <w:kern w:val="0"/>
                <w:sz w:val="21"/>
              </w:rPr>
              <w:t>18.5kW</w:t>
            </w:r>
            <w:r>
              <w:rPr>
                <w:rFonts w:hint="eastAsia"/>
                <w:kern w:val="0"/>
                <w:sz w:val="21"/>
              </w:rPr>
              <w:t>。</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31</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紫外消毒器</w:t>
            </w:r>
          </w:p>
        </w:tc>
        <w:tc>
          <w:tcPr>
            <w:tcW w:w="2079" w:type="pct"/>
            <w:shd w:val="clear" w:color="auto" w:fill="auto"/>
            <w:vAlign w:val="center"/>
          </w:tcPr>
          <w:p>
            <w:pPr>
              <w:adjustRightInd w:val="0"/>
              <w:snapToGrid w:val="0"/>
              <w:spacing w:line="240" w:lineRule="auto"/>
              <w:ind w:firstLine="0" w:firstLineChars="0"/>
              <w:jc w:val="center"/>
              <w:rPr>
                <w:rFonts w:cs="宋体"/>
                <w:kern w:val="0"/>
                <w:sz w:val="21"/>
              </w:rPr>
            </w:pPr>
            <w:r>
              <w:rPr>
                <w:rFonts w:hint="eastAsia" w:cs="宋体"/>
                <w:kern w:val="0"/>
                <w:sz w:val="21"/>
              </w:rPr>
              <w:t>UV</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48"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32</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污泥压滤机装置</w:t>
            </w:r>
          </w:p>
        </w:tc>
        <w:tc>
          <w:tcPr>
            <w:tcW w:w="2079" w:type="pct"/>
            <w:shd w:val="clear" w:color="auto" w:fill="auto"/>
            <w:vAlign w:val="center"/>
          </w:tcPr>
          <w:p>
            <w:pPr>
              <w:adjustRightInd w:val="0"/>
              <w:snapToGrid w:val="0"/>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33</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污泥泵</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34</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污泥传送机</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35</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流量计</w:t>
            </w:r>
          </w:p>
        </w:tc>
        <w:tc>
          <w:tcPr>
            <w:tcW w:w="2079" w:type="pct"/>
            <w:shd w:val="clear" w:color="auto" w:fill="auto"/>
            <w:vAlign w:val="center"/>
          </w:tcPr>
          <w:p>
            <w:pPr>
              <w:widowControl/>
              <w:spacing w:line="240" w:lineRule="auto"/>
              <w:ind w:firstLine="0" w:firstLineChars="0"/>
              <w:jc w:val="center"/>
              <w:rPr>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36</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在线DO仪</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6</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37</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在线pH计</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428"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38</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在线COD、氨氮测定仪</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39</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在线流量测定仪</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3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40</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轴流风机</w:t>
            </w:r>
          </w:p>
        </w:tc>
        <w:tc>
          <w:tcPr>
            <w:tcW w:w="2079"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0.37kW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9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41</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变频器</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42</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备用发电机</w:t>
            </w:r>
          </w:p>
        </w:tc>
        <w:tc>
          <w:tcPr>
            <w:tcW w:w="2079"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180kW</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widowControl/>
              <w:spacing w:line="240" w:lineRule="auto"/>
              <w:ind w:firstLine="0" w:firstLineChars="0"/>
              <w:jc w:val="center"/>
              <w:rPr>
                <w:kern w:val="0"/>
                <w:sz w:val="21"/>
              </w:rPr>
            </w:pPr>
            <w:r>
              <w:rPr>
                <w:kern w:val="0"/>
                <w:sz w:val="21"/>
              </w:rPr>
              <w:t>43</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管道阀门</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3</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75" w:hRule="atLeast"/>
          <w:jc w:val="center"/>
        </w:trPr>
        <w:tc>
          <w:tcPr>
            <w:tcW w:w="446" w:type="pct"/>
            <w:shd w:val="clear" w:color="auto" w:fill="auto"/>
            <w:vAlign w:val="center"/>
          </w:tcPr>
          <w:p>
            <w:pPr>
              <w:widowControl/>
              <w:spacing w:line="240" w:lineRule="auto"/>
              <w:ind w:firstLine="0" w:firstLineChars="0"/>
              <w:jc w:val="center"/>
              <w:rPr>
                <w:kern w:val="0"/>
                <w:sz w:val="21"/>
              </w:rPr>
            </w:pPr>
            <w:r>
              <w:rPr>
                <w:rFonts w:hint="eastAsia"/>
                <w:kern w:val="0"/>
                <w:sz w:val="21"/>
              </w:rPr>
              <w:t>44</w:t>
            </w:r>
          </w:p>
        </w:tc>
        <w:tc>
          <w:tcPr>
            <w:tcW w:w="1048"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电缆电气控制</w:t>
            </w:r>
          </w:p>
        </w:tc>
        <w:tc>
          <w:tcPr>
            <w:tcW w:w="2079" w:type="pct"/>
            <w:shd w:val="clear" w:color="auto" w:fill="auto"/>
            <w:vAlign w:val="center"/>
          </w:tcPr>
          <w:p>
            <w:pPr>
              <w:widowControl/>
              <w:spacing w:line="240" w:lineRule="auto"/>
              <w:ind w:firstLine="0" w:firstLineChars="0"/>
              <w:jc w:val="center"/>
              <w:rPr>
                <w:rFonts w:cs="宋体"/>
                <w:kern w:val="0"/>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60" w:hRule="atLeast"/>
          <w:jc w:val="center"/>
        </w:trPr>
        <w:tc>
          <w:tcPr>
            <w:tcW w:w="5000" w:type="pct"/>
            <w:gridSpan w:val="6"/>
            <w:shd w:val="clear" w:color="auto" w:fill="auto"/>
            <w:vAlign w:val="center"/>
          </w:tcPr>
          <w:p>
            <w:pPr>
              <w:adjustRightInd w:val="0"/>
              <w:snapToGrid w:val="0"/>
              <w:spacing w:line="240" w:lineRule="auto"/>
              <w:ind w:firstLine="6746" w:firstLineChars="3200"/>
              <w:rPr>
                <w:rFonts w:ascii="Times New Roman" w:hAnsi="Times New Roman" w:cs="宋体"/>
                <w:b/>
                <w:bCs/>
                <w:smallCaps/>
                <w:kern w:val="0"/>
                <w:sz w:val="21"/>
              </w:rPr>
            </w:pPr>
            <w:r>
              <w:rPr>
                <w:b/>
                <w:bCs/>
                <w:sz w:val="21"/>
              </w:rPr>
              <w:t>中途泵站</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sz w:val="21"/>
              </w:rPr>
              <w:t>1</w:t>
            </w:r>
          </w:p>
        </w:tc>
        <w:tc>
          <w:tcPr>
            <w:tcW w:w="1048" w:type="pct"/>
            <w:shd w:val="clear" w:color="auto" w:fill="auto"/>
            <w:vAlign w:val="center"/>
          </w:tcPr>
          <w:p>
            <w:pPr>
              <w:adjustRightInd w:val="0"/>
              <w:snapToGrid w:val="0"/>
              <w:spacing w:line="240" w:lineRule="auto"/>
              <w:ind w:firstLine="0" w:firstLineChars="0"/>
              <w:jc w:val="center"/>
              <w:rPr>
                <w:sz w:val="21"/>
              </w:rPr>
            </w:pPr>
            <w:r>
              <w:rPr>
                <w:sz w:val="21"/>
              </w:rPr>
              <w:t>潜污泵</w:t>
            </w:r>
          </w:p>
        </w:tc>
        <w:tc>
          <w:tcPr>
            <w:tcW w:w="2079" w:type="pct"/>
            <w:shd w:val="clear" w:color="auto" w:fill="auto"/>
            <w:vAlign w:val="center"/>
          </w:tcPr>
          <w:p>
            <w:pPr>
              <w:adjustRightInd w:val="0"/>
              <w:snapToGrid w:val="0"/>
              <w:spacing w:line="240" w:lineRule="auto"/>
              <w:ind w:firstLine="0" w:firstLineChars="0"/>
              <w:jc w:val="center"/>
              <w:rPr>
                <w:sz w:val="21"/>
              </w:rPr>
            </w:pPr>
            <w:r>
              <w:rPr>
                <w:sz w:val="21"/>
              </w:rPr>
              <w:t>Q=</w:t>
            </w:r>
            <w:r>
              <w:rPr>
                <w:rFonts w:hint="eastAsia"/>
                <w:sz w:val="21"/>
              </w:rPr>
              <w:t>48</w:t>
            </w:r>
            <w:r>
              <w:rPr>
                <w:sz w:val="21"/>
              </w:rPr>
              <w:t>0m</w:t>
            </w:r>
            <w:r>
              <w:rPr>
                <w:sz w:val="21"/>
                <w:vertAlign w:val="superscript"/>
              </w:rPr>
              <w:t>3</w:t>
            </w:r>
            <w:r>
              <w:rPr>
                <w:sz w:val="21"/>
              </w:rPr>
              <w:t>/h,H=1</w:t>
            </w:r>
            <w:r>
              <w:rPr>
                <w:rFonts w:hint="eastAsia"/>
                <w:sz w:val="21"/>
              </w:rPr>
              <w:t>8</w:t>
            </w:r>
            <w:r>
              <w:rPr>
                <w:sz w:val="21"/>
              </w:rPr>
              <w:t>m</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sz w:val="21"/>
              </w:rPr>
              <w:t>2</w:t>
            </w:r>
          </w:p>
        </w:tc>
        <w:tc>
          <w:tcPr>
            <w:tcW w:w="1048" w:type="pct"/>
            <w:shd w:val="clear" w:color="auto" w:fill="auto"/>
            <w:vAlign w:val="center"/>
          </w:tcPr>
          <w:p>
            <w:pPr>
              <w:adjustRightInd w:val="0"/>
              <w:snapToGrid w:val="0"/>
              <w:spacing w:line="240" w:lineRule="auto"/>
              <w:ind w:firstLine="0" w:firstLineChars="0"/>
              <w:jc w:val="center"/>
              <w:rPr>
                <w:sz w:val="21"/>
              </w:rPr>
            </w:pPr>
            <w:r>
              <w:rPr>
                <w:sz w:val="21"/>
              </w:rPr>
              <w:t>回转式</w:t>
            </w:r>
          </w:p>
        </w:tc>
        <w:tc>
          <w:tcPr>
            <w:tcW w:w="2079" w:type="pct"/>
            <w:shd w:val="clear" w:color="auto" w:fill="auto"/>
            <w:vAlign w:val="center"/>
          </w:tcPr>
          <w:p>
            <w:pPr>
              <w:adjustRightInd w:val="0"/>
              <w:snapToGrid w:val="0"/>
              <w:spacing w:line="240" w:lineRule="auto"/>
              <w:ind w:firstLine="0" w:firstLineChars="0"/>
              <w:jc w:val="center"/>
              <w:rPr>
                <w:sz w:val="21"/>
              </w:rPr>
            </w:pPr>
            <w:r>
              <w:rPr>
                <w:sz w:val="21"/>
              </w:rPr>
              <w:t>B=1200mm,b=25mm</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sz w:val="21"/>
              </w:rPr>
              <w:t>3</w:t>
            </w:r>
          </w:p>
        </w:tc>
        <w:tc>
          <w:tcPr>
            <w:tcW w:w="1048" w:type="pct"/>
            <w:shd w:val="clear" w:color="auto" w:fill="auto"/>
            <w:vAlign w:val="center"/>
          </w:tcPr>
          <w:p>
            <w:pPr>
              <w:adjustRightInd w:val="0"/>
              <w:snapToGrid w:val="0"/>
              <w:spacing w:line="240" w:lineRule="auto"/>
              <w:ind w:firstLine="0" w:firstLineChars="0"/>
              <w:jc w:val="center"/>
              <w:rPr>
                <w:sz w:val="21"/>
              </w:rPr>
            </w:pPr>
            <w:r>
              <w:rPr>
                <w:sz w:val="21"/>
              </w:rPr>
              <w:t>无轴螺旋输送机</w:t>
            </w:r>
          </w:p>
        </w:tc>
        <w:tc>
          <w:tcPr>
            <w:tcW w:w="2079" w:type="pct"/>
            <w:shd w:val="clear" w:color="auto" w:fill="auto"/>
            <w:vAlign w:val="center"/>
          </w:tcPr>
          <w:p>
            <w:pPr>
              <w:adjustRightInd w:val="0"/>
              <w:snapToGrid w:val="0"/>
              <w:spacing w:line="240" w:lineRule="auto"/>
              <w:ind w:firstLine="0" w:firstLineChars="0"/>
              <w:jc w:val="center"/>
              <w:rPr>
                <w:sz w:val="21"/>
              </w:rPr>
            </w:pPr>
            <w:r>
              <w:rPr>
                <w:sz w:val="21"/>
              </w:rPr>
              <w:t>W=1.2m</w:t>
            </w:r>
            <w:r>
              <w:rPr>
                <w:sz w:val="21"/>
                <w:vertAlign w:val="superscript"/>
              </w:rPr>
              <w:t>3</w:t>
            </w:r>
            <w:r>
              <w:rPr>
                <w:sz w:val="21"/>
              </w:rPr>
              <w:t>/h,L=5400mm</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sz w:val="21"/>
              </w:rPr>
              <w:t>4</w:t>
            </w:r>
          </w:p>
        </w:tc>
        <w:tc>
          <w:tcPr>
            <w:tcW w:w="1048" w:type="pct"/>
            <w:shd w:val="clear" w:color="auto" w:fill="auto"/>
            <w:vAlign w:val="center"/>
          </w:tcPr>
          <w:p>
            <w:pPr>
              <w:adjustRightInd w:val="0"/>
              <w:snapToGrid w:val="0"/>
              <w:spacing w:line="240" w:lineRule="auto"/>
              <w:ind w:firstLine="0" w:firstLineChars="0"/>
              <w:jc w:val="center"/>
              <w:rPr>
                <w:sz w:val="21"/>
              </w:rPr>
            </w:pPr>
            <w:r>
              <w:rPr>
                <w:sz w:val="21"/>
              </w:rPr>
              <w:t>螺旋压榨机</w:t>
            </w:r>
          </w:p>
        </w:tc>
        <w:tc>
          <w:tcPr>
            <w:tcW w:w="2079" w:type="pct"/>
            <w:shd w:val="clear" w:color="auto" w:fill="auto"/>
            <w:vAlign w:val="center"/>
          </w:tcPr>
          <w:p>
            <w:pPr>
              <w:adjustRightInd w:val="0"/>
              <w:snapToGrid w:val="0"/>
              <w:spacing w:line="240" w:lineRule="auto"/>
              <w:ind w:firstLine="0" w:firstLineChars="0"/>
              <w:jc w:val="center"/>
              <w:rPr>
                <w:sz w:val="21"/>
              </w:rPr>
            </w:pPr>
            <w:r>
              <w:rPr>
                <w:sz w:val="21"/>
              </w:rPr>
              <w:t>W=1.2m</w:t>
            </w:r>
            <w:r>
              <w:rPr>
                <w:sz w:val="21"/>
                <w:vertAlign w:val="superscript"/>
              </w:rPr>
              <w:t>3</w:t>
            </w:r>
            <w:r>
              <w:rPr>
                <w:sz w:val="21"/>
              </w:rPr>
              <w:t>/h</w:t>
            </w: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rFonts w:ascii="Times New Roman" w:hAnsi="Times New Roman" w:cs="宋体"/>
                <w:b/>
                <w:bCs/>
                <w:smallCaps/>
                <w:kern w:val="0"/>
                <w:sz w:val="21"/>
              </w:rPr>
            </w:pPr>
            <w:r>
              <w:rPr>
                <w:rFonts w:hint="eastAsia"/>
                <w:b/>
                <w:bCs/>
                <w:kern w:val="0"/>
                <w:sz w:val="21"/>
              </w:rPr>
              <w:t>/</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5000" w:type="pct"/>
            <w:gridSpan w:val="6"/>
            <w:shd w:val="clear" w:color="auto" w:fill="auto"/>
            <w:vAlign w:val="center"/>
          </w:tcPr>
          <w:p>
            <w:pPr>
              <w:widowControl/>
              <w:spacing w:line="240" w:lineRule="auto"/>
              <w:ind w:firstLine="0" w:firstLineChars="0"/>
              <w:jc w:val="center"/>
              <w:rPr>
                <w:b/>
                <w:bCs/>
                <w:kern w:val="0"/>
                <w:sz w:val="21"/>
              </w:rPr>
            </w:pPr>
            <w:r>
              <w:rPr>
                <w:rFonts w:hint="eastAsia"/>
                <w:b/>
                <w:bCs/>
                <w:kern w:val="0"/>
                <w:sz w:val="21"/>
              </w:rPr>
              <w:t>提升改造新增设备</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排泥泵</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5</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调节池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2</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潜水推流器</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6</w:t>
            </w:r>
          </w:p>
        </w:tc>
        <w:tc>
          <w:tcPr>
            <w:tcW w:w="460" w:type="pct"/>
            <w:vMerge w:val="restart"/>
            <w:shd w:val="clear" w:color="auto" w:fill="auto"/>
            <w:vAlign w:val="center"/>
          </w:tcPr>
          <w:p>
            <w:pPr>
              <w:widowControl/>
              <w:spacing w:line="240" w:lineRule="auto"/>
              <w:ind w:firstLine="0" w:firstLineChars="0"/>
              <w:jc w:val="center"/>
              <w:rPr>
                <w:kern w:val="0"/>
                <w:sz w:val="21"/>
              </w:rPr>
            </w:pPr>
            <w:r>
              <w:rPr>
                <w:rFonts w:hint="eastAsia"/>
                <w:kern w:val="0"/>
                <w:sz w:val="21"/>
              </w:rPr>
              <w:t>A段好氧池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3</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混合液回流泵</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8</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4</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ORP仪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5</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DO仪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6</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搅拌机</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8</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7</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填料</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vertAlign w:val="superscript"/>
              </w:rPr>
            </w:pPr>
            <w:r>
              <w:rPr>
                <w:rFonts w:hint="eastAsia" w:cs="宋体"/>
                <w:kern w:val="0"/>
                <w:sz w:val="21"/>
              </w:rPr>
              <w:t>m</w:t>
            </w:r>
            <w:r>
              <w:rPr>
                <w:rFonts w:hint="eastAsia" w:cs="宋体"/>
                <w:kern w:val="0"/>
                <w:sz w:val="21"/>
                <w:vertAlign w:val="superscript"/>
              </w:rPr>
              <w:t>2</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2250</w:t>
            </w:r>
          </w:p>
        </w:tc>
        <w:tc>
          <w:tcPr>
            <w:tcW w:w="460" w:type="pct"/>
            <w:vMerge w:val="restart"/>
            <w:shd w:val="clear" w:color="auto" w:fill="auto"/>
            <w:vAlign w:val="center"/>
          </w:tcPr>
          <w:p>
            <w:pPr>
              <w:widowControl/>
              <w:spacing w:line="240" w:lineRule="auto"/>
              <w:ind w:firstLine="0" w:firstLineChars="0"/>
              <w:jc w:val="center"/>
              <w:rPr>
                <w:kern w:val="0"/>
                <w:sz w:val="21"/>
              </w:rPr>
            </w:pPr>
            <w:r>
              <w:rPr>
                <w:rFonts w:hint="eastAsia"/>
                <w:kern w:val="0"/>
                <w:sz w:val="21"/>
              </w:rPr>
              <w:t>高效生物滤池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8</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曝气系统</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2930</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9</w:t>
            </w:r>
          </w:p>
        </w:tc>
        <w:tc>
          <w:tcPr>
            <w:tcW w:w="1048" w:type="pct"/>
            <w:shd w:val="clear" w:color="auto" w:fill="auto"/>
            <w:vAlign w:val="center"/>
          </w:tcPr>
          <w:p>
            <w:pPr>
              <w:adjustRightInd w:val="0"/>
              <w:snapToGrid w:val="0"/>
              <w:spacing w:line="240" w:lineRule="auto"/>
              <w:ind w:firstLine="0" w:firstLineChars="0"/>
              <w:jc w:val="center"/>
              <w:rPr>
                <w:rFonts w:ascii="Times New Roman" w:hAnsi="Times New Roman" w:cs="宋体"/>
                <w:smallCaps/>
                <w:sz w:val="21"/>
              </w:rPr>
            </w:pPr>
            <w:r>
              <w:rPr>
                <w:rFonts w:hint="eastAsia"/>
                <w:sz w:val="21"/>
              </w:rPr>
              <w:t>ORP仪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10</w:t>
            </w:r>
          </w:p>
        </w:tc>
        <w:tc>
          <w:tcPr>
            <w:tcW w:w="1048" w:type="pct"/>
            <w:shd w:val="clear" w:color="auto" w:fill="auto"/>
            <w:vAlign w:val="center"/>
          </w:tcPr>
          <w:p>
            <w:pPr>
              <w:adjustRightInd w:val="0"/>
              <w:snapToGrid w:val="0"/>
              <w:spacing w:line="240" w:lineRule="auto"/>
              <w:ind w:firstLine="0" w:firstLineChars="0"/>
              <w:jc w:val="center"/>
              <w:rPr>
                <w:rFonts w:ascii="Times New Roman" w:hAnsi="Times New Roman" w:cs="宋体"/>
                <w:smallCaps/>
                <w:sz w:val="21"/>
              </w:rPr>
            </w:pPr>
            <w:r>
              <w:rPr>
                <w:rFonts w:hint="eastAsia"/>
                <w:sz w:val="21"/>
              </w:rPr>
              <w:t>DO仪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12</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碳源投加装置</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12</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反冲洗水泵</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5</w:t>
            </w:r>
          </w:p>
        </w:tc>
        <w:tc>
          <w:tcPr>
            <w:tcW w:w="460" w:type="pct"/>
            <w:vMerge w:val="continue"/>
            <w:shd w:val="clear" w:color="auto" w:fill="auto"/>
            <w:vAlign w:val="center"/>
          </w:tcPr>
          <w:p>
            <w:pPr>
              <w:widowControl/>
              <w:spacing w:line="240" w:lineRule="auto"/>
              <w:ind w:firstLine="0" w:firstLineChars="0"/>
              <w:jc w:val="center"/>
              <w:rPr>
                <w:kern w:val="0"/>
                <w:sz w:val="21"/>
              </w:rPr>
            </w:pP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13</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风机</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3</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（2用1备）</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14</w:t>
            </w:r>
          </w:p>
        </w:tc>
        <w:tc>
          <w:tcPr>
            <w:tcW w:w="1048" w:type="pct"/>
            <w:shd w:val="clear" w:color="auto" w:fill="auto"/>
            <w:vAlign w:val="center"/>
          </w:tcPr>
          <w:p>
            <w:pPr>
              <w:adjustRightInd w:val="0"/>
              <w:snapToGrid w:val="0"/>
              <w:spacing w:line="240" w:lineRule="auto"/>
              <w:ind w:firstLine="0" w:firstLineChars="0"/>
              <w:jc w:val="center"/>
              <w:rPr>
                <w:sz w:val="21"/>
              </w:rPr>
            </w:pPr>
            <w:r>
              <w:rPr>
                <w:rFonts w:hint="eastAsia"/>
                <w:sz w:val="21"/>
              </w:rPr>
              <w:t>碳源投加装置</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UASB</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15</w:t>
            </w:r>
          </w:p>
        </w:tc>
        <w:tc>
          <w:tcPr>
            <w:tcW w:w="1048" w:type="pct"/>
            <w:shd w:val="clear" w:color="auto" w:fill="auto"/>
            <w:vAlign w:val="center"/>
          </w:tcPr>
          <w:p>
            <w:pPr>
              <w:adjustRightInd w:val="0"/>
              <w:snapToGrid w:val="0"/>
              <w:spacing w:line="240" w:lineRule="auto"/>
              <w:ind w:firstLine="0" w:firstLineChars="0"/>
              <w:rPr>
                <w:sz w:val="21"/>
              </w:rPr>
            </w:pPr>
            <w:r>
              <w:rPr>
                <w:rFonts w:hint="eastAsia"/>
                <w:sz w:val="21"/>
              </w:rPr>
              <w:t>环保型符合氧化剂储罐</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个</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加药库房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16</w:t>
            </w:r>
          </w:p>
        </w:tc>
        <w:tc>
          <w:tcPr>
            <w:tcW w:w="1048" w:type="pct"/>
            <w:shd w:val="clear" w:color="auto" w:fill="auto"/>
            <w:vAlign w:val="center"/>
          </w:tcPr>
          <w:p>
            <w:pPr>
              <w:adjustRightInd w:val="0"/>
              <w:snapToGrid w:val="0"/>
              <w:spacing w:line="240" w:lineRule="auto"/>
              <w:ind w:firstLine="420"/>
              <w:rPr>
                <w:sz w:val="21"/>
              </w:rPr>
            </w:pPr>
            <w:r>
              <w:rPr>
                <w:rFonts w:hint="eastAsia"/>
                <w:sz w:val="21"/>
              </w:rPr>
              <w:t>COD在线监测仪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格栅井</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17</w:t>
            </w:r>
          </w:p>
        </w:tc>
        <w:tc>
          <w:tcPr>
            <w:tcW w:w="1048" w:type="pct"/>
            <w:shd w:val="clear" w:color="auto" w:fill="auto"/>
            <w:vAlign w:val="center"/>
          </w:tcPr>
          <w:p>
            <w:pPr>
              <w:adjustRightInd w:val="0"/>
              <w:snapToGrid w:val="0"/>
              <w:spacing w:line="240" w:lineRule="auto"/>
              <w:ind w:firstLine="420"/>
              <w:rPr>
                <w:sz w:val="21"/>
              </w:rPr>
            </w:pPr>
            <w:r>
              <w:rPr>
                <w:rFonts w:hint="eastAsia"/>
                <w:sz w:val="21"/>
              </w:rPr>
              <w:t>COD在线监测仪</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ascii="Times New Roman" w:hAnsi="Times New Roman" w:cs="宋体"/>
                <w:smallCaps/>
                <w:kern w:val="0"/>
                <w:sz w:val="21"/>
              </w:rPr>
            </w:pPr>
            <w:r>
              <w:rPr>
                <w:rFonts w:hint="eastAsia" w:cs="宋体"/>
                <w:kern w:val="0"/>
                <w:sz w:val="21"/>
              </w:rPr>
              <w:t>套</w:t>
            </w:r>
          </w:p>
        </w:tc>
        <w:tc>
          <w:tcPr>
            <w:tcW w:w="450" w:type="pct"/>
            <w:shd w:val="clear" w:color="auto" w:fill="auto"/>
            <w:vAlign w:val="center"/>
          </w:tcPr>
          <w:p>
            <w:pPr>
              <w:widowControl/>
              <w:spacing w:line="240" w:lineRule="auto"/>
              <w:ind w:firstLine="0" w:firstLineChars="0"/>
              <w:jc w:val="center"/>
              <w:rPr>
                <w:rFonts w:ascii="Times New Roman" w:hAnsi="Times New Roman" w:cs="宋体"/>
                <w:smallCaps/>
                <w:kern w:val="0"/>
                <w:sz w:val="21"/>
              </w:rPr>
            </w:pPr>
            <w:r>
              <w:rPr>
                <w:rFonts w:hint="eastAsia"/>
                <w:kern w:val="0"/>
                <w:sz w:val="21"/>
              </w:rPr>
              <w:t>1</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流量计井</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18</w:t>
            </w:r>
          </w:p>
        </w:tc>
        <w:tc>
          <w:tcPr>
            <w:tcW w:w="1048" w:type="pct"/>
            <w:shd w:val="clear" w:color="auto" w:fill="auto"/>
            <w:vAlign w:val="center"/>
          </w:tcPr>
          <w:p>
            <w:pPr>
              <w:adjustRightInd w:val="0"/>
              <w:snapToGrid w:val="0"/>
              <w:spacing w:line="240" w:lineRule="auto"/>
              <w:ind w:firstLine="420"/>
              <w:rPr>
                <w:sz w:val="21"/>
              </w:rPr>
            </w:pPr>
            <w:r>
              <w:rPr>
                <w:rFonts w:hint="eastAsia"/>
                <w:sz w:val="21"/>
              </w:rPr>
              <w:t>气动隔膜泵</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4</w:t>
            </w:r>
          </w:p>
        </w:tc>
        <w:tc>
          <w:tcPr>
            <w:tcW w:w="460" w:type="pct"/>
            <w:shd w:val="clear" w:color="auto" w:fill="auto"/>
            <w:vAlign w:val="center"/>
          </w:tcPr>
          <w:p>
            <w:pPr>
              <w:widowControl/>
              <w:spacing w:line="240" w:lineRule="auto"/>
              <w:ind w:firstLine="0" w:firstLineChars="0"/>
              <w:jc w:val="center"/>
              <w:rPr>
                <w:kern w:val="0"/>
                <w:sz w:val="21"/>
              </w:rPr>
            </w:pPr>
            <w:r>
              <w:rPr>
                <w:rFonts w:hint="eastAsia"/>
                <w:kern w:val="0"/>
                <w:sz w:val="21"/>
              </w:rPr>
              <w:t>储泥池</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19</w:t>
            </w:r>
          </w:p>
        </w:tc>
        <w:tc>
          <w:tcPr>
            <w:tcW w:w="1048" w:type="pct"/>
            <w:shd w:val="clear" w:color="auto" w:fill="auto"/>
            <w:vAlign w:val="center"/>
          </w:tcPr>
          <w:p>
            <w:pPr>
              <w:adjustRightInd w:val="0"/>
              <w:snapToGrid w:val="0"/>
              <w:spacing w:line="240" w:lineRule="auto"/>
              <w:ind w:firstLine="420"/>
              <w:rPr>
                <w:sz w:val="21"/>
              </w:rPr>
            </w:pPr>
            <w:r>
              <w:rPr>
                <w:rFonts w:hint="eastAsia"/>
                <w:sz w:val="21"/>
              </w:rPr>
              <w:t>隔膜式高压板框机</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2</w:t>
            </w:r>
          </w:p>
        </w:tc>
        <w:tc>
          <w:tcPr>
            <w:tcW w:w="460" w:type="pct"/>
            <w:shd w:val="clear" w:color="auto" w:fill="auto"/>
            <w:vAlign w:val="center"/>
          </w:tcPr>
          <w:p>
            <w:pPr>
              <w:widowControl/>
              <w:spacing w:line="240" w:lineRule="auto"/>
              <w:ind w:firstLine="0" w:firstLineChars="0"/>
              <w:rPr>
                <w:kern w:val="0"/>
                <w:sz w:val="21"/>
              </w:rPr>
            </w:pPr>
            <w:r>
              <w:rPr>
                <w:rFonts w:hint="eastAsia"/>
                <w:kern w:val="0"/>
                <w:sz w:val="21"/>
              </w:rPr>
              <w:t>污泥脱水机房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20</w:t>
            </w:r>
          </w:p>
        </w:tc>
        <w:tc>
          <w:tcPr>
            <w:tcW w:w="1048" w:type="pct"/>
            <w:shd w:val="clear" w:color="auto" w:fill="auto"/>
            <w:vAlign w:val="center"/>
          </w:tcPr>
          <w:p>
            <w:pPr>
              <w:adjustRightInd w:val="0"/>
              <w:snapToGrid w:val="0"/>
              <w:spacing w:line="240" w:lineRule="auto"/>
              <w:ind w:firstLine="420"/>
              <w:rPr>
                <w:sz w:val="21"/>
              </w:rPr>
            </w:pPr>
            <w:r>
              <w:rPr>
                <w:rFonts w:hint="eastAsia"/>
                <w:sz w:val="21"/>
              </w:rPr>
              <w:t>机械叉车</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vMerge w:val="restart"/>
            <w:shd w:val="clear" w:color="auto" w:fill="auto"/>
            <w:vAlign w:val="center"/>
          </w:tcPr>
          <w:p>
            <w:pPr>
              <w:widowControl/>
              <w:spacing w:line="240" w:lineRule="auto"/>
              <w:ind w:firstLine="0" w:firstLineChars="0"/>
              <w:rPr>
                <w:kern w:val="0"/>
                <w:sz w:val="21"/>
              </w:rPr>
            </w:pPr>
            <w:r>
              <w:rPr>
                <w:rFonts w:hint="eastAsia"/>
                <w:kern w:val="0"/>
                <w:sz w:val="21"/>
              </w:rPr>
              <w:t>污泥库房</w:t>
            </w:r>
          </w:p>
        </w:tc>
      </w:tr>
      <w:tr>
        <w:tblPrEx>
          <w:tblBorders>
            <w:top w:val="single" w:color="000000" w:sz="12" w:space="0"/>
            <w:left w:val="none" w:color="auto" w:sz="0" w:space="0"/>
            <w:bottom w:val="single" w:color="000000" w:sz="12" w:space="0"/>
            <w:right w:val="none" w:color="auto" w:sz="0" w:space="0"/>
            <w:insideH w:val="single" w:color="000000" w:sz="8" w:space="0"/>
            <w:insideV w:val="single" w:color="000000" w:sz="8" w:space="0"/>
          </w:tblBorders>
          <w:tblCellMar>
            <w:top w:w="0" w:type="dxa"/>
            <w:left w:w="108" w:type="dxa"/>
            <w:bottom w:w="0" w:type="dxa"/>
            <w:right w:w="108" w:type="dxa"/>
          </w:tblCellMar>
        </w:tblPrEx>
        <w:trPr>
          <w:trHeight w:val="300" w:hRule="atLeast"/>
          <w:jc w:val="center"/>
        </w:trPr>
        <w:tc>
          <w:tcPr>
            <w:tcW w:w="446" w:type="pct"/>
            <w:shd w:val="clear" w:color="auto" w:fill="auto"/>
            <w:vAlign w:val="center"/>
          </w:tcPr>
          <w:p>
            <w:pPr>
              <w:adjustRightInd w:val="0"/>
              <w:snapToGrid w:val="0"/>
              <w:spacing w:line="240" w:lineRule="auto"/>
              <w:ind w:firstLine="0" w:firstLineChars="0"/>
              <w:jc w:val="center"/>
              <w:rPr>
                <w:sz w:val="21"/>
              </w:rPr>
            </w:pPr>
            <w:r>
              <w:rPr>
                <w:rFonts w:hint="eastAsia"/>
                <w:sz w:val="21"/>
              </w:rPr>
              <w:t>21</w:t>
            </w:r>
          </w:p>
        </w:tc>
        <w:tc>
          <w:tcPr>
            <w:tcW w:w="1048" w:type="pct"/>
            <w:shd w:val="clear" w:color="auto" w:fill="auto"/>
            <w:vAlign w:val="center"/>
          </w:tcPr>
          <w:p>
            <w:pPr>
              <w:adjustRightInd w:val="0"/>
              <w:snapToGrid w:val="0"/>
              <w:spacing w:line="240" w:lineRule="auto"/>
              <w:ind w:firstLine="420"/>
              <w:rPr>
                <w:sz w:val="21"/>
              </w:rPr>
            </w:pPr>
            <w:r>
              <w:rPr>
                <w:rFonts w:hint="eastAsia"/>
                <w:sz w:val="21"/>
              </w:rPr>
              <w:t>电动葫芦</w:t>
            </w:r>
          </w:p>
        </w:tc>
        <w:tc>
          <w:tcPr>
            <w:tcW w:w="2079" w:type="pct"/>
            <w:shd w:val="clear" w:color="auto" w:fill="auto"/>
            <w:vAlign w:val="center"/>
          </w:tcPr>
          <w:p>
            <w:pPr>
              <w:adjustRightInd w:val="0"/>
              <w:snapToGrid w:val="0"/>
              <w:spacing w:line="240" w:lineRule="auto"/>
              <w:ind w:firstLine="0" w:firstLineChars="0"/>
              <w:jc w:val="center"/>
              <w:rPr>
                <w:sz w:val="21"/>
              </w:rPr>
            </w:pPr>
          </w:p>
        </w:tc>
        <w:tc>
          <w:tcPr>
            <w:tcW w:w="516" w:type="pct"/>
            <w:shd w:val="clear" w:color="auto" w:fill="auto"/>
            <w:vAlign w:val="center"/>
          </w:tcPr>
          <w:p>
            <w:pPr>
              <w:widowControl/>
              <w:spacing w:line="240" w:lineRule="auto"/>
              <w:ind w:firstLine="0" w:firstLineChars="0"/>
              <w:jc w:val="center"/>
              <w:rPr>
                <w:rFonts w:cs="宋体"/>
                <w:kern w:val="0"/>
                <w:sz w:val="21"/>
              </w:rPr>
            </w:pPr>
            <w:r>
              <w:rPr>
                <w:rFonts w:hint="eastAsia" w:cs="宋体"/>
                <w:kern w:val="0"/>
                <w:sz w:val="21"/>
              </w:rPr>
              <w:t>台</w:t>
            </w:r>
          </w:p>
        </w:tc>
        <w:tc>
          <w:tcPr>
            <w:tcW w:w="450" w:type="pct"/>
            <w:shd w:val="clear" w:color="auto" w:fill="auto"/>
            <w:vAlign w:val="center"/>
          </w:tcPr>
          <w:p>
            <w:pPr>
              <w:widowControl/>
              <w:spacing w:line="240" w:lineRule="auto"/>
              <w:ind w:firstLine="0" w:firstLineChars="0"/>
              <w:jc w:val="center"/>
              <w:rPr>
                <w:kern w:val="0"/>
                <w:sz w:val="21"/>
              </w:rPr>
            </w:pPr>
            <w:r>
              <w:rPr>
                <w:rFonts w:hint="eastAsia"/>
                <w:kern w:val="0"/>
                <w:sz w:val="21"/>
              </w:rPr>
              <w:t>1</w:t>
            </w:r>
          </w:p>
        </w:tc>
        <w:tc>
          <w:tcPr>
            <w:tcW w:w="460" w:type="pct"/>
            <w:vMerge w:val="continue"/>
            <w:shd w:val="clear" w:color="auto" w:fill="auto"/>
            <w:vAlign w:val="center"/>
          </w:tcPr>
          <w:p>
            <w:pPr>
              <w:widowControl/>
              <w:spacing w:line="240" w:lineRule="auto"/>
              <w:ind w:firstLine="0" w:firstLineChars="0"/>
              <w:rPr>
                <w:b/>
                <w:bCs/>
                <w:kern w:val="0"/>
                <w:sz w:val="21"/>
              </w:rPr>
            </w:pPr>
          </w:p>
        </w:tc>
      </w:tr>
    </w:tbl>
    <w:p>
      <w:pPr>
        <w:pStyle w:val="6"/>
        <w:rPr>
          <w:kern w:val="21"/>
        </w:rPr>
      </w:pPr>
      <w:bookmarkStart w:id="82" w:name="_Toc20860"/>
      <w:r>
        <w:rPr>
          <w:kern w:val="21"/>
        </w:rPr>
        <w:t>2.2.4主要构建筑物</w:t>
      </w:r>
      <w:bookmarkEnd w:id="82"/>
    </w:p>
    <w:p>
      <w:pPr>
        <w:ind w:firstLine="480"/>
        <w:rPr>
          <w:rFonts w:ascii="Times New Roman" w:hAnsi="Times New Roman"/>
          <w:kern w:val="21"/>
        </w:rPr>
      </w:pPr>
      <w:r>
        <w:rPr>
          <w:rFonts w:ascii="Times New Roman" w:hAnsi="Times New Roman"/>
          <w:kern w:val="21"/>
        </w:rPr>
        <w:t>本企业主要构筑物概况见表2.2-5。</w:t>
      </w:r>
    </w:p>
    <w:p>
      <w:pPr>
        <w:pStyle w:val="220"/>
        <w:ind w:firstLine="482"/>
        <w:rPr>
          <w:kern w:val="21"/>
        </w:rPr>
      </w:pPr>
      <w:r>
        <w:rPr>
          <w:kern w:val="21"/>
        </w:rPr>
        <w:t>表2.2-5</w:t>
      </w:r>
      <w:r>
        <w:rPr>
          <w:kern w:val="21"/>
        </w:rPr>
        <w:tab/>
      </w:r>
      <w:r>
        <w:rPr>
          <w:kern w:val="21"/>
        </w:rPr>
        <w:t>主要构筑物概况</w:t>
      </w:r>
    </w:p>
    <w:p>
      <w:pPr>
        <w:pStyle w:val="220"/>
        <w:ind w:firstLine="482"/>
        <w:rPr>
          <w:kern w:val="21"/>
        </w:rPr>
      </w:pPr>
    </w:p>
    <w:tbl>
      <w:tblPr>
        <w:tblStyle w:val="4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2"/>
        <w:gridCol w:w="936"/>
        <w:gridCol w:w="1194"/>
        <w:gridCol w:w="1899"/>
        <w:gridCol w:w="1146"/>
        <w:gridCol w:w="1554"/>
        <w:gridCol w:w="1783"/>
        <w:gridCol w:w="7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41"/>
              <w:tabs>
                <w:tab w:val="center" w:pos="4153"/>
                <w:tab w:val="left" w:pos="6845"/>
              </w:tabs>
              <w:spacing w:line="240" w:lineRule="auto"/>
              <w:ind w:firstLine="0" w:firstLineChars="0"/>
              <w:jc w:val="center"/>
              <w:rPr>
                <w:b/>
                <w:bCs/>
              </w:rPr>
            </w:pPr>
            <w:r>
              <w:rPr>
                <w:rFonts w:hint="eastAsia"/>
                <w:b/>
                <w:bCs/>
              </w:rPr>
              <w:t>工程类别</w:t>
            </w:r>
          </w:p>
        </w:tc>
        <w:tc>
          <w:tcPr>
            <w:tcW w:w="615" w:type="pct"/>
          </w:tcPr>
          <w:p>
            <w:pPr>
              <w:pStyle w:val="41"/>
              <w:tabs>
                <w:tab w:val="center" w:pos="4153"/>
                <w:tab w:val="left" w:pos="6845"/>
              </w:tabs>
              <w:spacing w:line="240" w:lineRule="auto"/>
              <w:ind w:firstLine="0" w:firstLineChars="0"/>
              <w:jc w:val="center"/>
              <w:rPr>
                <w:b/>
                <w:bCs/>
              </w:rPr>
            </w:pPr>
            <w:r>
              <w:rPr>
                <w:rFonts w:hint="eastAsia"/>
                <w:b/>
                <w:bCs/>
              </w:rPr>
              <w:t>名称</w:t>
            </w:r>
          </w:p>
        </w:tc>
        <w:tc>
          <w:tcPr>
            <w:tcW w:w="956" w:type="pct"/>
          </w:tcPr>
          <w:p>
            <w:pPr>
              <w:pStyle w:val="41"/>
              <w:tabs>
                <w:tab w:val="center" w:pos="4153"/>
                <w:tab w:val="left" w:pos="6845"/>
              </w:tabs>
              <w:spacing w:line="240" w:lineRule="auto"/>
              <w:ind w:firstLine="0" w:firstLineChars="0"/>
              <w:jc w:val="center"/>
              <w:rPr>
                <w:b/>
                <w:bCs/>
              </w:rPr>
            </w:pPr>
            <w:r>
              <w:rPr>
                <w:rFonts w:hint="eastAsia"/>
                <w:b/>
                <w:bCs/>
              </w:rPr>
              <w:t>尺寸规模（m）</w:t>
            </w:r>
          </w:p>
        </w:tc>
        <w:tc>
          <w:tcPr>
            <w:tcW w:w="604" w:type="pct"/>
          </w:tcPr>
          <w:p>
            <w:pPr>
              <w:pStyle w:val="41"/>
              <w:tabs>
                <w:tab w:val="center" w:pos="4153"/>
                <w:tab w:val="left" w:pos="6845"/>
              </w:tabs>
              <w:spacing w:line="240" w:lineRule="auto"/>
              <w:ind w:firstLine="0" w:firstLineChars="0"/>
              <w:jc w:val="center"/>
              <w:rPr>
                <w:b/>
                <w:bCs/>
              </w:rPr>
            </w:pPr>
            <w:r>
              <w:rPr>
                <w:rFonts w:hint="eastAsia"/>
                <w:b/>
                <w:bCs/>
              </w:rPr>
              <w:t>结构形式</w:t>
            </w:r>
          </w:p>
        </w:tc>
        <w:tc>
          <w:tcPr>
            <w:tcW w:w="796" w:type="pct"/>
          </w:tcPr>
          <w:p>
            <w:pPr>
              <w:pStyle w:val="41"/>
              <w:tabs>
                <w:tab w:val="center" w:pos="4153"/>
                <w:tab w:val="left" w:pos="6845"/>
              </w:tabs>
              <w:spacing w:line="240" w:lineRule="auto"/>
              <w:ind w:firstLine="0" w:firstLineChars="0"/>
              <w:jc w:val="center"/>
              <w:rPr>
                <w:b/>
                <w:bCs/>
              </w:rPr>
            </w:pPr>
            <w:r>
              <w:rPr>
                <w:rFonts w:hint="eastAsia"/>
                <w:b/>
                <w:bCs/>
              </w:rPr>
              <w:t>单位</w:t>
            </w:r>
          </w:p>
        </w:tc>
        <w:tc>
          <w:tcPr>
            <w:tcW w:w="910" w:type="pct"/>
          </w:tcPr>
          <w:p>
            <w:pPr>
              <w:pStyle w:val="41"/>
              <w:tabs>
                <w:tab w:val="center" w:pos="4153"/>
                <w:tab w:val="left" w:pos="6845"/>
              </w:tabs>
              <w:spacing w:line="240" w:lineRule="auto"/>
              <w:ind w:firstLine="0" w:firstLineChars="0"/>
              <w:jc w:val="center"/>
              <w:rPr>
                <w:b/>
                <w:bCs/>
              </w:rPr>
            </w:pPr>
            <w:r>
              <w:rPr>
                <w:rFonts w:hint="eastAsia"/>
                <w:b/>
                <w:bCs/>
              </w:rPr>
              <w:t>数量</w:t>
            </w:r>
          </w:p>
        </w:tc>
        <w:tc>
          <w:tcPr>
            <w:tcW w:w="282" w:type="pct"/>
          </w:tcPr>
          <w:p>
            <w:pPr>
              <w:pStyle w:val="41"/>
              <w:tabs>
                <w:tab w:val="center" w:pos="4153"/>
                <w:tab w:val="left" w:pos="6845"/>
              </w:tabs>
              <w:spacing w:line="240" w:lineRule="auto"/>
              <w:ind w:firstLine="0" w:firstLineChars="0"/>
              <w:jc w:val="center"/>
              <w:rPr>
                <w:b/>
                <w:bCs/>
              </w:rPr>
            </w:pPr>
            <w:r>
              <w:rPr>
                <w:rFonts w:hint="eastAsia"/>
                <w:b/>
                <w:bC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restart"/>
          </w:tcPr>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主体工程</w:t>
            </w:r>
          </w:p>
        </w:tc>
        <w:tc>
          <w:tcPr>
            <w:tcW w:w="486"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进水系统</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粗格栅及提升泵房</w:t>
            </w:r>
          </w:p>
        </w:tc>
        <w:tc>
          <w:tcPr>
            <w:tcW w:w="956" w:type="pct"/>
          </w:tcPr>
          <w:p>
            <w:pPr>
              <w:tabs>
                <w:tab w:val="left" w:pos="421"/>
                <w:tab w:val="center" w:pos="904"/>
              </w:tabs>
              <w:spacing w:line="240" w:lineRule="auto"/>
              <w:ind w:firstLine="0" w:firstLineChars="0"/>
              <w:jc w:val="center"/>
              <w:rPr>
                <w:rFonts w:ascii="Times New Roman" w:hAnsi="Times New Roman"/>
                <w:sz w:val="21"/>
              </w:rPr>
            </w:pPr>
            <w:r>
              <w:rPr>
                <w:rFonts w:ascii="Times New Roman" w:hAnsi="Times New Roman"/>
                <w:sz w:val="21"/>
              </w:rPr>
              <w:t>Ф12</w:t>
            </w:r>
            <w:r>
              <w:rPr>
                <w:rFonts w:ascii="Times New Roman" w:hAnsi="Times New Roman"/>
                <w:sz w:val="21"/>
                <w:lang w:val="en-GB"/>
              </w:rPr>
              <w:t>×</w:t>
            </w:r>
            <w:r>
              <w:rPr>
                <w:rFonts w:ascii="Times New Roman" w:hAnsi="Times New Roman"/>
                <w:sz w:val="21"/>
              </w:rPr>
              <w:t>8</w:t>
            </w:r>
          </w:p>
        </w:tc>
        <w:tc>
          <w:tcPr>
            <w:tcW w:w="604" w:type="pct"/>
          </w:tcPr>
          <w:p>
            <w:pPr>
              <w:pStyle w:val="41"/>
              <w:tabs>
                <w:tab w:val="left" w:pos="6845"/>
              </w:tabs>
              <w:spacing w:line="240" w:lineRule="auto"/>
              <w:ind w:firstLine="324" w:firstLineChars="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细格栅池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7.9</w:t>
            </w:r>
            <w:r>
              <w:rPr>
                <w:rFonts w:ascii="Times New Roman" w:hAnsi="Times New Roman"/>
                <w:sz w:val="21"/>
                <w:lang w:val="en-GB"/>
              </w:rPr>
              <w:t>×</w:t>
            </w:r>
            <w:r>
              <w:rPr>
                <w:rFonts w:ascii="Times New Roman" w:hAnsi="Times New Roman"/>
                <w:sz w:val="21"/>
              </w:rPr>
              <w:t>5</w:t>
            </w:r>
            <w:r>
              <w:rPr>
                <w:rFonts w:ascii="Times New Roman" w:hAnsi="Times New Roman"/>
                <w:sz w:val="21"/>
                <w:lang w:val="en-GB"/>
              </w:rPr>
              <w:t>×</w:t>
            </w:r>
            <w:r>
              <w:rPr>
                <w:rFonts w:ascii="Times New Roman" w:hAnsi="Times New Roman"/>
                <w:sz w:val="21"/>
              </w:rPr>
              <w:t>2.2</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调节池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（12，23.75）</w:t>
            </w:r>
            <w:r>
              <w:rPr>
                <w:rFonts w:ascii="Times New Roman" w:hAnsi="Times New Roman"/>
                <w:sz w:val="21"/>
                <w:lang w:val="en-GB"/>
              </w:rPr>
              <w:t>×</w:t>
            </w:r>
            <w:r>
              <w:rPr>
                <w:rFonts w:ascii="Times New Roman" w:hAnsi="Times New Roman"/>
                <w:sz w:val="21"/>
              </w:rPr>
              <w:t>43</w:t>
            </w:r>
            <w:r>
              <w:rPr>
                <w:rFonts w:ascii="Times New Roman" w:hAnsi="Times New Roman"/>
                <w:sz w:val="21"/>
                <w:lang w:val="en-GB"/>
              </w:rPr>
              <w:t>×</w:t>
            </w:r>
            <w:r>
              <w:rPr>
                <w:rFonts w:ascii="Times New Roman" w:hAnsi="Times New Roman"/>
                <w:sz w:val="21"/>
              </w:rPr>
              <w:t>4.7</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生化处理系统</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UASB水解池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51.3</w:t>
            </w:r>
            <w:r>
              <w:rPr>
                <w:rFonts w:ascii="Times New Roman" w:hAnsi="Times New Roman"/>
                <w:sz w:val="21"/>
                <w:lang w:val="en-GB"/>
              </w:rPr>
              <w:t>×</w:t>
            </w:r>
            <w:r>
              <w:rPr>
                <w:rFonts w:ascii="Times New Roman" w:hAnsi="Times New Roman"/>
                <w:sz w:val="21"/>
              </w:rPr>
              <w:t>51.8</w:t>
            </w:r>
            <w:r>
              <w:rPr>
                <w:rFonts w:ascii="Times New Roman" w:hAnsi="Times New Roman"/>
                <w:sz w:val="21"/>
                <w:lang w:val="en-GB"/>
              </w:rPr>
              <w:t>×</w:t>
            </w:r>
            <w:r>
              <w:rPr>
                <w:rFonts w:ascii="Times New Roman" w:hAnsi="Times New Roman"/>
                <w:sz w:val="21"/>
              </w:rPr>
              <w:t>8.8</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A/A/O池</w:t>
            </w:r>
          </w:p>
        </w:tc>
        <w:tc>
          <w:tcPr>
            <w:tcW w:w="956"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50.9</w:t>
            </w:r>
            <w:r>
              <w:rPr>
                <w:rFonts w:ascii="Times New Roman" w:hAnsi="Times New Roman"/>
                <w:sz w:val="21"/>
                <w:lang w:val="en-GB"/>
              </w:rPr>
              <w:t>×</w:t>
            </w:r>
            <w:r>
              <w:rPr>
                <w:rFonts w:ascii="Times New Roman" w:hAnsi="Times New Roman"/>
                <w:sz w:val="21"/>
              </w:rPr>
              <w:t>10</w:t>
            </w:r>
            <w:r>
              <w:rPr>
                <w:rFonts w:ascii="Times New Roman" w:hAnsi="Times New Roman"/>
                <w:sz w:val="21"/>
                <w:lang w:val="en-GB"/>
              </w:rPr>
              <w:t>×</w:t>
            </w:r>
            <w:r>
              <w:rPr>
                <w:rFonts w:ascii="Times New Roman" w:hAnsi="Times New Roman"/>
                <w:sz w:val="21"/>
              </w:rPr>
              <w:t>5.7</w:t>
            </w:r>
          </w:p>
        </w:tc>
        <w:tc>
          <w:tcPr>
            <w:tcW w:w="604"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A/A/O池隔出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缺氧池</w:t>
            </w:r>
          </w:p>
        </w:tc>
        <w:tc>
          <w:tcPr>
            <w:tcW w:w="95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04"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配水井</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（8.6</w:t>
            </w:r>
            <w:r>
              <w:rPr>
                <w:rFonts w:ascii="Times New Roman" w:hAnsi="Times New Roman"/>
                <w:sz w:val="21"/>
                <w:lang w:val="en-GB"/>
              </w:rPr>
              <w:t>×</w:t>
            </w:r>
            <w:r>
              <w:rPr>
                <w:rFonts w:ascii="Times New Roman" w:hAnsi="Times New Roman"/>
                <w:sz w:val="21"/>
              </w:rPr>
              <w:t>3+1/2</w:t>
            </w:r>
            <w:r>
              <w:rPr>
                <w:rFonts w:ascii="Times New Roman" w:hAnsi="Times New Roman"/>
                <w:sz w:val="21"/>
                <w:lang w:val="en-GB"/>
              </w:rPr>
              <w:t>×Ф</w:t>
            </w:r>
            <w:r>
              <w:rPr>
                <w:rFonts w:ascii="Times New Roman" w:hAnsi="Times New Roman"/>
                <w:sz w:val="21"/>
              </w:rPr>
              <w:t>4）</w:t>
            </w:r>
            <w:r>
              <w:rPr>
                <w:rFonts w:ascii="Times New Roman" w:hAnsi="Times New Roman"/>
                <w:sz w:val="21"/>
                <w:lang w:val="en-GB"/>
              </w:rPr>
              <w:t>×</w:t>
            </w:r>
            <w:r>
              <w:rPr>
                <w:rFonts w:ascii="Times New Roman" w:hAnsi="Times New Roman"/>
                <w:sz w:val="21"/>
              </w:rPr>
              <w:t>4.35</w:t>
            </w:r>
          </w:p>
        </w:tc>
        <w:tc>
          <w:tcPr>
            <w:tcW w:w="604" w:type="pct"/>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 xml:space="preserve">    </w:t>
            </w: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二沉池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lang w:val="en-GB"/>
              </w:rPr>
              <w:t>Ф</w:t>
            </w:r>
            <w:r>
              <w:rPr>
                <w:rFonts w:ascii="Times New Roman" w:hAnsi="Times New Roman"/>
                <w:sz w:val="21"/>
              </w:rPr>
              <w:t>24</w:t>
            </w:r>
            <w:r>
              <w:rPr>
                <w:rFonts w:ascii="Times New Roman" w:hAnsi="Times New Roman"/>
                <w:sz w:val="21"/>
                <w:lang w:val="en-GB"/>
              </w:rPr>
              <w:t>×</w:t>
            </w:r>
            <w:r>
              <w:rPr>
                <w:rFonts w:ascii="Times New Roman" w:hAnsi="Times New Roman"/>
                <w:sz w:val="21"/>
              </w:rPr>
              <w:t>4.1</w:t>
            </w:r>
          </w:p>
        </w:tc>
        <w:tc>
          <w:tcPr>
            <w:tcW w:w="604" w:type="pct"/>
          </w:tcPr>
          <w:p>
            <w:pPr>
              <w:pStyle w:val="41"/>
              <w:tabs>
                <w:tab w:val="left" w:pos="6845"/>
              </w:tabs>
              <w:spacing w:line="240" w:lineRule="auto"/>
              <w:ind w:firstLine="258" w:firstLineChars="0"/>
              <w:jc w:val="center"/>
              <w:rPr>
                <w:rFonts w:ascii="Times New Roman" w:hAnsi="Times New Roman"/>
                <w:sz w:val="21"/>
              </w:rPr>
            </w:pPr>
            <w:r>
              <w:rPr>
                <w:rFonts w:ascii="Times New Roman" w:hAnsi="Times New Roman"/>
                <w:sz w:val="21"/>
              </w:rPr>
              <w:t xml:space="preserve">  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w:t>
            </w:r>
          </w:p>
        </w:tc>
        <w:tc>
          <w:tcPr>
            <w:tcW w:w="282" w:type="pct"/>
          </w:tcPr>
          <w:p>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restar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物化处理系统</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芬顿氧化池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26</w:t>
            </w:r>
            <w:r>
              <w:rPr>
                <w:rFonts w:ascii="Times New Roman" w:hAnsi="Times New Roman"/>
                <w:sz w:val="21"/>
                <w:lang w:val="en-GB"/>
              </w:rPr>
              <w:t>×</w:t>
            </w:r>
            <w:r>
              <w:rPr>
                <w:rFonts w:ascii="Times New Roman" w:hAnsi="Times New Roman"/>
                <w:sz w:val="21"/>
              </w:rPr>
              <w:t>21.3</w:t>
            </w:r>
            <w:r>
              <w:rPr>
                <w:rFonts w:ascii="Times New Roman" w:hAnsi="Times New Roman"/>
                <w:sz w:val="21"/>
                <w:lang w:val="en-GB"/>
              </w:rPr>
              <w:t>×</w:t>
            </w:r>
            <w:r>
              <w:rPr>
                <w:rFonts w:ascii="Times New Roman" w:hAnsi="Times New Roman"/>
                <w:sz w:val="21"/>
              </w:rPr>
              <w:t>4.0</w:t>
            </w:r>
          </w:p>
        </w:tc>
        <w:tc>
          <w:tcPr>
            <w:tcW w:w="604" w:type="pct"/>
          </w:tcPr>
          <w:p>
            <w:pPr>
              <w:pStyle w:val="41"/>
              <w:tabs>
                <w:tab w:val="left" w:pos="6845"/>
              </w:tabs>
              <w:spacing w:line="240" w:lineRule="auto"/>
              <w:ind w:firstLine="462" w:firstLineChars="2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平流沉淀池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42.3</w:t>
            </w:r>
            <w:r>
              <w:rPr>
                <w:rFonts w:ascii="Times New Roman" w:hAnsi="Times New Roman"/>
                <w:sz w:val="21"/>
                <w:lang w:val="en-GB"/>
              </w:rPr>
              <w:t>×</w:t>
            </w:r>
            <w:r>
              <w:rPr>
                <w:rFonts w:ascii="Times New Roman" w:hAnsi="Times New Roman"/>
                <w:sz w:val="21"/>
              </w:rPr>
              <w:t>21.3</w:t>
            </w:r>
            <w:r>
              <w:rPr>
                <w:rFonts w:ascii="Times New Roman" w:hAnsi="Times New Roman"/>
                <w:sz w:val="21"/>
                <w:lang w:val="en-GB"/>
              </w:rPr>
              <w:t>×</w:t>
            </w:r>
            <w:r>
              <w:rPr>
                <w:rFonts w:ascii="Times New Roman" w:hAnsi="Times New Roman"/>
                <w:sz w:val="21"/>
              </w:rPr>
              <w:t>3.6</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w:t>
            </w:r>
          </w:p>
        </w:tc>
        <w:tc>
          <w:tcPr>
            <w:tcW w:w="282" w:type="pct"/>
          </w:tcPr>
          <w:p>
            <w:pPr>
              <w:pStyle w:val="41"/>
              <w:tabs>
                <w:tab w:val="center" w:pos="4153"/>
                <w:tab w:val="left" w:pos="6845"/>
              </w:tabs>
              <w:spacing w:line="240" w:lineRule="auto"/>
              <w:ind w:firstLine="0" w:firstLineChars="0"/>
              <w:jc w:val="center"/>
              <w:rPr>
                <w:rFonts w:ascii="Times New Roman" w:hAnsi="Times New Roman"/>
                <w:smallCaps/>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9" w:type="pct"/>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48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深度处理系统</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高效生物滤池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66.4</w:t>
            </w:r>
            <w:r>
              <w:rPr>
                <w:rFonts w:ascii="Times New Roman" w:hAnsi="Times New Roman"/>
                <w:sz w:val="21"/>
                <w:lang w:val="en-GB"/>
              </w:rPr>
              <w:t>×</w:t>
            </w:r>
            <w:r>
              <w:rPr>
                <w:rFonts w:ascii="Times New Roman" w:hAnsi="Times New Roman"/>
                <w:sz w:val="21"/>
              </w:rPr>
              <w:t>16</w:t>
            </w:r>
            <w:r>
              <w:rPr>
                <w:rFonts w:ascii="Times New Roman" w:hAnsi="Times New Roman"/>
                <w:sz w:val="21"/>
                <w:lang w:val="en-GB"/>
              </w:rPr>
              <w:t>×</w:t>
            </w:r>
            <w:r>
              <w:rPr>
                <w:rFonts w:ascii="Times New Roman" w:hAnsi="Times New Roman"/>
                <w:sz w:val="21"/>
              </w:rPr>
              <w:t>5.8</w:t>
            </w:r>
          </w:p>
        </w:tc>
        <w:tc>
          <w:tcPr>
            <w:tcW w:w="604" w:type="pct"/>
          </w:tcPr>
          <w:p>
            <w:pPr>
              <w:pStyle w:val="41"/>
              <w:tabs>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储运工程</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原辅料存放间</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vertAlign w:val="superscript"/>
              </w:rPr>
            </w:pPr>
            <w:r>
              <w:rPr>
                <w:rFonts w:ascii="Times New Roman" w:hAnsi="Times New Roman"/>
                <w:sz w:val="21"/>
              </w:rPr>
              <w:t>139m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公用及配套工程</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配电房</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20.0</w:t>
            </w:r>
            <w:r>
              <w:rPr>
                <w:rFonts w:ascii="Times New Roman" w:hAnsi="Times New Roman"/>
                <w:sz w:val="21"/>
                <w:lang w:val="en-GB"/>
              </w:rPr>
              <w:t>×</w:t>
            </w:r>
            <w:r>
              <w:rPr>
                <w:rFonts w:ascii="Times New Roman" w:hAnsi="Times New Roman"/>
                <w:sz w:val="21"/>
              </w:rPr>
              <w:t>10.0</w:t>
            </w:r>
          </w:p>
        </w:tc>
        <w:tc>
          <w:tcPr>
            <w:tcW w:w="604" w:type="pct"/>
          </w:tcPr>
          <w:p>
            <w:pPr>
              <w:pStyle w:val="41"/>
              <w:tabs>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辅助房</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1200m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办公楼</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1500m</w:t>
            </w:r>
            <w:r>
              <w:rPr>
                <w:rFonts w:ascii="Times New Roman" w:hAnsi="Times New Roman"/>
                <w:sz w:val="21"/>
                <w:vertAlign w:val="superscript"/>
              </w:rPr>
              <w:t>2</w:t>
            </w:r>
          </w:p>
        </w:tc>
        <w:tc>
          <w:tcPr>
            <w:tcW w:w="604" w:type="pct"/>
          </w:tcPr>
          <w:p>
            <w:pPr>
              <w:pStyle w:val="41"/>
              <w:tabs>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传达室</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36m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深度风机处理房</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96m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 xml:space="preserve">     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供电</w:t>
            </w:r>
          </w:p>
        </w:tc>
        <w:tc>
          <w:tcPr>
            <w:tcW w:w="3267" w:type="pct"/>
            <w:gridSpan w:val="4"/>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本工程用电由供电局引入，电路为双回路架空线至厂区变电所内，受电电压为10KV，电源可靠</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供水</w:t>
            </w:r>
          </w:p>
        </w:tc>
        <w:tc>
          <w:tcPr>
            <w:tcW w:w="3267" w:type="pct"/>
            <w:gridSpan w:val="4"/>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市政自来水仅用于厂区消防、生活等用水，设备冲洗、绿化等用水均使用厂内回用水</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hint="eastAsia" w:ascii="Times New Roman" w:hAnsi="Times New Roman"/>
                <w:sz w:val="21"/>
              </w:rPr>
              <w:t>排水</w:t>
            </w:r>
          </w:p>
        </w:tc>
        <w:tc>
          <w:tcPr>
            <w:tcW w:w="3267" w:type="pct"/>
            <w:gridSpan w:val="4"/>
          </w:tcPr>
          <w:p>
            <w:pPr>
              <w:pStyle w:val="41"/>
              <w:tabs>
                <w:tab w:val="center" w:pos="4153"/>
                <w:tab w:val="left" w:pos="6845"/>
              </w:tabs>
              <w:spacing w:line="240" w:lineRule="auto"/>
              <w:ind w:firstLine="0" w:firstLineChars="0"/>
              <w:rPr>
                <w:rFonts w:ascii="Times New Roman" w:hAnsi="Times New Roman"/>
                <w:sz w:val="21"/>
              </w:rPr>
            </w:pPr>
            <w:r>
              <w:rPr>
                <w:rFonts w:hint="eastAsia" w:ascii="Times New Roman" w:hAnsi="Times New Roman"/>
                <w:sz w:val="21"/>
              </w:rPr>
              <w:t>项目排水采取雨污分流制，雨水管网沿道路铺设。项目区内雨水经管道收集后接入园区雨水管网。项目运营期产生的生活污水、化验室废水全部进入污水处理系统处理。</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restart"/>
          </w:tcPr>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p>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环保工程</w:t>
            </w: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应急接收池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228m</w:t>
            </w:r>
            <w:r>
              <w:rPr>
                <w:rFonts w:ascii="Times New Roman" w:hAnsi="Times New Roman"/>
                <w:sz w:val="21"/>
                <w:vertAlign w:val="superscript"/>
              </w:rPr>
              <w:t>2</w:t>
            </w:r>
          </w:p>
        </w:tc>
        <w:tc>
          <w:tcPr>
            <w:tcW w:w="604" w:type="pct"/>
          </w:tcPr>
          <w:p>
            <w:pPr>
              <w:pStyle w:val="41"/>
              <w:tabs>
                <w:tab w:val="left" w:pos="473"/>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应急处理池</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400m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钢砼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污泥脱水间</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325m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危废暂存间</w:t>
            </w:r>
          </w:p>
        </w:tc>
        <w:tc>
          <w:tcPr>
            <w:tcW w:w="95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139m</w:t>
            </w:r>
            <w:r>
              <w:rPr>
                <w:rFonts w:ascii="Times New Roman" w:hAnsi="Times New Roman"/>
                <w:sz w:val="21"/>
                <w:vertAlign w:val="superscript"/>
              </w:rPr>
              <w:t>2</w:t>
            </w:r>
          </w:p>
        </w:tc>
        <w:tc>
          <w:tcPr>
            <w:tcW w:w="604" w:type="pct"/>
          </w:tcPr>
          <w:p>
            <w:pPr>
              <w:pStyle w:val="41"/>
              <w:tabs>
                <w:tab w:val="center" w:pos="4153"/>
                <w:tab w:val="left" w:pos="6845"/>
              </w:tabs>
              <w:spacing w:line="240" w:lineRule="auto"/>
              <w:ind w:firstLine="420"/>
              <w:jc w:val="center"/>
              <w:rPr>
                <w:rFonts w:ascii="Times New Roman" w:hAnsi="Times New Roman"/>
                <w:sz w:val="21"/>
              </w:rPr>
            </w:pPr>
            <w:r>
              <w:rPr>
                <w:rFonts w:ascii="Times New Roman" w:hAnsi="Times New Roman"/>
                <w:sz w:val="21"/>
              </w:rPr>
              <w:t>砖砼</w:t>
            </w:r>
          </w:p>
        </w:tc>
        <w:tc>
          <w:tcPr>
            <w:tcW w:w="796"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座</w:t>
            </w:r>
          </w:p>
        </w:tc>
        <w:tc>
          <w:tcPr>
            <w:tcW w:w="910"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1</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紫外线消毒系统</w:t>
            </w:r>
          </w:p>
        </w:tc>
        <w:tc>
          <w:tcPr>
            <w:tcW w:w="3267" w:type="pct"/>
            <w:gridSpan w:val="4"/>
          </w:tcPr>
          <w:p>
            <w:pPr>
              <w:pStyle w:val="41"/>
              <w:tabs>
                <w:tab w:val="left" w:pos="2348"/>
                <w:tab w:val="left" w:pos="6845"/>
              </w:tabs>
              <w:spacing w:line="240" w:lineRule="auto"/>
              <w:ind w:firstLine="0" w:firstLineChars="0"/>
              <w:jc w:val="center"/>
              <w:rPr>
                <w:rFonts w:ascii="Times New Roman" w:hAnsi="Times New Roman"/>
                <w:sz w:val="21"/>
              </w:rPr>
            </w:pPr>
            <w:r>
              <w:rPr>
                <w:rFonts w:ascii="Times New Roman" w:hAnsi="Times New Roman"/>
                <w:sz w:val="21"/>
              </w:rPr>
              <w:t>本项目在污水处理厂出水口设置2套紫外消毒器，对出水进行消毒处理</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5" w:type="pct"/>
            <w:gridSpan w:val="2"/>
            <w:vMerge w:val="continue"/>
          </w:tcPr>
          <w:p>
            <w:pPr>
              <w:pStyle w:val="41"/>
              <w:tabs>
                <w:tab w:val="center" w:pos="4153"/>
                <w:tab w:val="left" w:pos="6845"/>
              </w:tabs>
              <w:spacing w:line="240" w:lineRule="auto"/>
              <w:ind w:firstLine="0" w:firstLineChars="0"/>
              <w:jc w:val="center"/>
              <w:rPr>
                <w:rFonts w:ascii="Times New Roman" w:hAnsi="Times New Roman"/>
                <w:sz w:val="21"/>
              </w:rPr>
            </w:pPr>
          </w:p>
        </w:tc>
        <w:tc>
          <w:tcPr>
            <w:tcW w:w="615"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在线监控设备</w:t>
            </w:r>
          </w:p>
        </w:tc>
        <w:tc>
          <w:tcPr>
            <w:tcW w:w="3267" w:type="pct"/>
            <w:gridSpan w:val="4"/>
          </w:tcPr>
          <w:p>
            <w:pPr>
              <w:pStyle w:val="41"/>
              <w:tabs>
                <w:tab w:val="left" w:pos="2348"/>
                <w:tab w:val="left" w:pos="6845"/>
              </w:tabs>
              <w:spacing w:line="240" w:lineRule="auto"/>
              <w:ind w:firstLine="0" w:firstLineChars="0"/>
              <w:jc w:val="center"/>
              <w:rPr>
                <w:rFonts w:ascii="Times New Roman" w:hAnsi="Times New Roman"/>
                <w:sz w:val="21"/>
              </w:rPr>
            </w:pPr>
            <w:r>
              <w:rPr>
                <w:rFonts w:ascii="Times New Roman" w:hAnsi="Times New Roman"/>
                <w:sz w:val="21"/>
              </w:rPr>
              <w:t>2套在线监控设施，进水口安装PH,氨氮，总氮，流量在线监测仪，总排口PH,氨氮，总氮，总磷，流量在线监测仪</w:t>
            </w:r>
          </w:p>
        </w:tc>
        <w:tc>
          <w:tcPr>
            <w:tcW w:w="282" w:type="pct"/>
          </w:tcPr>
          <w:p>
            <w:pPr>
              <w:pStyle w:val="41"/>
              <w:tabs>
                <w:tab w:val="center" w:pos="4153"/>
                <w:tab w:val="left" w:pos="6845"/>
              </w:tabs>
              <w:spacing w:line="240" w:lineRule="auto"/>
              <w:ind w:firstLine="0" w:firstLineChars="0"/>
              <w:jc w:val="center"/>
              <w:rPr>
                <w:rFonts w:ascii="Times New Roman" w:hAnsi="Times New Roman"/>
                <w:sz w:val="21"/>
              </w:rPr>
            </w:pPr>
            <w:r>
              <w:rPr>
                <w:rFonts w:ascii="Times New Roman" w:hAnsi="Times New Roman"/>
                <w:sz w:val="21"/>
              </w:rPr>
              <w:t>/</w:t>
            </w:r>
          </w:p>
        </w:tc>
      </w:tr>
    </w:tbl>
    <w:p>
      <w:pPr>
        <w:pStyle w:val="220"/>
        <w:ind w:firstLine="482"/>
        <w:rPr>
          <w:kern w:val="21"/>
        </w:rPr>
        <w:sectPr>
          <w:headerReference r:id="rId13" w:type="default"/>
          <w:footerReference r:id="rId14" w:type="default"/>
          <w:pgSz w:w="11906" w:h="16838"/>
          <w:pgMar w:top="1440" w:right="1080" w:bottom="1440" w:left="1080" w:header="850" w:footer="992" w:gutter="0"/>
          <w:pgNumType w:start="1"/>
          <w:cols w:space="720" w:num="1"/>
          <w:docGrid w:type="lines" w:linePitch="318" w:charSpace="0"/>
        </w:sectPr>
      </w:pPr>
    </w:p>
    <w:p>
      <w:pPr>
        <w:pStyle w:val="220"/>
        <w:ind w:firstLine="0" w:firstLineChars="0"/>
        <w:jc w:val="both"/>
        <w:rPr>
          <w:kern w:val="21"/>
        </w:rPr>
      </w:pPr>
    </w:p>
    <w:p>
      <w:pPr>
        <w:pStyle w:val="6"/>
        <w:adjustRightInd w:val="0"/>
        <w:snapToGrid w:val="0"/>
        <w:jc w:val="both"/>
        <w:rPr>
          <w:kern w:val="21"/>
        </w:rPr>
      </w:pPr>
      <w:bookmarkStart w:id="83" w:name="_Toc1670"/>
      <w:r>
        <w:rPr>
          <w:kern w:val="21"/>
        </w:rPr>
        <w:t>2.2.5污水处理工艺流程</w:t>
      </w:r>
      <w:bookmarkEnd w:id="80"/>
      <w:bookmarkEnd w:id="83"/>
    </w:p>
    <w:p>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项目的污水处理工艺流程如下：粗格栅+提升泵+细格栅+调节池+UASB水解池+厌氧池+缺氧池+好氧池+二沉池+芬顿氧化池+高效生物滤池+出水监测池。</w:t>
      </w:r>
    </w:p>
    <w:p>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（1）工艺流程说明：</w:t>
      </w:r>
    </w:p>
    <w:p>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 xml:space="preserve"> 水解酸化：采用UASB池型，脉冲方式进水。通过水解酸化将废水中的大分子有机物分解成小分子有机物、将难生化降解物质转化为可降解物质，提高废水的可生化性。预处理的污水和含磷回流污泥进入水解酸化反应池进行磷的释放，为水解酸化段所进行的有机物水解反应提供最优的条件，为后续脱氮反应提供较充足的碳源。</w:t>
      </w:r>
    </w:p>
    <w:p>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厌氧除磷段：反应池内利用活性污泥反应池回流污泥携带的聚磷菌，大量吸收污水中溶解态磷，通过在厌氧除磷反应池设置的排泥出口，将一部分含磷污泥排出，达到除磷目的，一部分含磷污泥再回流到水解酸化池中进行放磷反应。</w:t>
      </w:r>
    </w:p>
    <w:p>
      <w:pPr>
        <w:pStyle w:val="41"/>
        <w:tabs>
          <w:tab w:val="center" w:pos="4153"/>
          <w:tab w:val="left" w:pos="6845"/>
        </w:tabs>
        <w:adjustRightInd w:val="0"/>
        <w:spacing w:line="360" w:lineRule="auto"/>
        <w:ind w:firstLine="480"/>
        <w:rPr>
          <w:rFonts w:ascii="宋体" w:hAnsi="宋体" w:cs="宋体"/>
        </w:rPr>
      </w:pPr>
      <w:r>
        <w:rPr>
          <w:rFonts w:hint="eastAsia" w:ascii="宋体" w:hAnsi="宋体" w:cs="宋体"/>
        </w:rPr>
        <w:t>缺氧段：在缺氧池内，反硝化细菌利用进水、含磷回流污泥中的有机物为碳源，利用活性炭污泥反应池混合液回流带入的硝酸盐进行反硝化脱氮。反硝化细菌将硝酸盐氮和亚硝酸盐氮还原为氮气，反应式为：</w:t>
      </w:r>
    </w:p>
    <w:p>
      <w:pPr>
        <w:pStyle w:val="41"/>
        <w:tabs>
          <w:tab w:val="left" w:pos="1066"/>
          <w:tab w:val="left" w:pos="6845"/>
        </w:tabs>
        <w:adjustRightInd w:val="0"/>
        <w:spacing w:line="360" w:lineRule="auto"/>
        <w:ind w:firstLine="480"/>
        <w:rPr>
          <w:rFonts w:ascii="宋体" w:hAnsi="宋体" w:cs="宋体"/>
          <w:vertAlign w:val="superscript"/>
        </w:rPr>
      </w:pPr>
      <w:r>
        <w:pict>
          <v:shape id="_x0000_s2076" o:spid="_x0000_s2076" o:spt="32" type="#_x0000_t32" style="position:absolute;left:0pt;flip:y;margin-left:184.55pt;margin-top:2.15pt;height:21.4pt;width:0.4pt;z-index:251666432;mso-width-relative:page;mso-height-relative:page;" filled="f" stroked="t" coordsize="21600,21600" o:gfxdata="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BYAAABkcnMvUEsBAhQAFAAAAAgA&#10;h07iQDC0ObzXAAAACAEAAA8AAAAAAAAAAQAgAAAAOAAAAGRycy9kb3ducmV2LnhtbFBLAQIUABQA&#10;AAAIAIdO4kA+We1CFAIAAO4DAAAOAAAAAAAAAAEAIAAAADwBAABkcnMvZTJvRG9jLnhtbFBLBQYA&#10;AAAABgAGAFkBAADCBQAAAAA=&#10;">
            <v:path arrowok="t"/>
            <v:fill on="f" focussize="0,0"/>
            <v:stroke color="#000000" endarrow="block"/>
            <v:imagedata o:title=""/>
            <o:lock v:ext="edit"/>
          </v:shape>
        </w:pict>
      </w:r>
      <w:r>
        <w:pict>
          <v:shape id="_x0000_s2077" o:spid="_x0000_s2077" o:spt="32" type="#_x0000_t32" style="position:absolute;left:0pt;flip:y;margin-left:152.1pt;margin-top:0.3pt;height:21.4pt;width:0.4pt;z-index:251665408;mso-width-relative:page;mso-height-relative:page;" filled="f" stroked="t" coordsize="21600,21600" o:gfxdata="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BYAAABkcnMvUEsBAhQAFAAA&#10;AAgAh07iQBGD31bXAAAABwEAAA8AAAAAAAAAAQAgAAAAOAAAAGRycy9kb3ducmV2LnhtbFBLAQIU&#10;ABQAAAAIAIdO4kDbbZpIFwIAAPIDAAAOAAAAAAAAAAEAIAAAADwBAABkcnMvZTJvRG9jLnhtbFBL&#10;BQYAAAAABgAGAFkBAADFBQAAAAA=&#10;">
            <v:path arrowok="t"/>
            <v:fill on="f" focussize="0,0"/>
            <v:stroke color="#000000" endarrow="block"/>
            <v:imagedata o:title=""/>
            <o:lock v:ext="edit"/>
          </v:shape>
        </w:pict>
      </w:r>
      <w:r>
        <w:pict>
          <v:shape id="_x0000_s2078" o:spid="_x0000_s2078" o:spt="32" type="#_x0000_t32" style="position:absolute;left:0pt;flip:y;margin-left:90.75pt;margin-top:10.8pt;height:0.7pt;width:32.05pt;z-index:251664384;mso-width-relative:page;mso-height-relative:page;" filled="f" stroked="t" coordsize="21600,21600" o:gfxdata="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2IJlRtcAAAAJAQAADwAAAAAAAAABACAAAAA4AAAAZHJzL2Rvd25y&#10;ZXYueG1sUEsBAhQAFAAAAAgAh07iQCKqIgkiAgAA/gMAAA4AAAAAAAAAAQAgAAAAPAEAAGRycy9l&#10;Mm9Eb2MueG1sUEsFBgAAAAAGAAYAWQEAANAFAAAAAA==&#10;">
            <v:path arrowok="t"/>
            <v:fill on="f" focussize="0,0"/>
            <v:stroke color="#000000" endarrow="block"/>
            <v:imagedata o:title=""/>
            <o:lock v:ext="edit"/>
          </v:shape>
        </w:pict>
      </w:r>
      <w:r>
        <w:rPr>
          <w:rFonts w:hint="eastAsia" w:ascii="宋体" w:hAnsi="宋体" w:cs="宋体"/>
        </w:rPr>
        <w:t>6NO</w:t>
      </w:r>
      <w:r>
        <w:rPr>
          <w:rFonts w:hint="eastAsia" w:ascii="宋体" w:hAnsi="宋体" w:cs="宋体"/>
          <w:vertAlign w:val="subscript"/>
        </w:rPr>
        <w:t>3</w:t>
      </w:r>
      <w:r>
        <w:rPr>
          <w:rFonts w:hint="eastAsia" w:ascii="宋体" w:hAnsi="宋体" w:cs="宋体"/>
        </w:rPr>
        <w:t>+5CH</w:t>
      </w:r>
      <w:r>
        <w:rPr>
          <w:rFonts w:hint="eastAsia" w:ascii="宋体" w:hAnsi="宋体" w:cs="宋体"/>
          <w:vertAlign w:val="subscript"/>
        </w:rPr>
        <w:t>3</w:t>
      </w:r>
      <w:r>
        <w:rPr>
          <w:rFonts w:hint="eastAsia" w:ascii="宋体" w:hAnsi="宋体" w:cs="宋体"/>
        </w:rPr>
        <w:t>OH       5CO</w:t>
      </w:r>
      <w:r>
        <w:rPr>
          <w:rFonts w:hint="eastAsia" w:ascii="宋体" w:hAnsi="宋体" w:cs="宋体"/>
          <w:vertAlign w:val="subscript"/>
        </w:rPr>
        <w:t>2</w:t>
      </w:r>
      <w:r>
        <w:rPr>
          <w:rFonts w:hint="eastAsia" w:ascii="宋体" w:hAnsi="宋体" w:cs="宋体"/>
        </w:rPr>
        <w:t xml:space="preserve">  +3N</w:t>
      </w:r>
      <w:r>
        <w:rPr>
          <w:rFonts w:hint="eastAsia" w:ascii="宋体" w:hAnsi="宋体" w:cs="宋体"/>
          <w:vertAlign w:val="subscript"/>
        </w:rPr>
        <w:t>2</w:t>
      </w:r>
      <w:r>
        <w:rPr>
          <w:rFonts w:hint="eastAsia" w:ascii="宋体" w:hAnsi="宋体" w:cs="宋体"/>
        </w:rPr>
        <w:t xml:space="preserve"> +7H2O+6OH</w:t>
      </w:r>
      <w:r>
        <w:rPr>
          <w:rFonts w:hint="eastAsia" w:ascii="宋体" w:hAnsi="宋体" w:cs="宋体"/>
          <w:vertAlign w:val="superscript"/>
        </w:rPr>
        <w:t>-</w:t>
      </w:r>
    </w:p>
    <w:p>
      <w:pPr>
        <w:pStyle w:val="41"/>
        <w:tabs>
          <w:tab w:val="left" w:pos="1066"/>
          <w:tab w:val="left" w:pos="6845"/>
        </w:tabs>
        <w:adjustRightInd w:val="0"/>
        <w:spacing w:line="360" w:lineRule="auto"/>
        <w:ind w:firstLine="480"/>
        <w:rPr>
          <w:rFonts w:ascii="Times New Roman" w:hAnsi="Times New Roman"/>
        </w:rPr>
      </w:pPr>
      <w:r>
        <w:rPr>
          <w:rFonts w:hint="eastAsia" w:ascii="宋体" w:hAnsi="宋体" w:cs="宋体"/>
        </w:rPr>
        <w:t>在硝化反应中，最大的问题就是废水中可用于反硝化的有机碳的多少以及可生化程度，当废水中BOD</w:t>
      </w:r>
      <w:r>
        <w:rPr>
          <w:rFonts w:ascii="Times New Roman" w:hAnsi="Times New Roman"/>
          <w:vertAlign w:val="subscript"/>
        </w:rPr>
        <w:t>5</w:t>
      </w:r>
      <w:r>
        <w:rPr>
          <w:rFonts w:hint="eastAsia" w:ascii="Times New Roman" w:hAnsi="Times New Roman"/>
        </w:rPr>
        <w:t>/TKN&gt;3~5时可认为碳源充足。生化系统中，通过水解酸化阶段反应，大部分难降解有机物都被分解为小分子的可生化有机物，大大增加了可生化碳源，提高了硝化反应速率。</w:t>
      </w:r>
    </w:p>
    <w:p>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好氧段：经厌氧生物处理后废水中存在的各种有机物，在好氧处理阶段可以作为微生物营养源，经过一系列生化反应，释放能量，最终以无极物质稳定下来，达到去除废水COD的目的，实现废水的无害化。</w:t>
      </w:r>
    </w:p>
    <w:p>
      <w:pPr>
        <w:ind w:firstLine="560"/>
        <w:outlineLvl w:val="0"/>
        <w:rPr>
          <w:rFonts w:ascii="Times New Roman" w:hAnsi="Times New Roman"/>
          <w:kern w:val="21"/>
          <w:sz w:val="28"/>
        </w:rPr>
      </w:pPr>
    </w:p>
    <w:p>
      <w:pPr>
        <w:pStyle w:val="47"/>
        <w:ind w:firstLine="480"/>
      </w:pPr>
      <w:r>
        <w:rPr>
          <w:rFonts w:hint="eastAsia"/>
        </w:rPr>
        <w:object>
          <v:shape id="_x0000_i1025" o:spt="75" type="#_x0000_t75" style="height:524.15pt;width:411.85pt;" o:ole="t" filled="f" o:preferrelative="t" stroked="f" coordsize="21600,21600">
            <v:path/>
            <v:fill on="f" focussize="0,0"/>
            <v:stroke on="f" joinstyle="miter"/>
            <v:imagedata r:id="rId24" gain="61603f" o:title=""/>
            <o:lock v:ext="edit" aspectratio="f"/>
            <w10:wrap type="none"/>
            <w10:anchorlock/>
          </v:shape>
          <o:OLEObject Type="Embed" ProgID="Visio.Drawing.11" ShapeID="_x0000_i1025" DrawAspect="Content" ObjectID="_1468075725" r:id="rId23">
            <o:LockedField>false</o:LockedField>
          </o:OLEObject>
        </w:object>
      </w:r>
    </w:p>
    <w:p>
      <w:pPr>
        <w:pStyle w:val="47"/>
        <w:ind w:firstLine="482"/>
        <w:jc w:val="center"/>
        <w:rPr>
          <w:b/>
          <w:bCs/>
        </w:rPr>
      </w:pPr>
      <w:r>
        <w:rPr>
          <w:rFonts w:hint="eastAsia"/>
          <w:b/>
          <w:bCs/>
        </w:rPr>
        <w:t>图3-1 污水处理工艺流程图</w:t>
      </w:r>
    </w:p>
    <w:p>
      <w:pPr>
        <w:ind w:firstLine="482"/>
        <w:rPr>
          <w:b/>
          <w:bCs/>
        </w:rPr>
      </w:pPr>
    </w:p>
    <w:p>
      <w:pPr>
        <w:pStyle w:val="41"/>
        <w:tabs>
          <w:tab w:val="left" w:pos="1066"/>
          <w:tab w:val="left" w:pos="6845"/>
        </w:tabs>
        <w:adjustRightInd w:val="0"/>
        <w:spacing w:line="360" w:lineRule="auto"/>
        <w:ind w:firstLine="480"/>
        <w:rPr>
          <w:rFonts w:ascii="Times New Roman" w:hAnsi="Times New Roman"/>
        </w:rPr>
      </w:pPr>
      <w:r>
        <w:rPr>
          <w:rFonts w:ascii="Times New Roman" w:hAnsi="Times New Roman"/>
        </w:rPr>
        <w:t>项目的主体工艺是“厌氧水解＋生化处理＋深度氧化”</w:t>
      </w:r>
      <w:r>
        <w:rPr>
          <w:rFonts w:hint="eastAsia" w:ascii="Times New Roman" w:hAnsi="Times New Roman"/>
        </w:rPr>
        <w:t>。</w:t>
      </w:r>
    </w:p>
    <w:p>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本项目选择现有UASB 工艺作为厌氧处理工艺。厌氧主要是将其中难生物降解物质转变为易生物降解物质，提高度水的可生化性，以利于后续的好氧生物处理。在连续厌氧过程中水解、酸化的目的是为混合厌氧硝化过程中的甲烷化阶段提供基质。而两项厌氧硝化中的产酸段（产酸相）是将混合厌氧硝化中产酸段和产甲烷段分开，以便形成各自的最佳环境。厌氧发酵产生沼气过程可分为水解阶段、酸化阶段、乙酸化阶段和甲烷阶段等四个阶段。水解池式把反应控制在第二阶段完成之前，不进入第三阶段。UASB工艺是厌氧第二代工艺，具有工艺结构紧凑、处理负荷高。无机械搅拌装置、运行稳定、处理效果好及投资小等优点，是目前研究较多、应用日趋广泛的新型废水厌氧处理工艺。将厌氧串联于A/O工艺之前，提高废水可生化性、改善处理效果的同时，还可以将废水中的有机氮转化为氨氮，为后续的A/O系统的脱氮提供良好条件。</w:t>
      </w:r>
    </w:p>
    <w:p>
      <w:pPr>
        <w:pStyle w:val="41"/>
        <w:tabs>
          <w:tab w:val="left" w:pos="1066"/>
          <w:tab w:val="left" w:pos="6845"/>
        </w:tabs>
        <w:adjustRightInd w:val="0"/>
        <w:spacing w:line="360" w:lineRule="auto"/>
        <w:ind w:firstLine="480"/>
        <w:rPr>
          <w:rFonts w:ascii="Times New Roman" w:hAnsi="Times New Roman"/>
        </w:rPr>
      </w:pPr>
      <w:r>
        <w:rPr>
          <w:rFonts w:hint="eastAsia" w:ascii="Times New Roman" w:hAnsi="Times New Roman"/>
        </w:rPr>
        <w:t>本项目选用传统的A/A/O工艺。常规生物脱氮除磷工艺呈厌氧（A1）/缺氧（A2）/好氧（O）的布置形式。该布置理论上基于这样一种认识，即：聚磷微生物有效释磷水平的充分与否，对于提高系统的除磷能力具有极端重要的意义，厌氧区在前可以使聚磷微生物优先获得碳源并得以冲分释磷。常规A/A/O工艺存在以下三个缺点：</w:t>
      </w:r>
      <w:r>
        <w:rPr>
          <w:rFonts w:cs="Calibri"/>
        </w:rPr>
        <w:t>①</w:t>
      </w:r>
      <w:r>
        <w:rPr>
          <w:rFonts w:hint="eastAsia" w:ascii="Times New Roman" w:hAnsi="Times New Roman"/>
        </w:rPr>
        <w:t>由于厌氧区居前，回流污泥中的硝酸盐对厌氧区产生不利影响；</w:t>
      </w:r>
      <w:r>
        <w:rPr>
          <w:rFonts w:cs="Calibri"/>
        </w:rPr>
        <w:t>②</w:t>
      </w:r>
      <w:r>
        <w:rPr>
          <w:rFonts w:hint="eastAsia" w:ascii="Times New Roman" w:hAnsi="Times New Roman"/>
        </w:rPr>
        <w:t>由于缺氧区位于系统中部，反硝化在碳源分配上居于不利地位，因而影响了系统的脱氮效果；</w:t>
      </w:r>
      <w:r>
        <w:rPr>
          <w:rFonts w:cs="Calibri"/>
        </w:rPr>
        <w:t>③</w:t>
      </w:r>
      <w:r>
        <w:rPr>
          <w:rFonts w:hint="eastAsia" w:ascii="Times New Roman" w:hAnsi="Times New Roman"/>
        </w:rPr>
        <w:t>由于存在内循环，常规工艺系统所排放的剩余污泥中实际只有一小部分经历了完整的放磷、吸磷过程，其余则基本上未经厌氧状态而直接由缺氧区进入好氧区，这对系统除磷是不利的。</w:t>
      </w:r>
    </w:p>
    <w:p>
      <w:pPr>
        <w:pStyle w:val="41"/>
        <w:tabs>
          <w:tab w:val="left" w:pos="1066"/>
          <w:tab w:val="left" w:pos="6845"/>
        </w:tabs>
        <w:adjustRightInd w:val="0"/>
        <w:spacing w:line="360" w:lineRule="auto"/>
        <w:ind w:firstLine="0" w:firstLineChars="0"/>
        <w:jc w:val="center"/>
        <w:rPr>
          <w:rFonts w:ascii="Times New Roman" w:hAnsi="Times New Roman"/>
        </w:rPr>
      </w:pPr>
      <w:r>
        <w:rPr>
          <w:rFonts w:hint="eastAsia"/>
        </w:rPr>
        <w:object>
          <v:shape id="_x0000_i1026" o:spt="75" type="#_x0000_t75" style="height:70.55pt;width:416.15pt;" o:ole="t" filled="f" o:preferrelative="t" stroked="f" coordsize="21600,21600">
            <v:path/>
            <v:fill on="f" focussize="0,0"/>
            <v:stroke on="f" joinstyle="miter"/>
            <v:imagedata r:id="rId26" gain="61603f" o:title=""/>
            <o:lock v:ext="edit" aspectratio="f"/>
            <w10:wrap type="none"/>
            <w10:anchorlock/>
          </v:shape>
          <o:OLEObject Type="Embed" ProgID="Visio.Drawing.11" ShapeID="_x0000_i1026" DrawAspect="Content" ObjectID="_1468075726" r:id="rId25">
            <o:LockedField>false</o:LockedField>
          </o:OLEObject>
        </w:object>
      </w:r>
      <w:r>
        <w:rPr>
          <w:rFonts w:hint="eastAsia"/>
        </w:rPr>
        <w:t xml:space="preserve">                              </w:t>
      </w:r>
      <w:r>
        <w:rPr>
          <w:rFonts w:hint="eastAsia"/>
          <w:b/>
          <w:bCs/>
        </w:rPr>
        <w:t xml:space="preserve">  图3-2   A/A/O工艺流程图</w:t>
      </w:r>
    </w:p>
    <w:p>
      <w:pPr>
        <w:pStyle w:val="41"/>
        <w:tabs>
          <w:tab w:val="left" w:pos="1066"/>
          <w:tab w:val="left" w:pos="6845"/>
        </w:tabs>
        <w:adjustRightInd w:val="0"/>
        <w:spacing w:line="360" w:lineRule="auto"/>
        <w:ind w:firstLine="480"/>
        <w:rPr>
          <w:rFonts w:ascii="宋体" w:hAnsi="宋体" w:cs="宋体"/>
          <w:szCs w:val="32"/>
        </w:rPr>
      </w:pPr>
      <w:r>
        <w:rPr>
          <w:rFonts w:hint="eastAsia" w:ascii="Times New Roman" w:hAnsi="Times New Roman"/>
        </w:rPr>
        <w:t>本项目深度氧化采用芬顿氧化和高效生物滤池。传统芬顿氧化工艺是采用氧化池作为主要反应器进行，即向氧化池中投加双氧水和硫酸亚铁，利用Fe</w:t>
      </w:r>
      <w:r>
        <w:rPr>
          <w:rFonts w:hint="eastAsia" w:ascii="Times New Roman" w:hAnsi="Times New Roman"/>
          <w:vertAlign w:val="superscript"/>
        </w:rPr>
        <w:t>2+</w:t>
      </w:r>
      <w:r>
        <w:rPr>
          <w:rFonts w:hint="eastAsia" w:ascii="Times New Roman" w:hAnsi="Times New Roman"/>
        </w:rPr>
        <w:t>和H</w:t>
      </w:r>
      <w:r>
        <w:rPr>
          <w:rFonts w:hint="eastAsia" w:ascii="Times New Roman" w:hAnsi="Times New Roman"/>
          <w:vertAlign w:val="subscript"/>
        </w:rPr>
        <w:t>2</w:t>
      </w:r>
      <w:r>
        <w:rPr>
          <w:rFonts w:hint="eastAsia" w:ascii="Times New Roman" w:hAnsi="Times New Roman"/>
        </w:rPr>
        <w:t>O</w:t>
      </w:r>
      <w:r>
        <w:rPr>
          <w:rFonts w:hint="eastAsia" w:ascii="Times New Roman" w:hAnsi="Times New Roman"/>
          <w:vertAlign w:val="subscript"/>
        </w:rPr>
        <w:t>2</w:t>
      </w:r>
      <w:r>
        <w:rPr>
          <w:rFonts w:hint="eastAsia" w:ascii="Times New Roman" w:hAnsi="Times New Roman"/>
        </w:rPr>
        <w:t>之间的链反应催化生成</w:t>
      </w:r>
      <w:r>
        <w:rPr>
          <w:rFonts w:hint="eastAsia" w:ascii="宋体" w:hAnsi="宋体" w:cs="宋体"/>
          <w:szCs w:val="32"/>
        </w:rPr>
        <w:t>•OH，而•OH自由基具有强氧化性，能氧化各种有毒和难降解的有机化合物，以达到分解污染物和去除色度的目的。芬顿氧化的过程可以表示如下：</w:t>
      </w:r>
    </w:p>
    <w:p>
      <w:pPr>
        <w:ind w:firstLine="480"/>
        <w:rPr>
          <w:rFonts w:ascii="Times New Roman" w:hAnsi="Times New Roman" w:eastAsia="仿宋"/>
          <w:szCs w:val="24"/>
          <w:vertAlign w:val="superscript"/>
        </w:rPr>
      </w:pPr>
      <w:r>
        <w:rPr>
          <w:rFonts w:ascii="Times New Roman" w:hAnsi="Times New Roman"/>
          <w:szCs w:val="24"/>
        </w:rPr>
        <w:t>链反应的引发：Fe</w:t>
      </w:r>
      <w:r>
        <w:rPr>
          <w:rFonts w:ascii="Times New Roman" w:hAnsi="Times New Roman"/>
          <w:szCs w:val="24"/>
          <w:vertAlign w:val="superscript"/>
        </w:rPr>
        <w:t>2+</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 Fe</w:t>
      </w:r>
      <w:r>
        <w:rPr>
          <w:rFonts w:ascii="Times New Roman" w:hAnsi="Times New Roman" w:eastAsia="仿宋"/>
          <w:szCs w:val="24"/>
          <w:vertAlign w:val="superscript"/>
        </w:rPr>
        <w:t>3+</w:t>
      </w:r>
      <w:r>
        <w:rPr>
          <w:rFonts w:ascii="Times New Roman" w:hAnsi="Times New Roman" w:eastAsia="仿宋"/>
          <w:szCs w:val="24"/>
        </w:rPr>
        <w:t xml:space="preserve"> + HO</w:t>
      </w:r>
      <w:r>
        <w:rPr>
          <w:rFonts w:hint="eastAsia" w:ascii="宋体" w:hAnsi="宋体" w:cs="宋体"/>
          <w:szCs w:val="32"/>
        </w:rPr>
        <w:t>•</w:t>
      </w:r>
      <w:r>
        <w:rPr>
          <w:rFonts w:ascii="Times New Roman" w:hAnsi="Times New Roman" w:eastAsia="仿宋"/>
          <w:szCs w:val="24"/>
        </w:rPr>
        <w:t>+ OH</w:t>
      </w:r>
      <w:r>
        <w:rPr>
          <w:rFonts w:ascii="Times New Roman" w:hAnsi="Times New Roman" w:eastAsia="仿宋"/>
          <w:szCs w:val="24"/>
          <w:vertAlign w:val="superscript"/>
        </w:rPr>
        <w:t>-</w:t>
      </w:r>
    </w:p>
    <w:p>
      <w:pPr>
        <w:ind w:firstLine="1680" w:firstLineChars="700"/>
        <w:rPr>
          <w:rFonts w:ascii="Times New Roman" w:hAnsi="Times New Roman" w:eastAsia="仿宋"/>
          <w:szCs w:val="24"/>
          <w:vertAlign w:val="superscript"/>
        </w:rPr>
      </w:pPr>
      <w:r>
        <w:rPr>
          <w:rFonts w:ascii="Times New Roman" w:hAnsi="Times New Roman"/>
          <w:szCs w:val="24"/>
        </w:rPr>
        <w:t>Fe</w:t>
      </w:r>
      <w:r>
        <w:rPr>
          <w:rFonts w:ascii="Times New Roman" w:hAnsi="Times New Roman"/>
          <w:szCs w:val="24"/>
          <w:vertAlign w:val="superscript"/>
        </w:rPr>
        <w:t>3+</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 Fe</w:t>
      </w:r>
      <w:r>
        <w:rPr>
          <w:rFonts w:ascii="Times New Roman" w:hAnsi="Times New Roman" w:eastAsia="仿宋"/>
          <w:szCs w:val="24"/>
          <w:vertAlign w:val="superscript"/>
        </w:rPr>
        <w:t>2+</w:t>
      </w:r>
      <w:r>
        <w:rPr>
          <w:rFonts w:ascii="Times New Roman" w:hAnsi="Times New Roman" w:eastAsia="仿宋"/>
          <w:szCs w:val="24"/>
        </w:rPr>
        <w:t xml:space="preserve"> + HO</w:t>
      </w:r>
      <w:r>
        <w:rPr>
          <w:rFonts w:ascii="Times New Roman" w:hAnsi="Times New Roman" w:eastAsia="仿宋"/>
          <w:szCs w:val="24"/>
          <w:vertAlign w:val="subscript"/>
        </w:rPr>
        <w:t>2</w:t>
      </w:r>
      <w:r>
        <w:rPr>
          <w:rFonts w:hint="eastAsia" w:ascii="宋体" w:hAnsi="宋体" w:cs="宋体"/>
          <w:szCs w:val="32"/>
        </w:rPr>
        <w:t>•</w:t>
      </w:r>
      <w:r>
        <w:rPr>
          <w:rFonts w:ascii="Times New Roman" w:hAnsi="Times New Roman" w:eastAsia="仿宋"/>
          <w:szCs w:val="24"/>
        </w:rPr>
        <w:t>+ H</w:t>
      </w:r>
      <w:r>
        <w:rPr>
          <w:rFonts w:ascii="Times New Roman" w:hAnsi="Times New Roman" w:eastAsia="仿宋"/>
          <w:szCs w:val="24"/>
          <w:vertAlign w:val="superscript"/>
        </w:rPr>
        <w:t>+</w:t>
      </w:r>
    </w:p>
    <w:p>
      <w:pPr>
        <w:ind w:firstLine="1680" w:firstLineChars="700"/>
        <w:rPr>
          <w:rFonts w:ascii="Times New Roman" w:hAnsi="Times New Roman" w:eastAsia="仿宋"/>
          <w:szCs w:val="24"/>
          <w:vertAlign w:val="superscript"/>
        </w:rPr>
      </w:pPr>
      <w:r>
        <w:rPr>
          <w:rFonts w:ascii="Times New Roman" w:hAnsi="Times New Roman" w:eastAsia="仿宋"/>
          <w:szCs w:val="24"/>
        </w:rPr>
        <w:t>HO</w:t>
      </w:r>
      <w:r>
        <w:rPr>
          <w:rFonts w:ascii="Times New Roman" w:hAnsi="Times New Roman" w:eastAsia="仿宋"/>
          <w:szCs w:val="24"/>
          <w:vertAlign w:val="subscript"/>
        </w:rPr>
        <w:t>2</w:t>
      </w:r>
      <w:r>
        <w:rPr>
          <w:rFonts w:hint="eastAsia" w:ascii="宋体" w:hAnsi="宋体" w:cs="宋体"/>
          <w:szCs w:val="32"/>
        </w:rPr>
        <w:t>•</w:t>
      </w:r>
      <w:r>
        <w:rPr>
          <w:rFonts w:ascii="Times New Roman" w:hAnsi="Times New Roman" w:eastAsia="微软雅黑"/>
          <w:szCs w:val="24"/>
        </w:rPr>
        <w:t xml:space="preserve"> + </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 xml:space="preserve">2 </w:t>
      </w: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 xml:space="preserve"> + </w:t>
      </w:r>
      <w:r>
        <w:rPr>
          <w:rFonts w:ascii="Times New Roman" w:hAnsi="Times New Roman"/>
          <w:szCs w:val="24"/>
        </w:rPr>
        <w:t>O</w:t>
      </w:r>
      <w:r>
        <w:rPr>
          <w:rFonts w:ascii="Times New Roman" w:hAnsi="Times New Roman"/>
          <w:szCs w:val="24"/>
          <w:vertAlign w:val="subscript"/>
        </w:rPr>
        <w:t>2</w:t>
      </w:r>
      <w:r>
        <w:rPr>
          <w:rFonts w:ascii="Times New Roman" w:hAnsi="Times New Roman"/>
          <w:szCs w:val="24"/>
        </w:rPr>
        <w:t xml:space="preserve"> + H</w:t>
      </w:r>
      <w:r>
        <w:rPr>
          <w:rFonts w:ascii="Times New Roman" w:hAnsi="Times New Roman"/>
          <w:szCs w:val="24"/>
          <w:vertAlign w:val="subscript"/>
        </w:rPr>
        <w:t>2</w:t>
      </w:r>
      <w:r>
        <w:rPr>
          <w:rFonts w:ascii="Times New Roman" w:hAnsi="Times New Roman"/>
          <w:szCs w:val="24"/>
        </w:rPr>
        <w:t>O</w:t>
      </w:r>
    </w:p>
    <w:p>
      <w:pPr>
        <w:ind w:firstLine="480"/>
        <w:rPr>
          <w:rFonts w:ascii="Times New Roman" w:hAnsi="Times New Roman"/>
          <w:szCs w:val="24"/>
        </w:rPr>
      </w:pPr>
      <w:r>
        <w:rPr>
          <w:rFonts w:ascii="Times New Roman" w:hAnsi="Times New Roman"/>
          <w:szCs w:val="24"/>
        </w:rPr>
        <w:t>链的发展：</w:t>
      </w:r>
      <w:r>
        <w:rPr>
          <w:rFonts w:ascii="Times New Roman" w:hAnsi="Times New Roman" w:eastAsia="仿宋"/>
          <w:szCs w:val="24"/>
        </w:rPr>
        <w:t>RH(有机物）+HO</w:t>
      </w:r>
      <w:r>
        <w:rPr>
          <w:rFonts w:hint="eastAsia" w:ascii="宋体" w:hAnsi="宋体" w:cs="宋体"/>
          <w:szCs w:val="32"/>
        </w:rPr>
        <w:t>•</w:t>
      </w:r>
      <w:r>
        <w:rPr>
          <w:rFonts w:ascii="Times New Roman" w:hAnsi="Times New Roman" w:eastAsia="仿宋"/>
          <w:szCs w:val="24"/>
        </w:rPr>
        <w:t>→R</w:t>
      </w:r>
      <w:r>
        <w:rPr>
          <w:rFonts w:hint="eastAsia" w:ascii="宋体" w:hAnsi="宋体" w:cs="宋体"/>
          <w:szCs w:val="32"/>
        </w:rPr>
        <w:t>•</w:t>
      </w:r>
      <w:r>
        <w:rPr>
          <w:rFonts w:ascii="Times New Roman" w:hAnsi="Times New Roman" w:eastAsia="微软雅黑"/>
          <w:szCs w:val="24"/>
        </w:rPr>
        <w:t xml:space="preserve"> +</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p>
    <w:p>
      <w:pPr>
        <w:ind w:firstLine="1200" w:firstLineChars="500"/>
        <w:rPr>
          <w:rFonts w:ascii="Times New Roman" w:hAnsi="Times New Roman" w:eastAsia="仿宋"/>
          <w:szCs w:val="24"/>
          <w:vertAlign w:val="superscript"/>
        </w:rPr>
      </w:pPr>
      <w:r>
        <w:rPr>
          <w:rFonts w:ascii="Times New Roman" w:hAnsi="Times New Roman" w:eastAsia="仿宋"/>
          <w:szCs w:val="24"/>
        </w:rPr>
        <w:t>R</w:t>
      </w:r>
      <w:r>
        <w:rPr>
          <w:rFonts w:hint="eastAsia" w:ascii="宋体" w:hAnsi="宋体" w:cs="宋体"/>
          <w:szCs w:val="32"/>
        </w:rPr>
        <w:t>•</w:t>
      </w:r>
      <w:r>
        <w:rPr>
          <w:rFonts w:ascii="Times New Roman" w:hAnsi="Times New Roman" w:eastAsia="微软雅黑"/>
          <w:szCs w:val="24"/>
        </w:rPr>
        <w:t>+</w:t>
      </w:r>
      <w:r>
        <w:rPr>
          <w:rFonts w:ascii="Times New Roman" w:hAnsi="Times New Roman"/>
          <w:szCs w:val="24"/>
        </w:rPr>
        <w:t>Fe</w:t>
      </w:r>
      <w:r>
        <w:rPr>
          <w:rFonts w:ascii="Times New Roman" w:hAnsi="Times New Roman"/>
          <w:szCs w:val="24"/>
          <w:vertAlign w:val="superscript"/>
        </w:rPr>
        <w:t>3+</w:t>
      </w:r>
      <w:r>
        <w:rPr>
          <w:rFonts w:ascii="Times New Roman" w:hAnsi="Times New Roman" w:eastAsia="仿宋"/>
          <w:szCs w:val="24"/>
        </w:rPr>
        <w:t>→R</w:t>
      </w:r>
      <w:r>
        <w:rPr>
          <w:rFonts w:ascii="Times New Roman" w:hAnsi="Times New Roman" w:eastAsia="仿宋"/>
          <w:szCs w:val="24"/>
          <w:vertAlign w:val="superscript"/>
        </w:rPr>
        <w:t>+</w:t>
      </w:r>
      <w:r>
        <w:rPr>
          <w:rFonts w:ascii="Times New Roman" w:hAnsi="Times New Roman" w:eastAsia="仿宋"/>
          <w:szCs w:val="24"/>
        </w:rPr>
        <w:t xml:space="preserve"> + Fe</w:t>
      </w:r>
      <w:r>
        <w:rPr>
          <w:rFonts w:ascii="Times New Roman" w:hAnsi="Times New Roman" w:eastAsia="仿宋"/>
          <w:szCs w:val="24"/>
          <w:vertAlign w:val="superscript"/>
        </w:rPr>
        <w:t>2+</w:t>
      </w:r>
    </w:p>
    <w:p>
      <w:pPr>
        <w:ind w:firstLine="480"/>
        <w:rPr>
          <w:rFonts w:ascii="Times New Roman" w:hAnsi="Times New Roman"/>
          <w:szCs w:val="24"/>
        </w:rPr>
      </w:pPr>
      <w:r>
        <w:rPr>
          <w:rFonts w:ascii="Times New Roman" w:hAnsi="Times New Roman"/>
          <w:szCs w:val="24"/>
        </w:rPr>
        <w:t>链反应的结果：</w:t>
      </w:r>
      <w:r>
        <w:rPr>
          <w:rFonts w:ascii="Times New Roman" w:hAnsi="Times New Roman" w:eastAsia="仿宋"/>
          <w:szCs w:val="24"/>
        </w:rPr>
        <w:t>R</w:t>
      </w:r>
      <w:r>
        <w:rPr>
          <w:rFonts w:ascii="Times New Roman" w:hAnsi="Times New Roman" w:eastAsia="仿宋"/>
          <w:szCs w:val="24"/>
          <w:vertAlign w:val="superscript"/>
        </w:rPr>
        <w:t>+</w:t>
      </w:r>
      <w:r>
        <w:rPr>
          <w:rFonts w:ascii="Times New Roman" w:hAnsi="Times New Roman" w:eastAsia="仿宋"/>
          <w:szCs w:val="24"/>
        </w:rPr>
        <w:t xml:space="preserve"> + </w:t>
      </w:r>
      <w:r>
        <w:rPr>
          <w:rFonts w:ascii="Times New Roman" w:hAnsi="Times New Roman"/>
          <w:szCs w:val="24"/>
        </w:rPr>
        <w:t>O</w:t>
      </w:r>
      <w:r>
        <w:rPr>
          <w:rFonts w:ascii="Times New Roman" w:hAnsi="Times New Roman"/>
          <w:szCs w:val="24"/>
          <w:vertAlign w:val="subscript"/>
        </w:rPr>
        <w:t>2</w:t>
      </w:r>
      <w:r>
        <w:rPr>
          <w:rFonts w:ascii="Times New Roman" w:hAnsi="Times New Roman" w:eastAsia="仿宋"/>
          <w:szCs w:val="24"/>
        </w:rPr>
        <w:t>→ROO</w:t>
      </w:r>
      <w:r>
        <w:rPr>
          <w:rFonts w:ascii="Times New Roman" w:hAnsi="Times New Roman" w:eastAsia="仿宋"/>
          <w:szCs w:val="24"/>
          <w:vertAlign w:val="superscript"/>
        </w:rPr>
        <w:t>+</w:t>
      </w:r>
      <w:r>
        <w:rPr>
          <w:rFonts w:ascii="Times New Roman" w:hAnsi="Times New Roman" w:eastAsia="仿宋"/>
          <w:szCs w:val="24"/>
        </w:rPr>
        <w:t>→CO</w:t>
      </w:r>
      <w:r>
        <w:rPr>
          <w:rFonts w:ascii="Times New Roman" w:hAnsi="Times New Roman" w:eastAsia="仿宋"/>
          <w:szCs w:val="24"/>
          <w:vertAlign w:val="subscript"/>
        </w:rPr>
        <w:t>2</w:t>
      </w:r>
      <w:r>
        <w:rPr>
          <w:rFonts w:ascii="Times New Roman" w:hAnsi="Times New Roman" w:eastAsia="仿宋"/>
          <w:szCs w:val="24"/>
        </w:rPr>
        <w:t>+</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p>
    <w:p>
      <w:pPr>
        <w:ind w:firstLine="480"/>
        <w:rPr>
          <w:rFonts w:ascii="Times New Roman" w:hAnsi="Times New Roman"/>
          <w:szCs w:val="24"/>
          <w:vertAlign w:val="subscript"/>
        </w:rPr>
      </w:pPr>
      <w:r>
        <w:rPr>
          <w:rFonts w:ascii="Times New Roman" w:hAnsi="Times New Roman"/>
          <w:szCs w:val="24"/>
        </w:rPr>
        <w:t>链反应的中止：</w:t>
      </w: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w:t>
      </w:r>
      <w:r>
        <w:rPr>
          <w:rFonts w:ascii="Times New Roman" w:hAnsi="Times New Roman" w:eastAsia="仿宋"/>
          <w:szCs w:val="24"/>
        </w:rPr>
        <w:t>HO</w:t>
      </w:r>
      <w:r>
        <w:rPr>
          <w:rFonts w:hint="eastAsia" w:ascii="宋体" w:hAnsi="宋体" w:cs="宋体"/>
          <w:szCs w:val="32"/>
        </w:rPr>
        <w:t>•</w:t>
      </w:r>
      <w:r>
        <w:rPr>
          <w:rFonts w:ascii="Times New Roman" w:hAnsi="Times New Roman" w:eastAsia="仿宋"/>
          <w:szCs w:val="24"/>
        </w:rPr>
        <w:t>→</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O</w:t>
      </w:r>
      <w:r>
        <w:rPr>
          <w:rFonts w:ascii="Times New Roman" w:hAnsi="Times New Roman"/>
          <w:szCs w:val="24"/>
          <w:vertAlign w:val="subscript"/>
        </w:rPr>
        <w:t>2</w:t>
      </w:r>
    </w:p>
    <w:p>
      <w:pPr>
        <w:ind w:firstLine="1680" w:firstLineChars="700"/>
        <w:rPr>
          <w:rFonts w:ascii="Times New Roman" w:hAnsi="Times New Roman" w:eastAsia="仿宋"/>
          <w:szCs w:val="24"/>
        </w:rPr>
      </w:pPr>
      <w:r>
        <w:rPr>
          <w:rFonts w:ascii="Times New Roman" w:hAnsi="Times New Roman" w:eastAsia="仿宋"/>
          <w:szCs w:val="24"/>
        </w:rPr>
        <w:t>HO</w:t>
      </w:r>
      <w:r>
        <w:rPr>
          <w:rFonts w:hint="eastAsia" w:ascii="宋体" w:hAnsi="宋体" w:cs="宋体"/>
          <w:szCs w:val="32"/>
        </w:rPr>
        <w:t>•</w:t>
      </w:r>
      <w:r>
        <w:rPr>
          <w:rFonts w:ascii="Times New Roman" w:hAnsi="Times New Roman" w:eastAsia="微软雅黑"/>
          <w:szCs w:val="24"/>
        </w:rPr>
        <w:t>+</w:t>
      </w:r>
      <w:r>
        <w:rPr>
          <w:rFonts w:ascii="Times New Roman" w:hAnsi="Times New Roman" w:eastAsia="仿宋"/>
          <w:szCs w:val="24"/>
        </w:rPr>
        <w:t>R</w:t>
      </w:r>
      <w:r>
        <w:rPr>
          <w:rFonts w:hint="eastAsia" w:ascii="宋体" w:hAnsi="宋体" w:cs="宋体"/>
          <w:szCs w:val="32"/>
        </w:rPr>
        <w:t>•</w:t>
      </w:r>
      <w:r>
        <w:rPr>
          <w:rFonts w:ascii="Times New Roman" w:hAnsi="Times New Roman" w:eastAsia="仿宋"/>
          <w:szCs w:val="24"/>
        </w:rPr>
        <w:t>→ROH</w:t>
      </w:r>
    </w:p>
    <w:p>
      <w:pPr>
        <w:pStyle w:val="7"/>
        <w:rPr>
          <w:rFonts w:ascii="宋体" w:hAnsi="宋体" w:cs="宋体"/>
          <w:bCs/>
          <w:szCs w:val="24"/>
        </w:rPr>
      </w:pPr>
      <w:r>
        <w:rPr>
          <w:rFonts w:hint="eastAsia" w:ascii="宋体" w:hAnsi="宋体" w:cs="宋体"/>
          <w:bCs/>
          <w:szCs w:val="24"/>
        </w:rPr>
        <w:t>高效生物滤池技术将传统悬浮污泥法与生物膜法相结合，采用功能化高分子载体材料和复合工程菌，使废水的污水处理效能发生质的变化。功能化载体材料带有氨基、羧基、环氧基等活性基团，在污水中具有良好的稳定性和物化性能，其空隙率为966%以上，比表面积为80-120m</w:t>
      </w:r>
      <w:r>
        <w:rPr>
          <w:rFonts w:hint="eastAsia" w:ascii="宋体" w:hAnsi="宋体" w:cs="宋体"/>
          <w:bCs/>
          <w:szCs w:val="24"/>
          <w:vertAlign w:val="superscript"/>
        </w:rPr>
        <w:t>2</w:t>
      </w:r>
      <w:r>
        <w:rPr>
          <w:rFonts w:hint="eastAsia" w:ascii="宋体" w:hAnsi="宋体" w:cs="宋体"/>
          <w:bCs/>
          <w:szCs w:val="24"/>
        </w:rPr>
        <w:t>/g,微生物接种驯化稳定后的密度接近于水的密度，故在水中呈悬浮状。这种载体微生物的负载量大，载体中大孔与微孔相结合，气、液、固三相在孔隙中进行高效传质，好氧、兼性、厌氧状态同时存在。故有污染物降解速度快，抗冲击能力强，处理效率高。系统稳定并且脱氮除磷效果好等特点。</w:t>
      </w:r>
    </w:p>
    <w:p>
      <w:pPr>
        <w:spacing w:beforeLines="25" w:afterLines="25"/>
        <w:ind w:firstLine="496"/>
      </w:pPr>
      <w:r>
        <w:rPr>
          <w:rFonts w:hint="eastAsia"/>
          <w:snapToGrid w:val="0"/>
          <w:spacing w:val="4"/>
        </w:rPr>
        <w:t>污水处理厂产生的污泥经压滤机脱水后送至垃圾填埋场填埋处理。鉴于</w:t>
      </w:r>
      <w:r>
        <w:rPr>
          <w:rFonts w:hint="eastAsia"/>
        </w:rPr>
        <w:t>本项目为化工园区污水集中处理设施，根据</w:t>
      </w:r>
      <w:r>
        <w:rPr>
          <w:rFonts w:ascii=".." w:hAnsi=".."/>
          <w:color w:val="000000"/>
        </w:rPr>
        <w:t>《国家危险废物名录》</w:t>
      </w:r>
      <w:r>
        <w:rPr>
          <w:rFonts w:hint="eastAsia" w:ascii=".." w:hAnsi=".."/>
          <w:color w:val="000000"/>
        </w:rPr>
        <w:t>及</w:t>
      </w:r>
      <w:r>
        <w:rPr>
          <w:rFonts w:hint="eastAsia"/>
        </w:rPr>
        <w:t>《危险废物鉴别标准》（</w:t>
      </w:r>
      <w:r>
        <w:rPr>
          <w:rFonts w:hint="eastAsia" w:hAnsi="宋体"/>
        </w:rPr>
        <w:t>GB5058.1-5058.7-2007</w:t>
      </w:r>
      <w:r>
        <w:rPr>
          <w:rFonts w:hint="eastAsia"/>
        </w:rPr>
        <w:t>）判定，其产生的污泥属于危险废物，环评要求企业将脱水后的污泥按固废贮存标准要求存放，并送有危废经营许可资格的单位处置，以减少环境污染。</w:t>
      </w:r>
    </w:p>
    <w:p>
      <w:pPr>
        <w:spacing w:beforeLines="25" w:afterLines="25"/>
        <w:ind w:firstLine="496"/>
        <w:rPr>
          <w:snapToGrid w:val="0"/>
          <w:spacing w:val="4"/>
        </w:rPr>
      </w:pPr>
      <w:r>
        <w:rPr>
          <w:rFonts w:hint="eastAsia"/>
          <w:snapToGrid w:val="0"/>
          <w:spacing w:val="4"/>
        </w:rPr>
        <w:t>由于本工程污水处理工艺采用生物脱氮除磷工艺，污泥性质较为稳定，剩余污泥量较少，可不进行消化稳定。若采用消化处理，需增加消化池、加热、搅拌和沼气处理利用等一系列构筑物及设备，使投资及运行费用增加。而且在国内消化池运行良好的污水处理厂并不多见，尤其是中小规模的污水处理，由于有机物总量较低，采用污泥好氧稳定更具经济优势。污泥直接进行浓缩、脱水。</w:t>
      </w:r>
    </w:p>
    <w:p>
      <w:pPr>
        <w:adjustRightInd w:val="0"/>
        <w:snapToGrid w:val="0"/>
        <w:ind w:firstLine="480"/>
        <w:rPr>
          <w:rFonts w:ascii="Times New Roman" w:hAnsi="Times New Roman"/>
          <w:kern w:val="21"/>
        </w:rPr>
      </w:pPr>
      <w:r>
        <w:rPr>
          <w:rFonts w:ascii="Times New Roman" w:hAnsi="Times New Roman"/>
          <w:kern w:val="21"/>
        </w:rPr>
        <w:t>经过近几年的发展，目前企业已经在安全、环保管理方面形成了较为完善的规章制度和组织机构，如班长岗位责任制、交接班制度、安全生产责任制，以及各个岗位的操作规程。除此之外，企业领导班子还在组织机构上加强了对安全、环保的管理，这在一定程度上降低了事故发生的可能性。</w:t>
      </w:r>
    </w:p>
    <w:p>
      <w:pPr>
        <w:ind w:firstLine="480"/>
        <w:sectPr>
          <w:pgSz w:w="11906" w:h="16838"/>
          <w:pgMar w:top="1440" w:right="1080" w:bottom="1440" w:left="1080" w:header="850" w:footer="992" w:gutter="0"/>
          <w:cols w:space="720" w:num="1"/>
          <w:docGrid w:type="lines" w:linePitch="318" w:charSpace="0"/>
        </w:sectPr>
      </w:pPr>
    </w:p>
    <w:p>
      <w:pPr>
        <w:pStyle w:val="5"/>
        <w:adjustRightInd w:val="0"/>
        <w:spacing w:line="360" w:lineRule="auto"/>
        <w:jc w:val="both"/>
        <w:rPr>
          <w:sz w:val="32"/>
        </w:rPr>
      </w:pPr>
      <w:bookmarkStart w:id="84" w:name="_Toc14327"/>
      <w:bookmarkStart w:id="85" w:name="_Toc23243"/>
      <w:bookmarkStart w:id="86" w:name="_Toc13866"/>
      <w:bookmarkStart w:id="87" w:name="_Toc14263"/>
      <w:bookmarkStart w:id="88" w:name="_Toc30088"/>
      <w:bookmarkStart w:id="89" w:name="_Toc18225"/>
      <w:bookmarkStart w:id="90" w:name="_Toc2837"/>
      <w:bookmarkStart w:id="91" w:name="_Toc32261"/>
      <w:bookmarkStart w:id="92" w:name="_Toc350376310"/>
      <w:bookmarkStart w:id="93" w:name="_Toc300694418"/>
      <w:bookmarkStart w:id="94" w:name="_Toc333474575"/>
      <w:bookmarkStart w:id="95" w:name="_Toc830"/>
      <w:bookmarkStart w:id="96" w:name="_Toc350349981"/>
      <w:bookmarkStart w:id="97" w:name="_Toc262112486"/>
      <w:bookmarkStart w:id="98" w:name="_Toc262152786"/>
      <w:r>
        <w:rPr>
          <w:rFonts w:hint="eastAsia"/>
          <w:sz w:val="32"/>
        </w:rPr>
        <w:t>3组织机构和职责</w:t>
      </w:r>
      <w:bookmarkEnd w:id="84"/>
      <w:bookmarkEnd w:id="85"/>
      <w:bookmarkEnd w:id="86"/>
      <w:bookmarkEnd w:id="87"/>
      <w:bookmarkEnd w:id="88"/>
      <w:bookmarkEnd w:id="89"/>
      <w:bookmarkEnd w:id="90"/>
      <w:bookmarkEnd w:id="91"/>
    </w:p>
    <w:p>
      <w:pPr>
        <w:pStyle w:val="5"/>
        <w:adjustRightInd w:val="0"/>
        <w:spacing w:line="360" w:lineRule="auto"/>
        <w:jc w:val="both"/>
        <w:rPr>
          <w:kern w:val="21"/>
        </w:rPr>
      </w:pPr>
      <w:r>
        <w:rPr>
          <w:rFonts w:hint="eastAsia"/>
          <w:kern w:val="21"/>
        </w:rPr>
        <w:t>3</w:t>
      </w:r>
      <w:r>
        <w:rPr>
          <w:kern w:val="21"/>
        </w:rPr>
        <w:t>.1</w:t>
      </w:r>
      <w:bookmarkEnd w:id="92"/>
      <w:bookmarkEnd w:id="93"/>
      <w:bookmarkEnd w:id="94"/>
      <w:r>
        <w:rPr>
          <w:kern w:val="21"/>
        </w:rPr>
        <w:t>应急组织架构</w:t>
      </w:r>
      <w:bookmarkEnd w:id="95"/>
    </w:p>
    <w:p>
      <w:pPr>
        <w:pStyle w:val="6"/>
        <w:adjustRightInd w:val="0"/>
        <w:snapToGrid w:val="0"/>
        <w:jc w:val="both"/>
        <w:rPr>
          <w:kern w:val="21"/>
        </w:rPr>
      </w:pPr>
      <w:bookmarkStart w:id="99" w:name="_Toc244879261"/>
      <w:bookmarkStart w:id="100" w:name="_Toc262112488"/>
      <w:bookmarkStart w:id="101" w:name="_Toc178529300"/>
      <w:bookmarkStart w:id="102" w:name="_Toc178528892"/>
      <w:bookmarkStart w:id="103" w:name="_Toc29744"/>
      <w:bookmarkStart w:id="104" w:name="_Toc181001533"/>
      <w:bookmarkStart w:id="105" w:name="_Toc116"/>
      <w:bookmarkStart w:id="106" w:name="_Toc262152788"/>
      <w:bookmarkStart w:id="107" w:name="_Toc350349983"/>
      <w:r>
        <w:rPr>
          <w:rFonts w:hint="eastAsia"/>
          <w:kern w:val="21"/>
        </w:rPr>
        <w:t>3</w:t>
      </w:r>
      <w:r>
        <w:rPr>
          <w:kern w:val="21"/>
        </w:rPr>
        <w:t>.1.1 应急组织体系</w:t>
      </w:r>
      <w:bookmarkEnd w:id="99"/>
      <w:bookmarkEnd w:id="100"/>
      <w:bookmarkEnd w:id="101"/>
      <w:bookmarkEnd w:id="102"/>
      <w:bookmarkEnd w:id="103"/>
      <w:bookmarkEnd w:id="104"/>
      <w:bookmarkEnd w:id="105"/>
      <w:bookmarkEnd w:id="106"/>
      <w:bookmarkEnd w:id="107"/>
    </w:p>
    <w:p>
      <w:pPr>
        <w:adjustRightInd w:val="0"/>
        <w:snapToGrid w:val="0"/>
        <w:ind w:firstLine="480"/>
        <w:rPr>
          <w:rFonts w:ascii="Times New Roman" w:hAnsi="Times New Roman"/>
          <w:kern w:val="21"/>
        </w:rPr>
      </w:pPr>
      <w:r>
        <w:rPr>
          <w:rFonts w:ascii="Times New Roman" w:hAnsi="Times New Roman"/>
          <w:kern w:val="21"/>
        </w:rPr>
        <w:t>污水处理厂的应急组织机构主要包括总指挥、副总指挥、应急办公室以及4个救援队伍组成。组织架构中：总指挥由公司董事长担任，副指挥由污水处理厂厂长担任。</w:t>
      </w:r>
    </w:p>
    <w:p>
      <w:pPr>
        <w:adjustRightInd w:val="0"/>
        <w:snapToGrid w:val="0"/>
        <w:ind w:firstLine="480"/>
        <w:rPr>
          <w:rFonts w:ascii="Times New Roman" w:hAnsi="Times New Roman"/>
          <w:kern w:val="21"/>
        </w:rPr>
      </w:pPr>
      <w:r>
        <w:rPr>
          <w:rFonts w:ascii="Times New Roman" w:hAnsi="Times New Roman"/>
          <w:kern w:val="21"/>
        </w:rPr>
        <w:t>应急救援专业队伍由4个环境突发事件专业救援小组组成，并明确出关键环节的负责人。应急组织体系架构如图4-1。应急组织具体人员名单见附件。发生突发环境事件时，根据事故等级，迅速成立相应的应急组织机构。厂外级应急响应由总指挥负责全厂应急救援工作的组织和调度。若总指挥不在时，则由副指挥担任临时总指挥；厂内级应急响应由副总指挥负责全厂应急救援工作的组织和调度。事件应急处理期间，全厂范围内一切救援力量与物资必须服从调派，各专业救援小组根据事件应急措施方案进行相应的应急工作。公司应急组织体系</w:t>
      </w:r>
      <w:bookmarkStart w:id="108" w:name="_Toc173809635"/>
      <w:bookmarkStart w:id="109" w:name="_Toc116916098"/>
      <w:bookmarkStart w:id="110" w:name="_Toc137888656"/>
      <w:bookmarkStart w:id="111" w:name="_Toc104220788"/>
      <w:bookmarkStart w:id="112" w:name="_Toc116916173"/>
      <w:bookmarkStart w:id="113" w:name="_Toc163895707"/>
      <w:bookmarkStart w:id="114" w:name="_Toc153007336"/>
      <w:bookmarkStart w:id="115" w:name="_Toc502962608"/>
      <w:r>
        <w:rPr>
          <w:rFonts w:ascii="Times New Roman" w:hAnsi="Times New Roman"/>
          <w:kern w:val="21"/>
        </w:rPr>
        <w:t>图</w:t>
      </w:r>
      <w:bookmarkEnd w:id="108"/>
      <w:bookmarkEnd w:id="109"/>
      <w:bookmarkEnd w:id="110"/>
      <w:bookmarkEnd w:id="111"/>
      <w:bookmarkEnd w:id="112"/>
      <w:bookmarkEnd w:id="113"/>
      <w:bookmarkEnd w:id="114"/>
      <w:bookmarkEnd w:id="115"/>
      <w:r>
        <w:rPr>
          <w:rFonts w:ascii="Times New Roman" w:hAnsi="Times New Roman"/>
          <w:kern w:val="21"/>
        </w:rPr>
        <w:t>见图4.1-1。</w:t>
      </w:r>
    </w:p>
    <w:p>
      <w:pPr>
        <w:pStyle w:val="58"/>
        <w:rPr>
          <w:rFonts w:ascii="Times New Roman" w:hAnsi="Times New Roman"/>
          <w:color w:val="auto"/>
          <w:kern w:val="21"/>
        </w:rPr>
      </w:pPr>
      <w:r>
        <w:drawing>
          <wp:inline distT="0" distB="0" distL="114300" distR="114300">
            <wp:extent cx="6128385" cy="2948940"/>
            <wp:effectExtent l="0" t="0" r="13335" b="762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27"/>
                    <a:stretch>
                      <a:fillRect/>
                    </a:stretch>
                  </pic:blipFill>
                  <pic:spPr>
                    <a:xfrm>
                      <a:off x="0" y="0"/>
                      <a:ext cx="6128385" cy="2948940"/>
                    </a:xfrm>
                    <a:prstGeom prst="rect">
                      <a:avLst/>
                    </a:prstGeom>
                    <a:noFill/>
                    <a:ln>
                      <a:noFill/>
                    </a:ln>
                  </pic:spPr>
                </pic:pic>
              </a:graphicData>
            </a:graphic>
          </wp:inline>
        </w:drawing>
      </w:r>
    </w:p>
    <w:p>
      <w:pPr>
        <w:pStyle w:val="58"/>
        <w:jc w:val="center"/>
        <w:rPr>
          <w:rFonts w:ascii="Times New Roman" w:hAnsi="Times New Roman"/>
          <w:b/>
          <w:color w:val="auto"/>
          <w:kern w:val="21"/>
          <w:sz w:val="28"/>
          <w:szCs w:val="28"/>
        </w:rPr>
      </w:pPr>
      <w:r>
        <w:rPr>
          <w:rFonts w:ascii="Times New Roman" w:hAnsi="Times New Roman"/>
          <w:b/>
          <w:color w:val="auto"/>
          <w:kern w:val="21"/>
        </w:rPr>
        <w:t>图</w:t>
      </w:r>
      <w:r>
        <w:rPr>
          <w:rFonts w:hint="eastAsia" w:ascii="Times New Roman" w:hAnsi="Times New Roman"/>
          <w:b/>
          <w:color w:val="auto"/>
          <w:kern w:val="21"/>
        </w:rPr>
        <w:t>3</w:t>
      </w:r>
      <w:r>
        <w:rPr>
          <w:rFonts w:ascii="Times New Roman" w:hAnsi="Times New Roman"/>
          <w:b/>
          <w:color w:val="auto"/>
          <w:kern w:val="21"/>
        </w:rPr>
        <w:t>.1-1  公司应急组织体系图</w:t>
      </w:r>
    </w:p>
    <w:p>
      <w:pPr>
        <w:pStyle w:val="5"/>
        <w:spacing w:beforeLines="50"/>
        <w:rPr>
          <w:kern w:val="21"/>
        </w:rPr>
      </w:pPr>
      <w:bookmarkStart w:id="116" w:name="_Toc178529301"/>
      <w:bookmarkStart w:id="117" w:name="_Toc244879262"/>
      <w:bookmarkStart w:id="118" w:name="_Toc178528893"/>
      <w:bookmarkStart w:id="119" w:name="_Toc262112489"/>
      <w:bookmarkStart w:id="120" w:name="_Toc262152789"/>
      <w:bookmarkStart w:id="121" w:name="_Toc181001534"/>
      <w:bookmarkStart w:id="122" w:name="_Toc350349984"/>
      <w:bookmarkStart w:id="123" w:name="_Toc31393"/>
      <w:r>
        <w:rPr>
          <w:rFonts w:hint="eastAsia"/>
          <w:kern w:val="21"/>
        </w:rPr>
        <w:t>3</w:t>
      </w:r>
      <w:r>
        <w:rPr>
          <w:kern w:val="21"/>
        </w:rPr>
        <w:t xml:space="preserve">.2 </w:t>
      </w:r>
      <w:bookmarkEnd w:id="116"/>
      <w:bookmarkEnd w:id="117"/>
      <w:bookmarkEnd w:id="118"/>
      <w:bookmarkEnd w:id="119"/>
      <w:bookmarkEnd w:id="120"/>
      <w:bookmarkEnd w:id="121"/>
      <w:bookmarkEnd w:id="122"/>
      <w:r>
        <w:rPr>
          <w:kern w:val="21"/>
        </w:rPr>
        <w:t>内部应急机构职责职责</w:t>
      </w:r>
      <w:bookmarkEnd w:id="123"/>
    </w:p>
    <w:p>
      <w:pPr>
        <w:ind w:firstLine="480"/>
        <w:rPr>
          <w:rFonts w:ascii="Times New Roman" w:hAnsi="Times New Roman"/>
          <w:kern w:val="21"/>
        </w:rPr>
      </w:pPr>
      <w:bookmarkStart w:id="124" w:name="_Toc1749"/>
      <w:bookmarkStart w:id="125" w:name="_Toc350349985"/>
      <w:r>
        <w:rPr>
          <w:rFonts w:ascii="Times New Roman" w:hAnsi="Times New Roman"/>
          <w:kern w:val="21"/>
        </w:rPr>
        <w:t>应急组织的职责分为日常应急管理和事件应急工作两大模块。其中，关于日常应急管理的工作将统一归由企业常设机构厂长办公室来执行。</w:t>
      </w:r>
    </w:p>
    <w:p>
      <w:pPr>
        <w:pStyle w:val="6"/>
        <w:rPr>
          <w:kern w:val="21"/>
        </w:rPr>
      </w:pPr>
      <w:bookmarkStart w:id="126" w:name="_Toc13015"/>
      <w:r>
        <w:rPr>
          <w:rFonts w:hint="eastAsia"/>
          <w:kern w:val="21"/>
        </w:rPr>
        <w:t>3</w:t>
      </w:r>
      <w:r>
        <w:rPr>
          <w:kern w:val="21"/>
        </w:rPr>
        <w:t>.2.1应急指挥部</w:t>
      </w:r>
      <w:bookmarkEnd w:id="126"/>
    </w:p>
    <w:p>
      <w:pPr>
        <w:ind w:firstLine="480"/>
        <w:rPr>
          <w:rFonts w:ascii="Times New Roman" w:hAnsi="Times New Roman"/>
          <w:kern w:val="21"/>
        </w:rPr>
      </w:pPr>
      <w:r>
        <w:rPr>
          <w:rFonts w:ascii="Times New Roman" w:hAnsi="Times New Roman"/>
          <w:kern w:val="21"/>
        </w:rPr>
        <w:t>应急指挥部各岗位的具体职责见</w:t>
      </w:r>
      <w:r>
        <w:rPr>
          <w:rFonts w:hint="eastAsia" w:ascii="Times New Roman" w:hAnsi="Times New Roman"/>
          <w:kern w:val="21"/>
        </w:rPr>
        <w:t>下</w:t>
      </w:r>
      <w:r>
        <w:rPr>
          <w:rFonts w:ascii="Times New Roman" w:hAnsi="Times New Roman"/>
          <w:kern w:val="21"/>
        </w:rPr>
        <w:t>表。</w:t>
      </w:r>
    </w:p>
    <w:p>
      <w:pPr>
        <w:spacing w:line="560" w:lineRule="exact"/>
        <w:ind w:firstLine="0" w:firstLineChars="0"/>
        <w:jc w:val="center"/>
        <w:rPr>
          <w:rFonts w:ascii="Times New Roman" w:hAnsi="Times New Roman"/>
          <w:b/>
          <w:kern w:val="21"/>
        </w:rPr>
      </w:pPr>
      <w:r>
        <w:rPr>
          <w:rFonts w:ascii="Times New Roman" w:hAnsi="Times New Roman"/>
          <w:b/>
          <w:kern w:val="21"/>
        </w:rPr>
        <w:br w:type="page"/>
      </w:r>
      <w:r>
        <w:rPr>
          <w:rFonts w:ascii="Times New Roman" w:hAnsi="Times New Roman"/>
          <w:b/>
          <w:kern w:val="21"/>
        </w:rPr>
        <w:t>表</w:t>
      </w:r>
      <w:r>
        <w:rPr>
          <w:rFonts w:hint="eastAsia" w:ascii="Times New Roman" w:hAnsi="Times New Roman"/>
          <w:b/>
          <w:kern w:val="21"/>
        </w:rPr>
        <w:t>3</w:t>
      </w:r>
      <w:r>
        <w:rPr>
          <w:rFonts w:ascii="Times New Roman" w:hAnsi="Times New Roman"/>
          <w:b/>
          <w:kern w:val="21"/>
        </w:rPr>
        <w:t>.2-1应急指挥部职责</w:t>
      </w:r>
    </w:p>
    <w:tbl>
      <w:tblPr>
        <w:tblStyle w:val="4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4"/>
        <w:gridCol w:w="441"/>
        <w:gridCol w:w="502"/>
        <w:gridCol w:w="81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5" w:type="dxa"/>
            <w:gridSpan w:val="2"/>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应急岗位</w:t>
            </w:r>
          </w:p>
        </w:tc>
        <w:tc>
          <w:tcPr>
            <w:tcW w:w="8673" w:type="dxa"/>
            <w:gridSpan w:val="2"/>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restart"/>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应急指挥部</w:t>
            </w:r>
          </w:p>
        </w:tc>
        <w:tc>
          <w:tcPr>
            <w:tcW w:w="441" w:type="dxa"/>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总指挥</w:t>
            </w:r>
          </w:p>
        </w:tc>
        <w:tc>
          <w:tcPr>
            <w:tcW w:w="8673" w:type="dxa"/>
            <w:gridSpan w:val="2"/>
          </w:tcPr>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①贯彻执行国家、当地政府、上级主管部门关于突发环境事件发生和应急救援的方针、政策及有关规定；</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②组建突发环境事件应急救援队伍，有计划地组织实施突发环境事件应急救援的培训和演习；</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③审批并落实突发环境事件应急救援所需的监测仪器、防护器材、救援器材等的购置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④指挥作业单位处理现场突发事件，在事故情况下制定详细的应急方案，处置管辖范围的其他突发事件；</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⑤批准应急救援的启动和终止；</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⑥及时向</w:t>
            </w:r>
            <w:r>
              <w:rPr>
                <w:rFonts w:hint="eastAsia" w:ascii="Times New Roman" w:hAnsi="Times New Roman"/>
                <w:color w:val="auto"/>
                <w:kern w:val="21"/>
                <w:sz w:val="21"/>
                <w:szCs w:val="21"/>
              </w:rPr>
              <w:t>湖口县</w:t>
            </w:r>
            <w:r>
              <w:rPr>
                <w:rFonts w:ascii="Times New Roman" w:hAnsi="Times New Roman"/>
                <w:color w:val="auto"/>
                <w:kern w:val="21"/>
                <w:sz w:val="21"/>
                <w:szCs w:val="21"/>
              </w:rPr>
              <w:t>生态环境局告突发环境事件的具体情况，必时向有关单位发出增援请求，并周边单位通报相关情况，联合当政府部门向当地媒体及公众发布；</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⑦厂外级预警隐患消除后，发警解除信息；</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⑧协调事故现场有关工作，协助政府有关部门进行环境恢复、事故调查、经验教训总结。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pPr>
              <w:pStyle w:val="58"/>
              <w:snapToGrid w:val="0"/>
              <w:jc w:val="both"/>
              <w:rPr>
                <w:rFonts w:ascii="Times New Roman" w:hAnsi="Times New Roman"/>
                <w:b/>
                <w:bCs/>
                <w:color w:val="auto"/>
                <w:kern w:val="21"/>
                <w:sz w:val="21"/>
                <w:szCs w:val="21"/>
              </w:rPr>
            </w:pPr>
          </w:p>
        </w:tc>
        <w:tc>
          <w:tcPr>
            <w:tcW w:w="441" w:type="dxa"/>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副总指挥</w:t>
            </w:r>
          </w:p>
        </w:tc>
        <w:tc>
          <w:tcPr>
            <w:tcW w:w="8673" w:type="dxa"/>
            <w:gridSpan w:val="2"/>
          </w:tcPr>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①总指挥不在时，全面接替总挥的指挥工作，直至总指挥到场进行交接；</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②协助作业单位处理现场突发事件，在事故情况下制定详细的应急方案，处置管辖范围的其他突发事件；</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③B级预警隐患消除后，发警解除信息；</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④组织、指导突发环境事件的应急救援培训工作，协调指导应急救援队伍的管理和救援能力评估工作。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pPr>
              <w:pStyle w:val="58"/>
              <w:snapToGrid w:val="0"/>
              <w:jc w:val="both"/>
              <w:rPr>
                <w:rFonts w:ascii="Times New Roman" w:hAnsi="Times New Roman"/>
                <w:b/>
                <w:bCs/>
                <w:color w:val="auto"/>
                <w:kern w:val="21"/>
                <w:sz w:val="21"/>
                <w:szCs w:val="21"/>
              </w:rPr>
            </w:pPr>
          </w:p>
        </w:tc>
        <w:tc>
          <w:tcPr>
            <w:tcW w:w="441" w:type="dxa"/>
            <w:vMerge w:val="restart"/>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应急办公室</w:t>
            </w:r>
          </w:p>
        </w:tc>
        <w:tc>
          <w:tcPr>
            <w:tcW w:w="502" w:type="dxa"/>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日常应急管理</w:t>
            </w:r>
          </w:p>
        </w:tc>
        <w:tc>
          <w:tcPr>
            <w:tcW w:w="8171" w:type="dxa"/>
          </w:tcPr>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①承担突发环境事件应急预案的管理工作，组织制定、修改突发环境事件应急预案；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②落实应急救援人员（包括应急救援队伍及各专业小组负责人和人员）名单，并存档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③检查抢险抢修、个体防护、医疗救护、通信联络等仪器装备器材等的配备情况，检查是否符合事件应急救援的需要。确保器材始终处于完好状态，保证在事件发生时，能有效投入使用；</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④应急办公室应备有如下资料：</w:t>
            </w:r>
          </w:p>
          <w:p>
            <w:pPr>
              <w:pStyle w:val="58"/>
              <w:numPr>
                <w:ilvl w:val="0"/>
                <w:numId w:val="3"/>
              </w:numPr>
              <w:snapToGrid w:val="0"/>
              <w:jc w:val="both"/>
              <w:rPr>
                <w:rFonts w:ascii="Times New Roman" w:hAnsi="Times New Roman"/>
                <w:color w:val="auto"/>
                <w:kern w:val="21"/>
                <w:sz w:val="21"/>
                <w:szCs w:val="21"/>
              </w:rPr>
            </w:pPr>
            <w:r>
              <w:rPr>
                <w:rFonts w:ascii="Times New Roman" w:hAnsi="Times New Roman"/>
                <w:color w:val="auto"/>
                <w:kern w:val="21"/>
                <w:sz w:val="21"/>
                <w:szCs w:val="21"/>
              </w:rPr>
              <w:t>应急救援装备/物资数据库：应急救援装备/物资名称、数量、型号大小、存放地点、负责人；</w:t>
            </w:r>
          </w:p>
          <w:p>
            <w:pPr>
              <w:pStyle w:val="58"/>
              <w:numPr>
                <w:ilvl w:val="0"/>
                <w:numId w:val="3"/>
              </w:numPr>
              <w:snapToGrid w:val="0"/>
              <w:jc w:val="both"/>
              <w:rPr>
                <w:rFonts w:ascii="Times New Roman" w:hAnsi="Times New Roman"/>
                <w:color w:val="auto"/>
                <w:kern w:val="21"/>
                <w:sz w:val="21"/>
                <w:szCs w:val="21"/>
              </w:rPr>
            </w:pPr>
            <w:r>
              <w:rPr>
                <w:rFonts w:ascii="Times New Roman" w:hAnsi="Times New Roman"/>
                <w:color w:val="auto"/>
                <w:kern w:val="21"/>
                <w:sz w:val="21"/>
                <w:szCs w:val="21"/>
              </w:rPr>
              <w:t>职工名单表，关键岗位人员的地址和联系方式；</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3）</w:t>
            </w:r>
            <w:r>
              <w:rPr>
                <w:rFonts w:hint="eastAsia" w:ascii="Times New Roman" w:hAnsi="Times New Roman"/>
                <w:color w:val="auto"/>
                <w:kern w:val="21"/>
                <w:sz w:val="21"/>
                <w:szCs w:val="21"/>
              </w:rPr>
              <w:t>湖口县</w:t>
            </w:r>
            <w:r>
              <w:rPr>
                <w:rFonts w:ascii="Times New Roman" w:hAnsi="Times New Roman"/>
                <w:color w:val="auto"/>
                <w:kern w:val="21"/>
                <w:sz w:val="21"/>
                <w:szCs w:val="21"/>
              </w:rPr>
              <w:t>生态环境局和应急服务机构的地址和联系方式。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24" w:type="dxa"/>
            <w:vMerge w:val="continue"/>
            <w:vAlign w:val="center"/>
          </w:tcPr>
          <w:p>
            <w:pPr>
              <w:pStyle w:val="58"/>
              <w:snapToGrid w:val="0"/>
              <w:jc w:val="both"/>
              <w:rPr>
                <w:rFonts w:ascii="Times New Roman" w:hAnsi="Times New Roman"/>
                <w:b/>
                <w:bCs/>
                <w:color w:val="auto"/>
                <w:kern w:val="21"/>
                <w:sz w:val="21"/>
                <w:szCs w:val="21"/>
              </w:rPr>
            </w:pPr>
          </w:p>
        </w:tc>
        <w:tc>
          <w:tcPr>
            <w:tcW w:w="441" w:type="dxa"/>
            <w:vMerge w:val="continue"/>
            <w:vAlign w:val="center"/>
          </w:tcPr>
          <w:p>
            <w:pPr>
              <w:pStyle w:val="58"/>
              <w:snapToGrid w:val="0"/>
              <w:jc w:val="both"/>
              <w:rPr>
                <w:rFonts w:ascii="Times New Roman" w:hAnsi="Times New Roman"/>
                <w:b/>
                <w:bCs/>
                <w:color w:val="auto"/>
                <w:kern w:val="21"/>
                <w:sz w:val="21"/>
                <w:szCs w:val="21"/>
              </w:rPr>
            </w:pPr>
          </w:p>
        </w:tc>
        <w:tc>
          <w:tcPr>
            <w:tcW w:w="502" w:type="dxa"/>
            <w:vAlign w:val="center"/>
          </w:tcPr>
          <w:p>
            <w:pPr>
              <w:pStyle w:val="58"/>
              <w:snapToGrid w:val="0"/>
              <w:jc w:val="both"/>
              <w:rPr>
                <w:rFonts w:ascii="Times New Roman" w:hAnsi="Times New Roman"/>
                <w:b/>
                <w:bCs/>
                <w:color w:val="auto"/>
                <w:kern w:val="21"/>
                <w:sz w:val="21"/>
                <w:szCs w:val="21"/>
              </w:rPr>
            </w:pPr>
            <w:r>
              <w:rPr>
                <w:rFonts w:ascii="Times New Roman" w:hAnsi="Times New Roman"/>
                <w:b/>
                <w:bCs/>
                <w:color w:val="auto"/>
                <w:kern w:val="21"/>
                <w:sz w:val="21"/>
                <w:szCs w:val="21"/>
              </w:rPr>
              <w:t>应急抢救职责</w:t>
            </w:r>
          </w:p>
        </w:tc>
        <w:tc>
          <w:tcPr>
            <w:tcW w:w="8171" w:type="dxa"/>
          </w:tcPr>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①办公室接到报警后，对突发环境事件的危害范围、发展趋势做出科学评估，参与污染程度、危害范围、事件等级判断，对污染区域的警报设立与解除等重大防护措施的决策提供技术依据，为应急指挥的决策提供科学可靠的数据支撑；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②立即通知应急组织机构相员待命，并收集应急过程中的各类相关信息，并进行跟踪，整理后向总指挥汇报；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③在事故状态下制定详细的方案，处置管辖范围的其他突发事件；</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 xml:space="preserve">④负责与外部有关部门的应援的协调、信息交流工作； </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⑤应急事件中，检查应急设备和抢救人员是否到位以及防止事件蔓延扩大的措施落实情况；</w:t>
            </w:r>
          </w:p>
          <w:p>
            <w:pPr>
              <w:pStyle w:val="58"/>
              <w:snapToGrid w:val="0"/>
              <w:jc w:val="both"/>
              <w:rPr>
                <w:rFonts w:ascii="Times New Roman" w:hAnsi="Times New Roman"/>
                <w:color w:val="auto"/>
                <w:kern w:val="21"/>
                <w:sz w:val="21"/>
                <w:szCs w:val="21"/>
              </w:rPr>
            </w:pPr>
            <w:r>
              <w:rPr>
                <w:rFonts w:ascii="Times New Roman" w:hAnsi="Times New Roman"/>
                <w:color w:val="auto"/>
                <w:kern w:val="21"/>
                <w:sz w:val="21"/>
                <w:szCs w:val="21"/>
              </w:rPr>
              <w:t>⑥配合政府有关部门进行环境恢复、事故调查、经验教训总结。</w:t>
            </w:r>
          </w:p>
        </w:tc>
      </w:tr>
      <w:bookmarkEnd w:id="124"/>
      <w:bookmarkEnd w:id="125"/>
    </w:tbl>
    <w:p>
      <w:pPr>
        <w:pStyle w:val="6"/>
        <w:adjustRightInd w:val="0"/>
        <w:snapToGrid w:val="0"/>
        <w:spacing w:beforeLines="50"/>
        <w:jc w:val="both"/>
        <w:rPr>
          <w:kern w:val="21"/>
        </w:rPr>
      </w:pPr>
      <w:bookmarkStart w:id="127" w:name="_Toc24946"/>
      <w:r>
        <w:rPr>
          <w:rFonts w:hint="eastAsia"/>
          <w:kern w:val="21"/>
        </w:rPr>
        <w:t>3</w:t>
      </w:r>
      <w:r>
        <w:rPr>
          <w:kern w:val="21"/>
        </w:rPr>
        <w:t>.2.2应急救援专业队伍</w:t>
      </w:r>
      <w:bookmarkEnd w:id="127"/>
    </w:p>
    <w:p>
      <w:pPr>
        <w:adjustRightInd w:val="0"/>
        <w:snapToGrid w:val="0"/>
        <w:ind w:firstLine="480"/>
        <w:rPr>
          <w:rFonts w:ascii="Times New Roman" w:hAnsi="Times New Roman"/>
          <w:kern w:val="21"/>
        </w:rPr>
      </w:pPr>
      <w:r>
        <w:rPr>
          <w:rFonts w:ascii="Times New Roman" w:hAnsi="Times New Roman"/>
          <w:kern w:val="21"/>
        </w:rPr>
        <w:t>各应急救援专业队伍是突发环境事件应急的骨干力量，其任务主要是担负污水处理厂突发环境事件的应急救援工作。各救援队伍组成和分工如下如</w:t>
      </w:r>
      <w:r>
        <w:rPr>
          <w:rFonts w:hint="eastAsia" w:ascii="Times New Roman" w:hAnsi="Times New Roman"/>
          <w:kern w:val="21"/>
        </w:rPr>
        <w:t>下表</w:t>
      </w:r>
      <w:r>
        <w:rPr>
          <w:rFonts w:ascii="Times New Roman" w:hAnsi="Times New Roman"/>
          <w:kern w:val="21"/>
        </w:rPr>
        <w:t>所示。</w:t>
      </w:r>
    </w:p>
    <w:p>
      <w:pPr>
        <w:pStyle w:val="166"/>
        <w:ind w:firstLine="0" w:firstLineChars="0"/>
        <w:jc w:val="center"/>
        <w:rPr>
          <w:rFonts w:ascii="Times New Roman" w:hAnsi="Times New Roman"/>
          <w:b/>
          <w:kern w:val="21"/>
          <w:szCs w:val="24"/>
        </w:rPr>
      </w:pPr>
    </w:p>
    <w:p>
      <w:pPr>
        <w:pStyle w:val="166"/>
        <w:ind w:firstLine="0" w:firstLineChars="0"/>
        <w:jc w:val="center"/>
        <w:rPr>
          <w:rFonts w:ascii="Times New Roman" w:hAnsi="Times New Roman"/>
          <w:b/>
          <w:kern w:val="21"/>
          <w:szCs w:val="24"/>
        </w:rPr>
      </w:pPr>
    </w:p>
    <w:p>
      <w:pPr>
        <w:pStyle w:val="166"/>
        <w:ind w:firstLine="0" w:firstLineChars="0"/>
        <w:jc w:val="center"/>
        <w:rPr>
          <w:rFonts w:ascii="Times New Roman" w:hAnsi="Times New Roman"/>
          <w:b/>
          <w:kern w:val="21"/>
          <w:szCs w:val="24"/>
        </w:rPr>
      </w:pPr>
    </w:p>
    <w:p>
      <w:pPr>
        <w:pStyle w:val="166"/>
        <w:ind w:firstLine="0" w:firstLineChars="0"/>
        <w:jc w:val="center"/>
        <w:rPr>
          <w:rFonts w:ascii="Times New Roman" w:hAnsi="Times New Roman"/>
          <w:b/>
          <w:kern w:val="21"/>
          <w:szCs w:val="24"/>
        </w:rPr>
      </w:pPr>
      <w:r>
        <w:rPr>
          <w:rFonts w:ascii="Times New Roman" w:hAnsi="Times New Roman"/>
          <w:b/>
          <w:kern w:val="21"/>
          <w:szCs w:val="24"/>
        </w:rPr>
        <w:t>表</w:t>
      </w:r>
      <w:r>
        <w:rPr>
          <w:rFonts w:hint="eastAsia" w:ascii="Times New Roman" w:hAnsi="Times New Roman"/>
          <w:b/>
          <w:kern w:val="21"/>
          <w:szCs w:val="24"/>
        </w:rPr>
        <w:t>3</w:t>
      </w:r>
      <w:r>
        <w:rPr>
          <w:rFonts w:ascii="Times New Roman" w:hAnsi="Times New Roman"/>
          <w:b/>
          <w:kern w:val="21"/>
          <w:szCs w:val="24"/>
        </w:rPr>
        <w:t>.2-2  企业现有救援队伍</w:t>
      </w:r>
    </w:p>
    <w:tbl>
      <w:tblPr>
        <w:tblStyle w:val="48"/>
        <w:tblW w:w="4990" w:type="pct"/>
        <w:jc w:val="center"/>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Layout w:type="autofit"/>
        <w:tblCellMar>
          <w:top w:w="15" w:type="dxa"/>
          <w:left w:w="108" w:type="dxa"/>
          <w:bottom w:w="15" w:type="dxa"/>
          <w:right w:w="108" w:type="dxa"/>
        </w:tblCellMar>
      </w:tblPr>
      <w:tblGrid>
        <w:gridCol w:w="811"/>
        <w:gridCol w:w="918"/>
        <w:gridCol w:w="1154"/>
        <w:gridCol w:w="1426"/>
        <w:gridCol w:w="5413"/>
      </w:tblGrid>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729" w:hRule="atLeast"/>
          <w:jc w:val="center"/>
        </w:trPr>
        <w:tc>
          <w:tcPr>
            <w:tcW w:w="889" w:type="pct"/>
            <w:gridSpan w:val="2"/>
            <w:vAlign w:val="center"/>
          </w:tcPr>
          <w:p>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应急组织机构职位</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姓名</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联系电话</w:t>
            </w:r>
          </w:p>
        </w:tc>
        <w:tc>
          <w:tcPr>
            <w:tcW w:w="2783" w:type="pct"/>
            <w:vAlign w:val="center"/>
          </w:tcPr>
          <w:p>
            <w:pPr>
              <w:widowControl/>
              <w:adjustRightInd w:val="0"/>
              <w:snapToGrid w:val="0"/>
              <w:spacing w:line="240" w:lineRule="auto"/>
              <w:ind w:firstLine="0" w:firstLineChars="0"/>
              <w:jc w:val="center"/>
              <w:rPr>
                <w:rFonts w:ascii="Times New Roman" w:hAnsi="Times New Roman"/>
                <w:b/>
                <w:bCs/>
                <w:color w:val="FF0000"/>
                <w:kern w:val="21"/>
                <w:sz w:val="21"/>
              </w:rPr>
            </w:pPr>
            <w:r>
              <w:rPr>
                <w:rFonts w:ascii="Times New Roman" w:hAnsi="Times New Roman"/>
                <w:b/>
                <w:bCs/>
                <w:color w:val="FF0000"/>
                <w:kern w:val="21"/>
                <w:sz w:val="21"/>
              </w:rPr>
              <w:t>职责</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604" w:hRule="atLeast"/>
          <w:jc w:val="center"/>
        </w:trPr>
        <w:tc>
          <w:tcPr>
            <w:tcW w:w="889" w:type="pct"/>
            <w:gridSpan w:val="2"/>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总指挥</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color w:val="FF0000"/>
                <w:kern w:val="21"/>
                <w:sz w:val="21"/>
              </w:rPr>
              <w:t>黎宵月</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ascii="Times New Roman" w:hAnsi="Times New Roman"/>
                <w:color w:val="FF0000"/>
                <w:kern w:val="21"/>
                <w:sz w:val="21"/>
              </w:rPr>
              <w:t>18898812128</w:t>
            </w:r>
          </w:p>
        </w:tc>
        <w:tc>
          <w:tcPr>
            <w:tcW w:w="278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负责应急救援指挥工作，发布抢险救援命令，宣布应急预案的启动与终止，对特殊情况进行紧急决断，协调副总指挥工作，向上级指挥、调查机构报告事故情况及处置应对情况。</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921" w:hRule="atLeast"/>
          <w:jc w:val="center"/>
        </w:trPr>
        <w:tc>
          <w:tcPr>
            <w:tcW w:w="889" w:type="pct"/>
            <w:gridSpan w:val="2"/>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副总指挥</w:t>
            </w:r>
          </w:p>
        </w:tc>
        <w:tc>
          <w:tcPr>
            <w:tcW w:w="593" w:type="pc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color w:val="FF0000"/>
                <w:kern w:val="21"/>
                <w:sz w:val="21"/>
              </w:rPr>
              <w:t>彭辉金</w:t>
            </w:r>
          </w:p>
        </w:tc>
        <w:tc>
          <w:tcPr>
            <w:tcW w:w="733" w:type="pct"/>
            <w:tcBorders>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s="宋体"/>
                <w:smallCaps/>
                <w:color w:val="FF0000"/>
                <w:kern w:val="21"/>
                <w:sz w:val="21"/>
                <w:szCs w:val="24"/>
              </w:rPr>
            </w:pPr>
            <w:r>
              <w:rPr>
                <w:rFonts w:hint="eastAsia" w:ascii="Times New Roman" w:hAnsi="Times New Roman"/>
                <w:color w:val="FF0000"/>
                <w:kern w:val="21"/>
                <w:sz w:val="21"/>
              </w:rPr>
              <w:t>15274409459</w:t>
            </w:r>
          </w:p>
        </w:tc>
        <w:tc>
          <w:tcPr>
            <w:tcW w:w="278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①负责协助总指挥作好抢险现场救灾工作的紧急组织，具体负责对各抢险小组的指挥工作，指挥技术人员对抢险、抢修作业根据技术规范和工艺情况，提供准确可行的抢险方案，并向总指挥报告情况，落实总指挥发布的抢险命令。 </w:t>
            </w:r>
          </w:p>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②负责指挥保安人员对现场进行疏散、保卫及周边警戒的工作，负责事发后善后及洗消工作，维护工作秩序，防止意外及此生事故发生。 </w:t>
            </w:r>
          </w:p>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③负责组织部署人力、物资与后勤保障，调集社会抢险救援力量，做好抢险救援队伍的补充，随时准备好按总指挥命令行动。</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513"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后勤联络组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邓云雁</w:t>
            </w:r>
          </w:p>
        </w:tc>
        <w:tc>
          <w:tcPr>
            <w:tcW w:w="73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18160792648</w:t>
            </w:r>
          </w:p>
        </w:tc>
        <w:tc>
          <w:tcPr>
            <w:tcW w:w="2783" w:type="pct"/>
            <w:vMerge w:val="restar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①责实施应急设备和所需物资的供应，保障现场抢险和抢险物资的供给，并组织维修人员抢修。</w:t>
            </w:r>
          </w:p>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②负责指挥抢险现场受伤人员的救助和对重伤员的转治，保障抢险人员人身安全，协调领导机构与工作机构各小组、外部抢险救援力量之间的通信联络。</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沈魏如</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15220065764</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color w:val="FF0000"/>
              </w:rPr>
            </w:pPr>
          </w:p>
        </w:tc>
        <w:tc>
          <w:tcPr>
            <w:tcW w:w="59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周卫红</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18307923505</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29"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应急处置组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朱金波</w:t>
            </w:r>
          </w:p>
        </w:tc>
        <w:tc>
          <w:tcPr>
            <w:tcW w:w="733" w:type="pct"/>
            <w:vAlign w:val="center"/>
          </w:tcPr>
          <w:p>
            <w:pPr>
              <w:widowControl/>
              <w:ind w:firstLine="0" w:firstLineChars="0"/>
              <w:jc w:val="center"/>
              <w:textAlignment w:val="center"/>
              <w:rPr>
                <w:rFonts w:ascii="Times New Roman" w:hAnsi="Times New Roman"/>
                <w:color w:val="FF0000"/>
                <w:kern w:val="21"/>
                <w:sz w:val="21"/>
              </w:rPr>
            </w:pPr>
            <w:r>
              <w:rPr>
                <w:rFonts w:hint="eastAsia" w:ascii="宋体" w:hAnsi="宋体" w:cs="宋体"/>
                <w:smallCaps/>
                <w:color w:val="FF0000"/>
                <w:kern w:val="0"/>
                <w:sz w:val="22"/>
                <w:szCs w:val="22"/>
              </w:rPr>
              <w:t>15879266460</w:t>
            </w:r>
          </w:p>
        </w:tc>
        <w:tc>
          <w:tcPr>
            <w:tcW w:w="2783" w:type="pct"/>
            <w:vMerge w:val="restar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执行领导小组的命令、决定，并根据其精神，结合事故现场实际情况，按照应急预案认真协调实施事故发生环节的救援抢险工作，防止事故的扩大蔓延，力求将损失降低至最低。并负责应急响应结  束后，配合信息联络员对事故的现场调查、组织事故分析和事故的上报。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汪建雄</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15870858516</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color w:val="FF0000"/>
              </w:rPr>
            </w:pPr>
          </w:p>
        </w:tc>
        <w:tc>
          <w:tcPr>
            <w:tcW w:w="593" w:type="pct"/>
            <w:vAlign w:val="center"/>
          </w:tcPr>
          <w:p>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赵海伟</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18979221380</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29"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警戒疏散组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李忠元</w:t>
            </w:r>
          </w:p>
        </w:tc>
        <w:tc>
          <w:tcPr>
            <w:tcW w:w="73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Times New Roman" w:hAnsi="Times New Roman"/>
                <w:color w:val="FF0000"/>
                <w:kern w:val="21"/>
                <w:sz w:val="21"/>
              </w:rPr>
              <w:t>15170274191</w:t>
            </w:r>
          </w:p>
        </w:tc>
        <w:tc>
          <w:tcPr>
            <w:tcW w:w="2783" w:type="pct"/>
            <w:vMerge w:val="restar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负责在险情发生时，疏散人员至安全地点，同时隔离现场，设置警示标志，限制无关人员出入。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付小桂</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18172932062</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color w:val="FF0000"/>
              </w:rPr>
            </w:pPr>
          </w:p>
        </w:tc>
        <w:tc>
          <w:tcPr>
            <w:tcW w:w="59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沈大景</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13177800397</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370"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应急监测组</w:t>
            </w:r>
          </w:p>
        </w:tc>
        <w:tc>
          <w:tcPr>
            <w:tcW w:w="472" w:type="pct"/>
            <w:tcBorders>
              <w:left w:val="single" w:color="auto" w:sz="4" w:space="0"/>
              <w:bottom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组长</w:t>
            </w:r>
          </w:p>
        </w:tc>
        <w:tc>
          <w:tcPr>
            <w:tcW w:w="59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color w:val="FF0000"/>
                <w:kern w:val="21"/>
                <w:sz w:val="21"/>
              </w:rPr>
              <w:t>石禄</w:t>
            </w:r>
          </w:p>
        </w:tc>
        <w:tc>
          <w:tcPr>
            <w:tcW w:w="733" w:type="pc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Times New Roman" w:hAnsi="Times New Roman"/>
                <w:color w:val="FF0000"/>
                <w:kern w:val="21"/>
                <w:sz w:val="21"/>
              </w:rPr>
              <w:t>18779255256</w:t>
            </w:r>
          </w:p>
        </w:tc>
        <w:tc>
          <w:tcPr>
            <w:tcW w:w="2783" w:type="pct"/>
            <w:vMerge w:val="restart"/>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负责事故可能污染到范围内的环境监测（包括水环境、空气环境或地面固体废物环境污染），按照总指挥要求随时上报。</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top w:val="single" w:color="auto" w:sz="4" w:space="0"/>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ascii="Times New Roman" w:hAnsi="Times New Roman"/>
                <w:color w:val="FF0000"/>
                <w:kern w:val="21"/>
                <w:sz w:val="21"/>
              </w:rPr>
              <w:t>组员</w:t>
            </w:r>
          </w:p>
        </w:tc>
        <w:tc>
          <w:tcPr>
            <w:tcW w:w="593" w:type="pct"/>
            <w:vAlign w:val="center"/>
          </w:tcPr>
          <w:p>
            <w:pPr>
              <w:pStyle w:val="47"/>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sz w:val="21"/>
              </w:rPr>
              <w:t>杨细林</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18720232351</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color w:val="FF0000"/>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color w:val="FF0000"/>
              </w:rPr>
            </w:pPr>
          </w:p>
        </w:tc>
        <w:tc>
          <w:tcPr>
            <w:tcW w:w="59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color w:val="FF0000"/>
                <w:kern w:val="21"/>
                <w:sz w:val="21"/>
              </w:rPr>
              <w:t>曹芳玲</w:t>
            </w:r>
          </w:p>
        </w:tc>
        <w:tc>
          <w:tcPr>
            <w:tcW w:w="733" w:type="pct"/>
            <w:vAlign w:val="center"/>
          </w:tcPr>
          <w:p>
            <w:pPr>
              <w:widowControl/>
              <w:adjustRightInd w:val="0"/>
              <w:snapToGrid w:val="0"/>
              <w:spacing w:line="240" w:lineRule="auto"/>
              <w:ind w:firstLine="0" w:firstLineChars="0"/>
              <w:jc w:val="center"/>
              <w:rPr>
                <w:rFonts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15870879633</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bookmarkStart w:id="128" w:name="_Toc11677"/>
            <w:r>
              <w:rPr>
                <w:rFonts w:hint="eastAsia" w:ascii="宋体" w:hAnsi="宋体" w:eastAsia="宋体" w:cs="Times New Roman"/>
                <w:color w:val="FF0000"/>
                <w:kern w:val="2"/>
                <w:sz w:val="21"/>
                <w:szCs w:val="21"/>
                <w:lang w:val="en-US" w:eastAsia="zh-CN" w:bidi="ar-SA"/>
              </w:rPr>
              <w:t>医疗救护组</w:t>
            </w:r>
          </w:p>
        </w:tc>
        <w:tc>
          <w:tcPr>
            <w:tcW w:w="472" w:type="pct"/>
            <w:tcBorders>
              <w:left w:val="single" w:color="auto" w:sz="4" w:space="0"/>
            </w:tcBorders>
            <w:vAlign w:val="center"/>
          </w:tcPr>
          <w:p>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组长</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吴金水</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15170976466</w:t>
            </w:r>
          </w:p>
        </w:tc>
        <w:tc>
          <w:tcPr>
            <w:tcW w:w="2783" w:type="pct"/>
            <w:vMerge w:val="restart"/>
            <w:vAlign w:val="center"/>
          </w:tcPr>
          <w:p>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负责事故受害者的应急救助，按照总指挥要求随时赶到现场，随时开展救助。</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restart"/>
            <w:tcBorders>
              <w:left w:val="single" w:color="auto" w:sz="4" w:space="0"/>
            </w:tcBorders>
            <w:vAlign w:val="center"/>
          </w:tcPr>
          <w:p>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组员</w:t>
            </w:r>
          </w:p>
        </w:tc>
        <w:tc>
          <w:tcPr>
            <w:tcW w:w="593" w:type="pct"/>
            <w:vAlign w:val="center"/>
          </w:tcPr>
          <w:p>
            <w:pPr>
              <w:pStyle w:val="47"/>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sz w:val="21"/>
              </w:rPr>
              <w:t>殷建平</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15270278816</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466"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472" w:type="pct"/>
            <w:vMerge w:val="continue"/>
            <w:tcBorders>
              <w:lef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郑晓亮</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15679291688</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color w:val="FF0000"/>
                <w:kern w:val="21"/>
                <w:sz w:val="21"/>
              </w:rPr>
            </w:pP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restart"/>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color w:val="FF0000"/>
                <w:kern w:val="21"/>
                <w:sz w:val="21"/>
              </w:rPr>
            </w:pPr>
            <w:r>
              <w:rPr>
                <w:rFonts w:hint="eastAsia" w:ascii="宋体" w:hAnsi="宋体" w:eastAsia="宋体" w:cs="Times New Roman"/>
                <w:color w:val="FF0000"/>
                <w:kern w:val="2"/>
                <w:sz w:val="21"/>
                <w:szCs w:val="21"/>
                <w:lang w:val="en-US" w:eastAsia="zh-CN" w:bidi="ar-SA"/>
              </w:rPr>
              <w:t>物资保障组</w:t>
            </w:r>
          </w:p>
        </w:tc>
        <w:tc>
          <w:tcPr>
            <w:tcW w:w="472" w:type="pct"/>
            <w:tcBorders>
              <w:left w:val="single" w:color="auto" w:sz="4" w:space="0"/>
            </w:tcBorders>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lang w:eastAsia="zh-CN"/>
              </w:rPr>
              <w:t>组长</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吴世球</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18779272297</w:t>
            </w:r>
          </w:p>
        </w:tc>
        <w:tc>
          <w:tcPr>
            <w:tcW w:w="2783" w:type="pct"/>
            <w:vMerge w:val="restart"/>
            <w:vAlign w:val="center"/>
          </w:tcPr>
          <w:p>
            <w:pPr>
              <w:widowControl/>
              <w:adjustRightInd w:val="0"/>
              <w:snapToGrid w:val="0"/>
              <w:spacing w:line="240" w:lineRule="auto"/>
              <w:ind w:firstLine="0" w:firstLineChars="0"/>
              <w:jc w:val="center"/>
              <w:rPr>
                <w:rFonts w:hint="eastAsia" w:ascii="Times New Roman" w:hAnsi="Times New Roman" w:eastAsia="宋体"/>
                <w:color w:val="FF0000"/>
                <w:kern w:val="21"/>
                <w:sz w:val="21"/>
                <w:lang w:eastAsia="zh-CN"/>
              </w:rPr>
            </w:pPr>
            <w:r>
              <w:rPr>
                <w:rFonts w:hint="eastAsia" w:ascii="Times New Roman" w:hAnsi="Times New Roman"/>
                <w:color w:val="FF0000"/>
                <w:kern w:val="21"/>
                <w:sz w:val="21"/>
                <w:lang w:eastAsia="zh-CN"/>
              </w:rPr>
              <w:t>负责应急物资的看管和派发。定期开展物资清点，确保应急物资组足质足量。按照总指挥要求及时把应急物资配置到事故现场。</w:t>
            </w:r>
          </w:p>
        </w:tc>
      </w:tr>
      <w:tr>
        <w:tblPrEx>
          <w:tblBorders>
            <w:top w:val="single" w:color="000000" w:sz="4" w:space="0"/>
            <w:left w:val="single" w:color="000000" w:sz="4" w:space="0"/>
            <w:bottom w:val="single" w:color="auto" w:sz="4" w:space="0"/>
            <w:right w:val="single" w:color="000000" w:sz="4" w:space="0"/>
            <w:insideH w:val="single" w:color="000000" w:sz="4" w:space="0"/>
            <w:insideV w:val="single" w:color="000000" w:sz="4" w:space="0"/>
          </w:tblBorders>
          <w:tblCellMar>
            <w:top w:w="15" w:type="dxa"/>
            <w:left w:w="108" w:type="dxa"/>
            <w:bottom w:w="15" w:type="dxa"/>
            <w:right w:w="108" w:type="dxa"/>
          </w:tblCellMar>
        </w:tblPrEx>
        <w:trPr>
          <w:trHeight w:val="187" w:hRule="atLeast"/>
          <w:jc w:val="center"/>
        </w:trPr>
        <w:tc>
          <w:tcPr>
            <w:tcW w:w="417" w:type="pct"/>
            <w:vMerge w:val="continue"/>
            <w:tcBorders>
              <w:right w:val="single" w:color="auto" w:sz="4" w:space="0"/>
            </w:tcBorders>
            <w:vAlign w:val="center"/>
          </w:tcPr>
          <w:p>
            <w:pPr>
              <w:widowControl/>
              <w:adjustRightInd w:val="0"/>
              <w:snapToGrid w:val="0"/>
              <w:spacing w:line="240" w:lineRule="auto"/>
              <w:ind w:firstLine="0" w:firstLineChars="0"/>
              <w:jc w:val="center"/>
              <w:rPr>
                <w:rFonts w:ascii="Times New Roman" w:hAnsi="Times New Roman"/>
                <w:kern w:val="21"/>
                <w:sz w:val="21"/>
              </w:rPr>
            </w:pPr>
          </w:p>
        </w:tc>
        <w:tc>
          <w:tcPr>
            <w:tcW w:w="472" w:type="pct"/>
            <w:tcBorders>
              <w:left w:val="single" w:color="auto" w:sz="4" w:space="0"/>
            </w:tcBorders>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lang w:eastAsia="zh-CN"/>
              </w:rPr>
              <w:t>组员</w:t>
            </w:r>
          </w:p>
        </w:tc>
        <w:tc>
          <w:tcPr>
            <w:tcW w:w="59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color w:val="FF0000"/>
                <w:kern w:val="21"/>
                <w:sz w:val="21"/>
              </w:rPr>
              <w:t>沈浪</w:t>
            </w:r>
          </w:p>
        </w:tc>
        <w:tc>
          <w:tcPr>
            <w:tcW w:w="733" w:type="pct"/>
            <w:vAlign w:val="center"/>
          </w:tcPr>
          <w:p>
            <w:pPr>
              <w:widowControl/>
              <w:adjustRightInd w:val="0"/>
              <w:snapToGrid w:val="0"/>
              <w:spacing w:line="240" w:lineRule="auto"/>
              <w:ind w:firstLine="0" w:firstLineChars="0"/>
              <w:jc w:val="center"/>
              <w:rPr>
                <w:rFonts w:hint="eastAsia" w:ascii="Times New Roman" w:hAnsi="Times New Roman" w:eastAsia="宋体" w:cs="Times New Roman"/>
                <w:color w:val="FF0000"/>
                <w:kern w:val="21"/>
                <w:sz w:val="21"/>
                <w:szCs w:val="21"/>
                <w:lang w:val="en-US" w:eastAsia="zh-CN" w:bidi="ar-SA"/>
              </w:rPr>
            </w:pPr>
            <w:r>
              <w:rPr>
                <w:rFonts w:hint="eastAsia" w:ascii="Times New Roman" w:hAnsi="Times New Roman"/>
                <w:color w:val="FF0000"/>
                <w:kern w:val="21"/>
                <w:sz w:val="21"/>
              </w:rPr>
              <w:t>18879227992</w:t>
            </w:r>
          </w:p>
        </w:tc>
        <w:tc>
          <w:tcPr>
            <w:tcW w:w="2783" w:type="pct"/>
            <w:vMerge w:val="continue"/>
            <w:vAlign w:val="center"/>
          </w:tcPr>
          <w:p>
            <w:pPr>
              <w:widowControl/>
              <w:adjustRightInd w:val="0"/>
              <w:snapToGrid w:val="0"/>
              <w:spacing w:line="240" w:lineRule="auto"/>
              <w:ind w:firstLine="0" w:firstLineChars="0"/>
              <w:jc w:val="center"/>
              <w:rPr>
                <w:rFonts w:ascii="Times New Roman" w:hAnsi="Times New Roman"/>
                <w:kern w:val="21"/>
                <w:sz w:val="21"/>
              </w:rPr>
            </w:pPr>
          </w:p>
        </w:tc>
      </w:tr>
    </w:tbl>
    <w:p>
      <w:pPr>
        <w:pStyle w:val="5"/>
        <w:adjustRightInd w:val="0"/>
        <w:spacing w:beforeLines="50" w:line="360" w:lineRule="auto"/>
        <w:jc w:val="both"/>
        <w:rPr>
          <w:kern w:val="21"/>
        </w:rPr>
      </w:pPr>
      <w:r>
        <w:rPr>
          <w:rFonts w:hint="eastAsia"/>
          <w:kern w:val="21"/>
        </w:rPr>
        <w:t>3</w:t>
      </w:r>
      <w:r>
        <w:rPr>
          <w:kern w:val="21"/>
        </w:rPr>
        <w:t>.3外部指挥和协调</w:t>
      </w:r>
      <w:bookmarkEnd w:id="128"/>
    </w:p>
    <w:p>
      <w:pPr>
        <w:adjustRightInd w:val="0"/>
        <w:snapToGrid w:val="0"/>
        <w:ind w:firstLine="480"/>
        <w:rPr>
          <w:rFonts w:ascii="Times New Roman" w:hAnsi="Times New Roman"/>
          <w:kern w:val="21"/>
        </w:rPr>
      </w:pPr>
      <w:r>
        <w:rPr>
          <w:rFonts w:ascii="Times New Roman" w:hAnsi="Times New Roman"/>
          <w:kern w:val="21"/>
        </w:rPr>
        <w:t>应急处置行动必须坚持统一指挥的原则。</w:t>
      </w:r>
      <w:r>
        <w:rPr>
          <w:rFonts w:hint="eastAsia" w:ascii="Times New Roman" w:hAnsi="Times New Roman"/>
          <w:kern w:val="21"/>
        </w:rPr>
        <w:t>总指挥黎宵月</w:t>
      </w:r>
      <w:r>
        <w:rPr>
          <w:rFonts w:ascii="Times New Roman" w:hAnsi="Times New Roman"/>
          <w:kern w:val="21"/>
        </w:rPr>
        <w:t>担当处置调度和协调各方力量的责任。</w:t>
      </w:r>
      <w:r>
        <w:rPr>
          <w:rFonts w:hint="eastAsia" w:ascii="Times New Roman" w:hAnsi="Times New Roman"/>
          <w:kern w:val="21"/>
        </w:rPr>
        <w:t>总指挥</w:t>
      </w:r>
      <w:r>
        <w:rPr>
          <w:rFonts w:ascii="Times New Roman" w:hAnsi="Times New Roman"/>
          <w:kern w:val="21"/>
        </w:rPr>
        <w:t>不在时</w:t>
      </w:r>
      <w:r>
        <w:rPr>
          <w:rFonts w:hint="eastAsia" w:ascii="Times New Roman" w:hAnsi="Times New Roman"/>
          <w:kern w:val="21"/>
        </w:rPr>
        <w:t>彭辉金</w:t>
      </w:r>
      <w:r>
        <w:rPr>
          <w:rFonts w:ascii="Times New Roman" w:hAnsi="Times New Roman"/>
          <w:kern w:val="21"/>
        </w:rPr>
        <w:t>智担任第一责任人。各应急组织机构中各组组长为第一责任人，当组长不在时由指定人员担任第一责任人。</w:t>
      </w:r>
    </w:p>
    <w:p>
      <w:pPr>
        <w:adjustRightInd w:val="0"/>
        <w:snapToGrid w:val="0"/>
        <w:ind w:firstLine="480"/>
        <w:rPr>
          <w:rFonts w:ascii="Times New Roman" w:hAnsi="Times New Roman"/>
          <w:kern w:val="21"/>
        </w:rPr>
      </w:pPr>
      <w:r>
        <w:rPr>
          <w:rFonts w:ascii="Times New Roman" w:hAnsi="Times New Roman"/>
          <w:kern w:val="21"/>
        </w:rPr>
        <w:t>启动本单位环境风险应急预案最高响应级别（厂外级）后，如事故不能有效处置，或者有扩大、发展趋势，或者影响到企业周边社区时，由本单位主要负责人（应急总指挥）报请</w:t>
      </w:r>
      <w:r>
        <w:rPr>
          <w:rFonts w:hint="eastAsia" w:ascii="Times New Roman" w:hAnsi="Times New Roman"/>
          <w:kern w:val="21"/>
        </w:rPr>
        <w:t>湖口县</w:t>
      </w:r>
      <w:r>
        <w:rPr>
          <w:rFonts w:ascii="Times New Roman" w:hAnsi="Times New Roman"/>
          <w:kern w:val="21"/>
        </w:rPr>
        <w:t>应急办请求支援或者建议启动上级（政府级）事故应急预案。</w:t>
      </w:r>
    </w:p>
    <w:p>
      <w:pPr>
        <w:adjustRightInd w:val="0"/>
        <w:snapToGrid w:val="0"/>
        <w:ind w:firstLine="480"/>
        <w:rPr>
          <w:rFonts w:ascii="Times New Roman" w:hAnsi="Times New Roman"/>
          <w:kern w:val="21"/>
        </w:rPr>
      </w:pPr>
      <w:r>
        <w:rPr>
          <w:rFonts w:ascii="Times New Roman" w:hAnsi="Times New Roman"/>
          <w:kern w:val="21"/>
        </w:rPr>
        <w:t>政府部门介入救援后，现场指挥权由公司应急办公室移交给政府救援部门，公司应急办公室服从当地政府救援部门的指挥。</w:t>
      </w:r>
    </w:p>
    <w:p>
      <w:pPr>
        <w:pStyle w:val="195"/>
        <w:ind w:firstLine="600"/>
        <w:outlineLvl w:val="0"/>
      </w:pPr>
      <w:bookmarkStart w:id="129" w:name="_Toc8745"/>
      <w:bookmarkStart w:id="130" w:name="_Toc6310"/>
      <w:bookmarkStart w:id="131" w:name="_Toc2918"/>
      <w:bookmarkStart w:id="132" w:name="_Toc2082"/>
      <w:bookmarkStart w:id="133" w:name="_Toc2896"/>
      <w:bookmarkStart w:id="134" w:name="_Toc18695"/>
      <w:bookmarkStart w:id="135" w:name="_Toc14935"/>
      <w:bookmarkStart w:id="136" w:name="_Toc17659"/>
      <w:bookmarkStart w:id="137" w:name="_Toc8755"/>
      <w:bookmarkStart w:id="138" w:name="_Toc337"/>
      <w:bookmarkStart w:id="139" w:name="_Toc20919"/>
      <w:bookmarkStart w:id="140" w:name="_Toc4690"/>
      <w:bookmarkStart w:id="141" w:name="_Toc21902"/>
      <w:bookmarkStart w:id="142" w:name="_Toc21569"/>
      <w:bookmarkStart w:id="143" w:name="_Toc4056"/>
      <w:bookmarkStart w:id="144" w:name="_Toc350376334"/>
      <w:bookmarkStart w:id="145" w:name="_Toc342395912"/>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pStyle w:val="195"/>
        <w:ind w:firstLine="600"/>
        <w:outlineLvl w:val="0"/>
      </w:pPr>
    </w:p>
    <w:p>
      <w:pPr>
        <w:ind w:firstLine="0" w:firstLineChars="0"/>
      </w:pPr>
    </w:p>
    <w:p>
      <w:pPr>
        <w:pStyle w:val="4"/>
        <w:adjustRightInd w:val="0"/>
        <w:snapToGrid w:val="0"/>
        <w:spacing w:beforeLines="50"/>
        <w:rPr>
          <w:kern w:val="21"/>
        </w:rPr>
      </w:pPr>
      <w:bookmarkStart w:id="146" w:name="_Toc14743"/>
      <w:bookmarkStart w:id="147" w:name="_Toc9303"/>
      <w:bookmarkStart w:id="148" w:name="_Toc20120"/>
      <w:bookmarkStart w:id="149" w:name="_Toc28872"/>
      <w:bookmarkStart w:id="150" w:name="_Toc7995"/>
      <w:bookmarkStart w:id="151" w:name="_Toc17355"/>
      <w:bookmarkStart w:id="152" w:name="_Toc32398"/>
      <w:bookmarkStart w:id="153" w:name="_Toc14688"/>
      <w:bookmarkStart w:id="154" w:name="_Toc20261"/>
      <w:bookmarkStart w:id="155" w:name="_Toc25542"/>
      <w:bookmarkStart w:id="156" w:name="_Toc23408"/>
      <w:bookmarkStart w:id="157" w:name="_Toc7510"/>
      <w:bookmarkStart w:id="158" w:name="_Toc31362"/>
      <w:bookmarkStart w:id="159" w:name="_Toc22401"/>
      <w:r>
        <w:rPr>
          <w:rFonts w:hint="eastAsia"/>
          <w:kern w:val="21"/>
        </w:rPr>
        <w:t>4预防、预警及信息报告</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pPr>
        <w:pStyle w:val="5"/>
        <w:adjustRightInd w:val="0"/>
        <w:spacing w:line="360" w:lineRule="auto"/>
        <w:rPr>
          <w:kern w:val="21"/>
        </w:rPr>
      </w:pPr>
      <w:r>
        <w:rPr>
          <w:rFonts w:hint="eastAsia"/>
          <w:kern w:val="21"/>
        </w:rPr>
        <w:t>4</w:t>
      </w:r>
      <w:r>
        <w:rPr>
          <w:kern w:val="21"/>
        </w:rPr>
        <w:t>.1</w:t>
      </w:r>
      <w:r>
        <w:rPr>
          <w:rFonts w:hint="eastAsia"/>
          <w:kern w:val="21"/>
        </w:rPr>
        <w:t>预防工作</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pPr>
        <w:ind w:firstLine="480"/>
      </w:pPr>
      <w:r>
        <w:rPr>
          <w:rFonts w:hint="eastAsia" w:cs="宋体"/>
          <w:snapToGrid w:val="0"/>
        </w:rPr>
        <w:t>本公司为加强环境保护的管理工作，建立完善的环境管理体系，编制操作运行管理制度及设备维护、检修管理制度，加强运营人员培训，确保规范化操作。</w:t>
      </w:r>
    </w:p>
    <w:p>
      <w:pPr>
        <w:pStyle w:val="64"/>
        <w:outlineLvl w:val="1"/>
        <w:rPr>
          <w:color w:val="auto"/>
        </w:rPr>
      </w:pPr>
      <w:bookmarkStart w:id="160" w:name="_Toc7755"/>
      <w:bookmarkStart w:id="161" w:name="_Toc13055"/>
      <w:bookmarkStart w:id="162" w:name="_Toc29100"/>
      <w:bookmarkStart w:id="163" w:name="_Toc570"/>
      <w:r>
        <w:rPr>
          <w:rFonts w:hint="eastAsia"/>
          <w:color w:val="auto"/>
        </w:rPr>
        <w:t>4</w:t>
      </w:r>
      <w:r>
        <w:rPr>
          <w:color w:val="auto"/>
        </w:rPr>
        <w:t xml:space="preserve">.1.1 </w:t>
      </w:r>
      <w:r>
        <w:rPr>
          <w:rFonts w:hint="eastAsia"/>
          <w:color w:val="auto"/>
        </w:rPr>
        <w:t>环境风险源监控</w:t>
      </w:r>
      <w:bookmarkEnd w:id="160"/>
      <w:bookmarkEnd w:id="161"/>
      <w:bookmarkEnd w:id="162"/>
      <w:bookmarkEnd w:id="163"/>
    </w:p>
    <w:p>
      <w:pPr>
        <w:ind w:firstLine="480"/>
      </w:pPr>
      <w:r>
        <w:rPr>
          <w:rFonts w:hint="eastAsia" w:cs="宋体"/>
        </w:rPr>
        <w:t>公司对各环境风险源的监控预防措施主要有：</w:t>
      </w:r>
    </w:p>
    <w:p>
      <w:pPr>
        <w:numPr>
          <w:ilvl w:val="0"/>
          <w:numId w:val="4"/>
        </w:numPr>
        <w:ind w:left="0" w:firstLine="480" w:firstLineChars="0"/>
      </w:pPr>
      <w:r>
        <w:rPr>
          <w:rFonts w:hint="eastAsia" w:cs="宋体"/>
        </w:rPr>
        <w:t>建立危险源监控制度，落实监控措施；</w:t>
      </w:r>
    </w:p>
    <w:p>
      <w:pPr>
        <w:numPr>
          <w:ilvl w:val="0"/>
          <w:numId w:val="4"/>
        </w:numPr>
        <w:ind w:left="0" w:firstLine="480" w:firstLineChars="0"/>
      </w:pPr>
      <w:r>
        <w:rPr>
          <w:rFonts w:hint="eastAsia" w:cs="宋体"/>
        </w:rPr>
        <w:t>定期进行防雷防静电检测；</w:t>
      </w:r>
    </w:p>
    <w:p>
      <w:pPr>
        <w:numPr>
          <w:ilvl w:val="0"/>
          <w:numId w:val="4"/>
        </w:numPr>
        <w:ind w:left="0" w:firstLine="480" w:firstLineChars="0"/>
      </w:pPr>
      <w:r>
        <w:rPr>
          <w:rFonts w:hint="eastAsia" w:cs="宋体"/>
        </w:rPr>
        <w:t>设备设施定期保养并保持完好；</w:t>
      </w:r>
    </w:p>
    <w:p>
      <w:pPr>
        <w:numPr>
          <w:ilvl w:val="0"/>
          <w:numId w:val="4"/>
        </w:numPr>
        <w:tabs>
          <w:tab w:val="left" w:pos="1290"/>
          <w:tab w:val="clear" w:pos="0"/>
        </w:tabs>
        <w:ind w:left="0" w:firstLine="480" w:firstLineChars="0"/>
        <w:jc w:val="left"/>
      </w:pPr>
      <w:r>
        <w:rPr>
          <w:rFonts w:hint="eastAsia" w:cs="宋体"/>
        </w:rPr>
        <w:t>建立安全检查制度，定期对现场进行安全检查，发现问题及时整改。</w:t>
      </w:r>
    </w:p>
    <w:p>
      <w:pPr>
        <w:pStyle w:val="64"/>
        <w:outlineLvl w:val="1"/>
        <w:rPr>
          <w:color w:val="auto"/>
        </w:rPr>
      </w:pPr>
      <w:bookmarkStart w:id="164" w:name="_Toc13820"/>
      <w:bookmarkStart w:id="165" w:name="_Toc26406"/>
      <w:bookmarkStart w:id="166" w:name="_Toc13524"/>
      <w:bookmarkStart w:id="167" w:name="_Toc21830"/>
      <w:r>
        <w:rPr>
          <w:rFonts w:hint="eastAsia"/>
          <w:color w:val="auto"/>
        </w:rPr>
        <w:t>4</w:t>
      </w:r>
      <w:r>
        <w:rPr>
          <w:color w:val="auto"/>
        </w:rPr>
        <w:t xml:space="preserve">.1.2 </w:t>
      </w:r>
      <w:r>
        <w:rPr>
          <w:rFonts w:hint="eastAsia"/>
          <w:color w:val="auto"/>
        </w:rPr>
        <w:t>防范措施</w:t>
      </w:r>
      <w:bookmarkEnd w:id="164"/>
      <w:bookmarkEnd w:id="165"/>
      <w:bookmarkEnd w:id="166"/>
      <w:bookmarkEnd w:id="167"/>
    </w:p>
    <w:p>
      <w:pPr>
        <w:ind w:firstLine="361" w:firstLineChars="150"/>
        <w:rPr>
          <w:b/>
          <w:bCs/>
        </w:rPr>
      </w:pPr>
      <w:r>
        <w:rPr>
          <w:rFonts w:hint="eastAsia" w:cs="宋体"/>
          <w:b/>
          <w:bCs/>
        </w:rPr>
        <w:t>（</w:t>
      </w:r>
      <w:r>
        <w:rPr>
          <w:b/>
          <w:bCs/>
        </w:rPr>
        <w:t>1</w:t>
      </w:r>
      <w:r>
        <w:rPr>
          <w:rFonts w:hint="eastAsia" w:cs="宋体"/>
          <w:b/>
          <w:bCs/>
        </w:rPr>
        <w:t>）安全管理措施</w:t>
      </w:r>
    </w:p>
    <w:p>
      <w:pPr>
        <w:ind w:firstLine="480"/>
      </w:pPr>
      <w:r>
        <w:rPr>
          <w:rFonts w:hint="eastAsia" w:cs="宋体"/>
        </w:rPr>
        <w:t>①公司设有专门的安全生产管理机构，任命了安全管理人员，能处理一般突发事故及排除安全隐患；</w:t>
      </w:r>
    </w:p>
    <w:p>
      <w:pPr>
        <w:ind w:firstLine="480"/>
      </w:pPr>
      <w:r>
        <w:rPr>
          <w:rFonts w:hint="eastAsia" w:cs="宋体"/>
        </w:rPr>
        <w:t>②安全管理员、特种作业人员、其他从业人员均经相关政府部门或本公司培训，考核合格取得上岗资格后方可上岗作业；</w:t>
      </w:r>
    </w:p>
    <w:p>
      <w:pPr>
        <w:ind w:firstLine="480"/>
      </w:pPr>
      <w:r>
        <w:rPr>
          <w:rFonts w:hint="eastAsia" w:cs="宋体"/>
        </w:rPr>
        <w:t>③制订了安全管理制度和安全操作规程，并对相关人员进行考核，消除了人的不安全行为；</w:t>
      </w:r>
    </w:p>
    <w:p>
      <w:pPr>
        <w:ind w:firstLine="480"/>
      </w:pPr>
      <w:r>
        <w:rPr>
          <w:rFonts w:hint="eastAsia" w:cs="宋体"/>
        </w:rPr>
        <w:t>④建立安全检查、二巡查和值班制度，及时发现事故隐患并将事故隐患消除在初期阶段；</w:t>
      </w:r>
    </w:p>
    <w:p>
      <w:pPr>
        <w:ind w:firstLine="480"/>
      </w:pPr>
      <w:r>
        <w:rPr>
          <w:rFonts w:hint="eastAsia" w:cs="宋体"/>
        </w:rPr>
        <w:t>⑤制订了相应的事故应急救援预案，对各类事故的防范作出了应急措施；</w:t>
      </w:r>
    </w:p>
    <w:p>
      <w:pPr>
        <w:ind w:firstLine="480"/>
      </w:pPr>
      <w:r>
        <w:rPr>
          <w:rFonts w:hint="eastAsia" w:cs="宋体"/>
        </w:rPr>
        <w:t>⑥员工均经安全教育培训，掌握了基本的逃生急救知识。</w:t>
      </w:r>
    </w:p>
    <w:p>
      <w:pPr>
        <w:ind w:firstLine="361" w:firstLineChars="150"/>
        <w:rPr>
          <w:b/>
          <w:bCs/>
        </w:rPr>
      </w:pPr>
      <w:r>
        <w:rPr>
          <w:rFonts w:hint="eastAsia" w:cs="宋体"/>
          <w:b/>
          <w:bCs/>
        </w:rPr>
        <w:t>（</w:t>
      </w:r>
      <w:r>
        <w:rPr>
          <w:b/>
          <w:bCs/>
        </w:rPr>
        <w:t>2</w:t>
      </w:r>
      <w:r>
        <w:rPr>
          <w:rFonts w:hint="eastAsia" w:cs="宋体"/>
          <w:b/>
          <w:bCs/>
        </w:rPr>
        <w:t>）安全技术措施</w:t>
      </w:r>
    </w:p>
    <w:p>
      <w:pPr>
        <w:ind w:firstLine="480"/>
      </w:pPr>
      <w:r>
        <w:rPr>
          <w:rFonts w:hint="eastAsia" w:cs="宋体"/>
        </w:rPr>
        <w:t>①公司作业场所配备了灭火器及消防灭火供水系统；</w:t>
      </w:r>
    </w:p>
    <w:p>
      <w:pPr>
        <w:ind w:firstLine="480"/>
      </w:pPr>
      <w:r>
        <w:rPr>
          <w:rFonts w:hint="eastAsia" w:cs="宋体"/>
        </w:rPr>
        <w:t>②消防设施、器材有专人管理，消防器材摆放在明显和便于取用的地点，周围没有存放杂物；</w:t>
      </w:r>
    </w:p>
    <w:p>
      <w:pPr>
        <w:ind w:firstLine="480"/>
      </w:pPr>
      <w:r>
        <w:rPr>
          <w:rFonts w:hint="eastAsia" w:cs="宋体"/>
        </w:rPr>
        <w:t>③储存装备布置、建筑结构、电器设备的选用及安装符合国家有关规定和标准；</w:t>
      </w:r>
    </w:p>
    <w:p>
      <w:pPr>
        <w:ind w:firstLine="480"/>
      </w:pPr>
      <w:r>
        <w:rPr>
          <w:rFonts w:hint="eastAsia" w:cs="宋体"/>
        </w:rPr>
        <w:t>④按规定发放了防毒口罩、手套、工作服等劳动防护用品，作业场所按国家有关规定设</w:t>
      </w:r>
    </w:p>
    <w:p>
      <w:pPr>
        <w:pStyle w:val="64"/>
        <w:outlineLvl w:val="1"/>
        <w:rPr>
          <w:color w:val="auto"/>
        </w:rPr>
      </w:pPr>
      <w:bookmarkStart w:id="168" w:name="_Toc6498"/>
      <w:bookmarkStart w:id="169" w:name="_Toc9455"/>
      <w:bookmarkStart w:id="170" w:name="_Toc18874"/>
      <w:bookmarkStart w:id="171" w:name="_Toc11234"/>
      <w:r>
        <w:rPr>
          <w:rFonts w:hint="eastAsia"/>
          <w:color w:val="auto"/>
        </w:rPr>
        <w:t>4</w:t>
      </w:r>
      <w:r>
        <w:rPr>
          <w:color w:val="auto"/>
        </w:rPr>
        <w:t>.1.3</w:t>
      </w:r>
      <w:r>
        <w:rPr>
          <w:rFonts w:hint="eastAsia"/>
          <w:color w:val="auto"/>
        </w:rPr>
        <w:t>环境风险隐患排查和整治措施</w:t>
      </w:r>
      <w:bookmarkEnd w:id="168"/>
      <w:bookmarkEnd w:id="169"/>
      <w:bookmarkEnd w:id="170"/>
      <w:bookmarkEnd w:id="171"/>
    </w:p>
    <w:p>
      <w:pPr>
        <w:ind w:firstLine="361" w:firstLineChars="150"/>
        <w:rPr>
          <w:rFonts w:ascii="宋体"/>
          <w:b/>
          <w:bCs/>
        </w:rPr>
      </w:pPr>
      <w:r>
        <w:rPr>
          <w:rFonts w:hint="eastAsia" w:ascii="宋体" w:cs="宋体"/>
          <w:b/>
          <w:bCs/>
        </w:rPr>
        <w:t>（</w:t>
      </w:r>
      <w:r>
        <w:rPr>
          <w:rFonts w:ascii="宋体" w:cs="宋体"/>
          <w:b/>
          <w:bCs/>
        </w:rPr>
        <w:t>1</w:t>
      </w:r>
      <w:r>
        <w:rPr>
          <w:rFonts w:hint="eastAsia" w:ascii="宋体" w:cs="宋体"/>
          <w:b/>
          <w:bCs/>
        </w:rPr>
        <w:t>）风险排查的任务和要求</w:t>
      </w:r>
    </w:p>
    <w:p>
      <w:pPr>
        <w:ind w:firstLine="480"/>
        <w:rPr>
          <w:rFonts w:ascii="宋体"/>
        </w:rPr>
      </w:pPr>
      <w:r>
        <w:rPr>
          <w:rFonts w:hint="eastAsia" w:ascii="宋体" w:cs="宋体"/>
        </w:rPr>
        <w:t>①风险排查是安全生产管理工作的重要手段，是各级领导的重要职责，在组织各项生产活动时，都要认真检查安全工作。</w:t>
      </w:r>
    </w:p>
    <w:p>
      <w:pPr>
        <w:ind w:firstLine="480"/>
        <w:rPr>
          <w:rFonts w:ascii="宋体"/>
        </w:rPr>
      </w:pPr>
      <w:r>
        <w:rPr>
          <w:rFonts w:hint="eastAsia" w:ascii="宋体" w:cs="宋体"/>
        </w:rPr>
        <w:t>②风险排查的任务是查明和发现各种不安全因素和隐患督促整改、监督各项安全管理制度的落实，制止“三违”，做好防范和风险整治工作。</w:t>
      </w:r>
    </w:p>
    <w:p>
      <w:pPr>
        <w:ind w:firstLine="480"/>
        <w:rPr>
          <w:rFonts w:ascii="宋体"/>
        </w:rPr>
      </w:pPr>
      <w:r>
        <w:rPr>
          <w:rFonts w:hint="eastAsia" w:ascii="宋体" w:cs="宋体"/>
        </w:rPr>
        <w:t>③风险排查工作要有明确的目的、要求和具体计划。</w:t>
      </w:r>
    </w:p>
    <w:p>
      <w:pPr>
        <w:ind w:firstLine="480"/>
        <w:rPr>
          <w:rFonts w:ascii="宋体"/>
        </w:rPr>
      </w:pPr>
      <w:r>
        <w:rPr>
          <w:rFonts w:hint="eastAsia" w:ascii="宋体" w:cs="宋体"/>
        </w:rPr>
        <w:t>④风险排查组织由主管安全生产的各级领导负责和有关职能人员参加，做到边检查边整改，并及时总结和推广先进经验。</w:t>
      </w:r>
    </w:p>
    <w:p>
      <w:pPr>
        <w:ind w:firstLine="361" w:firstLineChars="150"/>
        <w:rPr>
          <w:rFonts w:ascii="宋体"/>
          <w:b/>
          <w:bCs/>
        </w:rPr>
      </w:pPr>
      <w:r>
        <w:rPr>
          <w:rFonts w:hint="eastAsia" w:ascii="宋体" w:cs="宋体"/>
          <w:b/>
          <w:bCs/>
        </w:rPr>
        <w:t>（</w:t>
      </w:r>
      <w:r>
        <w:rPr>
          <w:rFonts w:ascii="宋体" w:cs="宋体"/>
          <w:b/>
          <w:bCs/>
        </w:rPr>
        <w:t>2</w:t>
      </w:r>
      <w:r>
        <w:rPr>
          <w:rFonts w:hint="eastAsia" w:ascii="宋体" w:cs="宋体"/>
          <w:b/>
          <w:bCs/>
        </w:rPr>
        <w:t>）风险排查内容</w:t>
      </w:r>
    </w:p>
    <w:p>
      <w:pPr>
        <w:ind w:firstLine="480"/>
        <w:rPr>
          <w:rFonts w:ascii="宋体"/>
        </w:rPr>
      </w:pPr>
      <w:r>
        <w:rPr>
          <w:rFonts w:hint="eastAsia" w:ascii="宋体" w:cs="宋体"/>
        </w:rPr>
        <w:t>①查思想：查对环境风险的认识，是否牢固树立安全第一的思想和安全生产责任心。</w:t>
      </w:r>
    </w:p>
    <w:p>
      <w:pPr>
        <w:ind w:firstLine="480"/>
        <w:rPr>
          <w:rFonts w:ascii="宋体"/>
        </w:rPr>
      </w:pPr>
      <w:r>
        <w:rPr>
          <w:rFonts w:hint="eastAsia" w:ascii="宋体" w:cs="宋体"/>
        </w:rPr>
        <w:t>②查制度：查安全生产规章制度是否建立健全和各项制度的执行情况。</w:t>
      </w:r>
    </w:p>
    <w:p>
      <w:pPr>
        <w:ind w:firstLine="480"/>
        <w:rPr>
          <w:rFonts w:ascii="宋体"/>
        </w:rPr>
      </w:pPr>
      <w:r>
        <w:rPr>
          <w:rFonts w:hint="eastAsia" w:ascii="宋体" w:cs="宋体"/>
        </w:rPr>
        <w:t>③查纪律：查岗位上劳动纪律、工艺纪律和安全纪律遵守情况。</w:t>
      </w:r>
    </w:p>
    <w:p>
      <w:pPr>
        <w:ind w:firstLine="480"/>
        <w:rPr>
          <w:rFonts w:ascii="宋体"/>
        </w:rPr>
      </w:pPr>
      <w:r>
        <w:rPr>
          <w:rFonts w:hint="eastAsia" w:ascii="宋体" w:cs="宋体"/>
        </w:rPr>
        <w:t>④查领导：查领导是否把环境风险防范摆到重要议事日程，生产与安全是否做到“三同时”。</w:t>
      </w:r>
    </w:p>
    <w:p>
      <w:pPr>
        <w:ind w:firstLine="480"/>
        <w:rPr>
          <w:rFonts w:ascii="宋体"/>
        </w:rPr>
      </w:pPr>
      <w:r>
        <w:rPr>
          <w:rFonts w:hint="eastAsia" w:ascii="宋体" w:cs="宋体"/>
        </w:rPr>
        <w:t>⑤查隐患：查是否做到安全生产、文明生产。设备的安全防护装置是否安全可靠，厂房建筑、生产设施有无不安全隐患，岗位有害物浓度是否达到安全卫生标准。</w:t>
      </w:r>
    </w:p>
    <w:p>
      <w:pPr>
        <w:ind w:firstLine="482"/>
        <w:rPr>
          <w:rFonts w:ascii="宋体"/>
          <w:b/>
          <w:bCs/>
        </w:rPr>
      </w:pPr>
      <w:r>
        <w:rPr>
          <w:rFonts w:hint="eastAsia" w:ascii="宋体" w:cs="宋体"/>
          <w:b/>
          <w:bCs/>
        </w:rPr>
        <w:t>（</w:t>
      </w:r>
      <w:r>
        <w:rPr>
          <w:rFonts w:ascii="宋体" w:cs="宋体"/>
          <w:b/>
          <w:bCs/>
        </w:rPr>
        <w:t>3</w:t>
      </w:r>
      <w:r>
        <w:rPr>
          <w:rFonts w:hint="eastAsia" w:ascii="宋体" w:cs="宋体"/>
          <w:b/>
          <w:bCs/>
        </w:rPr>
        <w:t>）风险排查形式</w:t>
      </w:r>
    </w:p>
    <w:p>
      <w:pPr>
        <w:ind w:firstLine="480"/>
        <w:rPr>
          <w:rFonts w:ascii="宋体"/>
        </w:rPr>
      </w:pPr>
      <w:r>
        <w:rPr>
          <w:rFonts w:hint="eastAsia" w:ascii="宋体" w:cs="宋体"/>
        </w:rPr>
        <w:t>①综合性检查。坚持定期或不定期的安全生产检查制度，公司风险排查由副总负责。召集有关职能人员组成检查组。检查和整改情况汇总上报。公司应急小组组织全公司的检查，每年不少于两次。每月检查不少于两次。并将检查和整改情况由有关责任人汇总抄送给主要负责人。工段负责人每周进行二次检查，班组进行每日检查制度。</w:t>
      </w:r>
    </w:p>
    <w:p>
      <w:pPr>
        <w:ind w:firstLine="480"/>
        <w:rPr>
          <w:rFonts w:ascii="宋体"/>
        </w:rPr>
      </w:pPr>
      <w:r>
        <w:rPr>
          <w:rFonts w:hint="eastAsia" w:ascii="宋体" w:cs="宋体"/>
        </w:rPr>
        <w:t>②季节性检查。对防雨防洪、防泄露、防火防爆及防污染等工作，进行预防性季节检查，由各生产单位负责组织进行，并将检查和整改情况上报公司分管领导，抄送总经理。</w:t>
      </w:r>
    </w:p>
    <w:p>
      <w:pPr>
        <w:ind w:firstLine="480"/>
        <w:rPr>
          <w:rFonts w:ascii="宋体"/>
        </w:rPr>
      </w:pPr>
      <w:r>
        <w:rPr>
          <w:rFonts w:hint="eastAsia" w:ascii="宋体" w:cs="宋体"/>
        </w:rPr>
        <w:t>③日常检查分岗位工人检查和管理人员巡回检查。岗位工人应认真执行岗位安全生产责任制，进行交接班检查和班中巡回检查，各级管理人员应在各自的业务范围内进行经常性检查。</w:t>
      </w:r>
    </w:p>
    <w:p>
      <w:pPr>
        <w:ind w:firstLine="480"/>
        <w:rPr>
          <w:rFonts w:ascii="宋体"/>
        </w:rPr>
      </w:pPr>
      <w:r>
        <w:rPr>
          <w:rFonts w:hint="eastAsia" w:ascii="宋体" w:cs="宋体"/>
        </w:rPr>
        <w:t>④各种检查均应按须检内容逐一检查，并有文字记录备案。</w:t>
      </w:r>
    </w:p>
    <w:p>
      <w:pPr>
        <w:ind w:firstLine="361" w:firstLineChars="150"/>
        <w:rPr>
          <w:rFonts w:ascii="宋体"/>
          <w:b/>
          <w:bCs/>
        </w:rPr>
      </w:pPr>
      <w:r>
        <w:rPr>
          <w:rFonts w:hint="eastAsia" w:ascii="宋体" w:cs="宋体"/>
          <w:b/>
          <w:bCs/>
        </w:rPr>
        <w:t>（</w:t>
      </w:r>
      <w:r>
        <w:rPr>
          <w:rFonts w:ascii="宋体" w:cs="宋体"/>
          <w:b/>
          <w:bCs/>
        </w:rPr>
        <w:t>4</w:t>
      </w:r>
      <w:r>
        <w:rPr>
          <w:rFonts w:hint="eastAsia" w:ascii="宋体" w:cs="宋体"/>
          <w:b/>
          <w:bCs/>
        </w:rPr>
        <w:t>）风险整治措施</w:t>
      </w:r>
    </w:p>
    <w:p>
      <w:pPr>
        <w:ind w:firstLine="470" w:firstLineChars="196"/>
        <w:rPr>
          <w:rFonts w:ascii="宋体"/>
        </w:rPr>
      </w:pPr>
      <w:r>
        <w:rPr>
          <w:rFonts w:hint="eastAsia" w:ascii="宋体" w:cs="宋体"/>
        </w:rPr>
        <w:t>①风险隐患是指公司的生产设备、设施、作业环境、生产组织和劳动组织等方面不符合环境安全规定的缺陷和问题。这些缺陷和问题危及公司环境安全和周边敏感点，可能引起环境事故。必须及时进行整改。如本单位不能进行整改的要立即报告主管部门统一安排整改。</w:t>
      </w:r>
    </w:p>
    <w:p>
      <w:pPr>
        <w:ind w:firstLine="470" w:firstLineChars="196"/>
        <w:rPr>
          <w:rFonts w:ascii="宋体"/>
        </w:rPr>
      </w:pPr>
      <w:r>
        <w:rPr>
          <w:rFonts w:hint="eastAsia" w:ascii="宋体" w:cs="宋体"/>
        </w:rPr>
        <w:t>②公司主管领导对本公司、部门风险整治工作负全面责任。应依照“安全第一、预防为主、综合治理”的方针，及时采取有效措施，消除隐患，使作业场所和各项设施符合有关环境安全规定。</w:t>
      </w:r>
    </w:p>
    <w:p>
      <w:pPr>
        <w:ind w:firstLine="470" w:firstLineChars="196"/>
        <w:rPr>
          <w:rFonts w:ascii="宋体"/>
        </w:rPr>
      </w:pPr>
      <w:r>
        <w:rPr>
          <w:rFonts w:hint="eastAsia" w:ascii="宋体" w:cs="宋体"/>
        </w:rPr>
        <w:t>③各生产部门及下属单位都要建立隐患检查、登记、整改、销案制度，凡属已经发现而又不能迅速消除的隐患，均要逐项登记，联系有关单位安排整改。</w:t>
      </w:r>
    </w:p>
    <w:p>
      <w:pPr>
        <w:ind w:firstLine="470" w:firstLineChars="196"/>
        <w:rPr>
          <w:rFonts w:ascii="宋体"/>
        </w:rPr>
      </w:pPr>
      <w:r>
        <w:rPr>
          <w:rFonts w:hint="eastAsia" w:ascii="宋体" w:cs="宋体"/>
        </w:rPr>
        <w:t>④重大隐患实行归口申报处理制度。发现重大隐患应首先采取临时性防护措施，并通知各专业单位进行整改，同时报环境管理部门备案。</w:t>
      </w:r>
    </w:p>
    <w:p>
      <w:pPr>
        <w:ind w:firstLine="470" w:firstLineChars="196"/>
        <w:rPr>
          <w:rFonts w:ascii="宋体"/>
        </w:rPr>
      </w:pPr>
      <w:r>
        <w:rPr>
          <w:rFonts w:hint="eastAsia" w:ascii="宋体" w:cs="宋体"/>
        </w:rPr>
        <w:t>⑤急需整治的重大风险隐患。为了不影响环境安全，可直接报送环境管理部门，由其安排有关单位立即实施风险整治工作。风险整治工作由使用单位检查、督促，环保主管负责协办、督办。</w:t>
      </w:r>
    </w:p>
    <w:p>
      <w:pPr>
        <w:ind w:firstLine="470" w:firstLineChars="196"/>
        <w:rPr>
          <w:rFonts w:ascii="宋体"/>
        </w:rPr>
      </w:pPr>
      <w:r>
        <w:rPr>
          <w:rFonts w:hint="eastAsia" w:ascii="宋体" w:cs="宋体"/>
        </w:rPr>
        <w:t>⑥凡重大隐患未及时向职能部门申报，或处理前未采取临时防护措施而发生事故，将追究事故单位领导责任，归口处理单位未按要求及时处理，责任由整改项目归口单位负责，未及时进行催办由使用单位负责，未及时进行协办，督办由环境管理部门负责，风险整治具体归口单位如下：</w:t>
      </w:r>
    </w:p>
    <w:p>
      <w:pPr>
        <w:ind w:firstLine="480"/>
        <w:rPr>
          <w:rFonts w:ascii="宋体"/>
        </w:rPr>
      </w:pPr>
      <w:r>
        <w:rPr>
          <w:rFonts w:ascii="宋体" w:cs="宋体"/>
        </w:rPr>
        <w:t>a</w:t>
      </w:r>
      <w:r>
        <w:rPr>
          <w:rFonts w:hint="eastAsia" w:ascii="MS Mincho" w:hAnsi="MS Mincho" w:cs="宋体"/>
        </w:rPr>
        <w:t>、</w:t>
      </w:r>
      <w:r>
        <w:rPr>
          <w:rFonts w:hint="eastAsia" w:ascii="宋体" w:cs="宋体"/>
        </w:rPr>
        <w:t>三废处置设施设备隐患由所属部门设备技术人员负责处理；（电气）自动化、仪表、计算机隐患由电仪工段负责处理。</w:t>
      </w:r>
    </w:p>
    <w:p>
      <w:pPr>
        <w:ind w:firstLine="480"/>
        <w:rPr>
          <w:rFonts w:ascii="宋体"/>
        </w:rPr>
      </w:pPr>
      <w:r>
        <w:rPr>
          <w:rFonts w:ascii="宋体" w:cs="宋体"/>
        </w:rPr>
        <w:t>b</w:t>
      </w:r>
      <w:r>
        <w:rPr>
          <w:rFonts w:hint="eastAsia" w:ascii="MS Mincho" w:hAnsi="MS Mincho" w:cs="宋体"/>
        </w:rPr>
        <w:t>、</w:t>
      </w:r>
      <w:r>
        <w:rPr>
          <w:rFonts w:hint="eastAsia" w:ascii="宋体" w:cs="宋体"/>
        </w:rPr>
        <w:t>危险品、储存隐患由所属相应对口部门负责处理。</w:t>
      </w:r>
    </w:p>
    <w:p>
      <w:pPr>
        <w:ind w:firstLine="470" w:firstLineChars="196"/>
        <w:rPr>
          <w:rFonts w:ascii="宋体"/>
        </w:rPr>
      </w:pPr>
      <w:r>
        <w:rPr>
          <w:rFonts w:hint="eastAsia" w:ascii="宋体" w:cs="宋体"/>
        </w:rPr>
        <w:t>⑦风险整治管理实行工作联系通知单制度，《整改通知单》到达后，整改责任单位应合理安排整改计划。未及时认真落实整改的将按照《生产安全事故管理行政责任追究制度》规定严肃考核。</w:t>
      </w:r>
    </w:p>
    <w:p>
      <w:pPr>
        <w:ind w:firstLine="480"/>
      </w:pPr>
      <w:r>
        <w:rPr>
          <w:rFonts w:hint="eastAsia" w:ascii="宋体" w:cs="宋体"/>
        </w:rPr>
        <w:t>⑧发现隐患，填报《风险整治通知单》，提出本单位整改意见，并有专人配合该项整改工作。整改工作结束，由隐患所在单位验收，报环境管理部门销案。</w:t>
      </w:r>
    </w:p>
    <w:p>
      <w:pPr>
        <w:pStyle w:val="5"/>
        <w:adjustRightInd w:val="0"/>
        <w:spacing w:line="360" w:lineRule="auto"/>
        <w:rPr>
          <w:kern w:val="21"/>
        </w:rPr>
      </w:pPr>
      <w:bookmarkStart w:id="172" w:name="_Toc27982"/>
      <w:bookmarkStart w:id="173" w:name="_Toc3282"/>
      <w:bookmarkStart w:id="174" w:name="_Toc13727"/>
      <w:bookmarkStart w:id="175" w:name="_Toc13110"/>
      <w:bookmarkStart w:id="176" w:name="_Toc11327"/>
      <w:bookmarkStart w:id="177" w:name="_Toc4366"/>
      <w:bookmarkStart w:id="178" w:name="_Toc27426"/>
      <w:bookmarkStart w:id="179" w:name="_Toc30595"/>
      <w:bookmarkStart w:id="180" w:name="_Toc19668"/>
      <w:bookmarkStart w:id="181" w:name="_Toc11732"/>
      <w:bookmarkStart w:id="182" w:name="_Toc20888"/>
      <w:bookmarkStart w:id="183" w:name="_Toc31371"/>
      <w:bookmarkStart w:id="184" w:name="_Toc15768"/>
      <w:bookmarkStart w:id="185" w:name="_Toc20543"/>
      <w:r>
        <w:rPr>
          <w:rFonts w:hint="eastAsia"/>
          <w:kern w:val="21"/>
        </w:rPr>
        <w:t>4</w:t>
      </w:r>
      <w:r>
        <w:rPr>
          <w:kern w:val="21"/>
        </w:rPr>
        <w:t>.2</w:t>
      </w:r>
      <w:r>
        <w:rPr>
          <w:rFonts w:hint="eastAsia"/>
          <w:kern w:val="21"/>
        </w:rPr>
        <w:t>应急准备</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p>
    <w:p>
      <w:pPr>
        <w:pStyle w:val="64"/>
        <w:outlineLvl w:val="1"/>
        <w:rPr>
          <w:color w:val="auto"/>
        </w:rPr>
      </w:pPr>
      <w:bookmarkStart w:id="186" w:name="_Toc19290"/>
      <w:bookmarkStart w:id="187" w:name="_Toc32679"/>
      <w:bookmarkStart w:id="188" w:name="_Toc7235"/>
      <w:bookmarkStart w:id="189" w:name="_Toc2871"/>
      <w:r>
        <w:rPr>
          <w:rFonts w:hint="eastAsia"/>
          <w:color w:val="auto"/>
        </w:rPr>
        <w:t>4</w:t>
      </w:r>
      <w:r>
        <w:rPr>
          <w:color w:val="auto"/>
        </w:rPr>
        <w:t>.2.1</w:t>
      </w:r>
      <w:r>
        <w:rPr>
          <w:rFonts w:hint="eastAsia"/>
          <w:color w:val="auto"/>
        </w:rPr>
        <w:t>建立应急指挥中心</w:t>
      </w:r>
      <w:bookmarkEnd w:id="186"/>
      <w:bookmarkEnd w:id="187"/>
      <w:bookmarkEnd w:id="188"/>
      <w:bookmarkEnd w:id="189"/>
    </w:p>
    <w:p>
      <w:pPr>
        <w:ind w:firstLine="480"/>
        <w:rPr>
          <w:snapToGrid w:val="0"/>
        </w:rPr>
      </w:pPr>
      <w:r>
        <w:rPr>
          <w:rFonts w:hint="eastAsia" w:cs="宋体"/>
          <w:snapToGrid w:val="0"/>
        </w:rPr>
        <w:t>建立应急指挥中心，实现多方语音同步群呼、短信群发，实现快速通知应急计划中指定的有关责任人员；电话会议；应急事件现场的视频监控，直接了解事故现场的动态。</w:t>
      </w:r>
    </w:p>
    <w:p>
      <w:pPr>
        <w:pStyle w:val="64"/>
        <w:outlineLvl w:val="1"/>
        <w:rPr>
          <w:color w:val="auto"/>
        </w:rPr>
      </w:pPr>
      <w:bookmarkStart w:id="190" w:name="_Toc28266"/>
      <w:bookmarkStart w:id="191" w:name="_Toc8076"/>
      <w:bookmarkStart w:id="192" w:name="_Toc24677"/>
      <w:bookmarkStart w:id="193" w:name="_Toc3693"/>
      <w:r>
        <w:rPr>
          <w:rFonts w:hint="eastAsia"/>
          <w:color w:val="auto"/>
        </w:rPr>
        <w:t>4</w:t>
      </w:r>
      <w:r>
        <w:rPr>
          <w:color w:val="auto"/>
        </w:rPr>
        <w:t>.2.2</w:t>
      </w:r>
      <w:r>
        <w:rPr>
          <w:rFonts w:hint="eastAsia"/>
          <w:color w:val="auto"/>
        </w:rPr>
        <w:t>应急物资配备</w:t>
      </w:r>
      <w:bookmarkEnd w:id="190"/>
      <w:bookmarkEnd w:id="191"/>
      <w:bookmarkEnd w:id="192"/>
      <w:bookmarkEnd w:id="193"/>
    </w:p>
    <w:p>
      <w:pPr>
        <w:ind w:firstLine="480"/>
        <w:rPr>
          <w:snapToGrid w:val="0"/>
        </w:rPr>
      </w:pPr>
      <w:r>
        <w:rPr>
          <w:rFonts w:hint="eastAsia" w:cs="宋体"/>
          <w:snapToGrid w:val="0"/>
        </w:rPr>
        <w:t>依据现场可能发生的紧急突发事件，对应急物资、应急设备、通讯设备、交通设备、医疗急救设施等进行配备；加强应急设备设施的日常管理，建立</w:t>
      </w:r>
      <w:r>
        <w:rPr>
          <w:snapToGrid w:val="0"/>
        </w:rPr>
        <w:t>“</w:t>
      </w:r>
      <w:r>
        <w:rPr>
          <w:rFonts w:hint="eastAsia" w:cs="宋体"/>
          <w:snapToGrid w:val="0"/>
        </w:rPr>
        <w:t>应急设备设施储备表</w:t>
      </w:r>
      <w:r>
        <w:rPr>
          <w:snapToGrid w:val="0"/>
        </w:rPr>
        <w:t>”</w:t>
      </w:r>
      <w:r>
        <w:rPr>
          <w:rFonts w:hint="eastAsia" w:cs="宋体"/>
          <w:snapToGrid w:val="0"/>
        </w:rPr>
        <w:t>，确保应急设备设施完好。</w:t>
      </w:r>
    </w:p>
    <w:p>
      <w:pPr>
        <w:pStyle w:val="64"/>
        <w:outlineLvl w:val="1"/>
        <w:rPr>
          <w:color w:val="auto"/>
        </w:rPr>
      </w:pPr>
      <w:bookmarkStart w:id="194" w:name="_Toc25966"/>
      <w:bookmarkStart w:id="195" w:name="_Toc29770"/>
      <w:bookmarkStart w:id="196" w:name="_Toc14727"/>
      <w:bookmarkStart w:id="197" w:name="_Toc29640"/>
      <w:r>
        <w:rPr>
          <w:rFonts w:hint="eastAsia"/>
          <w:color w:val="auto"/>
        </w:rPr>
        <w:t>4</w:t>
      </w:r>
      <w:r>
        <w:rPr>
          <w:color w:val="auto"/>
        </w:rPr>
        <w:t>.2.3</w:t>
      </w:r>
      <w:r>
        <w:rPr>
          <w:rFonts w:hint="eastAsia"/>
          <w:color w:val="auto"/>
        </w:rPr>
        <w:t>加强应急能力建设</w:t>
      </w:r>
      <w:bookmarkEnd w:id="194"/>
      <w:bookmarkEnd w:id="195"/>
      <w:bookmarkEnd w:id="196"/>
      <w:bookmarkEnd w:id="197"/>
    </w:p>
    <w:p>
      <w:pPr>
        <w:ind w:firstLine="480"/>
        <w:rPr>
          <w:snapToGrid w:val="0"/>
        </w:rPr>
      </w:pPr>
      <w:r>
        <w:rPr>
          <w:rFonts w:hint="eastAsia" w:cs="宋体"/>
          <w:snapToGrid w:val="0"/>
        </w:rPr>
        <w:t>制定应急培训与演练计划，加强全员应急知识及能力建设。本项目各应急防控均配置责任人，见表</w:t>
      </w:r>
      <w:r>
        <w:rPr>
          <w:rFonts w:hint="eastAsia"/>
          <w:snapToGrid w:val="0"/>
        </w:rPr>
        <w:t>4</w:t>
      </w:r>
      <w:r>
        <w:rPr>
          <w:snapToGrid w:val="0"/>
        </w:rPr>
        <w:t>.2.3-1</w:t>
      </w:r>
      <w:r>
        <w:rPr>
          <w:rFonts w:hint="eastAsia" w:cs="宋体"/>
          <w:snapToGrid w:val="0"/>
        </w:rPr>
        <w:t>。</w:t>
      </w:r>
    </w:p>
    <w:p>
      <w:pPr>
        <w:pStyle w:val="177"/>
        <w:ind w:firstLine="420"/>
        <w:rPr>
          <w:rFonts w:cs="宋体"/>
          <w:snapToGrid w:val="0"/>
          <w:color w:val="auto"/>
          <w:sz w:val="21"/>
          <w:szCs w:val="21"/>
        </w:rPr>
      </w:pPr>
      <w:bookmarkStart w:id="198" w:name="_Toc15315_WPSOffice_Level2"/>
      <w:bookmarkStart w:id="199" w:name="_Toc19248_WPSOffice_Level2"/>
      <w:r>
        <w:rPr>
          <w:rFonts w:hint="eastAsia" w:cs="宋体"/>
          <w:snapToGrid w:val="0"/>
          <w:color w:val="auto"/>
          <w:sz w:val="21"/>
          <w:szCs w:val="21"/>
        </w:rPr>
        <w:t>表4.2.3-1     本公司应急防控相关责任人</w:t>
      </w:r>
      <w:bookmarkEnd w:id="198"/>
      <w:bookmarkEnd w:id="199"/>
    </w:p>
    <w:tbl>
      <w:tblPr>
        <w:tblStyle w:val="48"/>
        <w:tblpPr w:leftFromText="180" w:rightFromText="180" w:vertAnchor="text" w:tblpXSpec="center" w:tblpY="1"/>
        <w:tblOverlap w:val="never"/>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973"/>
        <w:gridCol w:w="4402"/>
        <w:gridCol w:w="369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973" w:type="dxa"/>
            <w:tcBorders>
              <w:tl2br w:val="nil"/>
              <w:tr2bl w:val="nil"/>
            </w:tcBorders>
            <w:vAlign w:val="center"/>
          </w:tcPr>
          <w:p>
            <w:pPr>
              <w:pStyle w:val="340"/>
              <w:rPr>
                <w:rFonts w:ascii="宋体" w:hAnsi="宋体" w:cs="宋体"/>
                <w:szCs w:val="21"/>
              </w:rPr>
            </w:pPr>
            <w:r>
              <w:rPr>
                <w:rFonts w:hint="eastAsia" w:ascii="宋体" w:hAnsi="宋体" w:cs="宋体"/>
                <w:szCs w:val="21"/>
              </w:rPr>
              <w:t>序号</w:t>
            </w:r>
          </w:p>
        </w:tc>
        <w:tc>
          <w:tcPr>
            <w:tcW w:w="4402" w:type="dxa"/>
            <w:tcBorders>
              <w:tl2br w:val="nil"/>
              <w:tr2bl w:val="nil"/>
            </w:tcBorders>
            <w:vAlign w:val="center"/>
          </w:tcPr>
          <w:p>
            <w:pPr>
              <w:pStyle w:val="340"/>
              <w:rPr>
                <w:rFonts w:ascii="宋体" w:hAnsi="宋体" w:cs="宋体"/>
                <w:szCs w:val="21"/>
              </w:rPr>
            </w:pPr>
            <w:r>
              <w:rPr>
                <w:rFonts w:hint="eastAsia" w:ascii="宋体" w:hAnsi="宋体" w:cs="宋体"/>
                <w:szCs w:val="21"/>
              </w:rPr>
              <w:t>应急防控措施</w:t>
            </w:r>
          </w:p>
        </w:tc>
        <w:tc>
          <w:tcPr>
            <w:tcW w:w="3696" w:type="dxa"/>
            <w:tcBorders>
              <w:tl2br w:val="nil"/>
              <w:tr2bl w:val="nil"/>
            </w:tcBorders>
            <w:vAlign w:val="center"/>
          </w:tcPr>
          <w:p>
            <w:pPr>
              <w:pStyle w:val="340"/>
              <w:rPr>
                <w:rFonts w:ascii="宋体" w:hAnsi="宋体" w:cs="宋体"/>
                <w:szCs w:val="21"/>
              </w:rPr>
            </w:pPr>
            <w:r>
              <w:rPr>
                <w:rFonts w:hint="eastAsia" w:ascii="宋体" w:hAnsi="宋体" w:cs="宋体"/>
                <w:szCs w:val="21"/>
              </w:rPr>
              <w:t>责任人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pPr>
              <w:pStyle w:val="340"/>
              <w:rPr>
                <w:rFonts w:ascii="宋体" w:hAnsi="宋体" w:cs="宋体"/>
                <w:szCs w:val="21"/>
              </w:rPr>
            </w:pPr>
            <w:r>
              <w:rPr>
                <w:rFonts w:hint="eastAsia" w:ascii="宋体" w:hAnsi="宋体" w:cs="宋体"/>
                <w:szCs w:val="21"/>
              </w:rPr>
              <w:t>1</w:t>
            </w:r>
          </w:p>
        </w:tc>
        <w:tc>
          <w:tcPr>
            <w:tcW w:w="4402"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厂内对废水、废气的排放进行定期委外监测，同时当地环保局再另行安排以抽查的方式进行监督性监测</w:t>
            </w:r>
          </w:p>
        </w:tc>
        <w:tc>
          <w:tcPr>
            <w:tcW w:w="3696"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由环境应急监测组安排厂区污染源的定期监测；环保局以抽查的方式进行监督性监测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pPr>
              <w:pStyle w:val="340"/>
              <w:rPr>
                <w:rFonts w:ascii="宋体" w:hAnsi="宋体" w:cs="宋体"/>
                <w:szCs w:val="21"/>
              </w:rPr>
            </w:pPr>
            <w:r>
              <w:rPr>
                <w:rFonts w:hint="eastAsia" w:ascii="宋体" w:hAnsi="宋体" w:cs="宋体"/>
                <w:szCs w:val="21"/>
              </w:rPr>
              <w:t>2</w:t>
            </w:r>
          </w:p>
        </w:tc>
        <w:tc>
          <w:tcPr>
            <w:tcW w:w="4402"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厂区雨污分流，废水排口设有应急切断装置。</w:t>
            </w:r>
          </w:p>
        </w:tc>
        <w:tc>
          <w:tcPr>
            <w:tcW w:w="3696"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由系统运行人员负责排污管道、废水处理系统等设施的完备</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973" w:type="dxa"/>
            <w:tcBorders>
              <w:tl2br w:val="nil"/>
              <w:tr2bl w:val="nil"/>
            </w:tcBorders>
            <w:vAlign w:val="center"/>
          </w:tcPr>
          <w:p>
            <w:pPr>
              <w:pStyle w:val="340"/>
              <w:rPr>
                <w:rFonts w:ascii="宋体" w:hAnsi="宋体" w:cs="宋体"/>
                <w:szCs w:val="21"/>
              </w:rPr>
            </w:pPr>
            <w:r>
              <w:rPr>
                <w:rFonts w:hint="eastAsia" w:ascii="宋体" w:hAnsi="宋体" w:cs="宋体"/>
                <w:szCs w:val="21"/>
              </w:rPr>
              <w:t>3</w:t>
            </w:r>
          </w:p>
        </w:tc>
        <w:tc>
          <w:tcPr>
            <w:tcW w:w="4402"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应急架构有对外联系功能的设置</w:t>
            </w:r>
          </w:p>
        </w:tc>
        <w:tc>
          <w:tcPr>
            <w:tcW w:w="3696" w:type="dxa"/>
            <w:tcBorders>
              <w:tl2br w:val="nil"/>
              <w:tr2bl w:val="nil"/>
            </w:tcBorders>
            <w:vAlign w:val="center"/>
          </w:tcPr>
          <w:p>
            <w:pPr>
              <w:pStyle w:val="340"/>
              <w:rPr>
                <w:rFonts w:ascii="宋体" w:hAnsi="宋体" w:cs="宋体"/>
                <w:kern w:val="0"/>
                <w:szCs w:val="21"/>
              </w:rPr>
            </w:pPr>
            <w:r>
              <w:rPr>
                <w:rFonts w:hint="eastAsia" w:ascii="宋体" w:hAnsi="宋体" w:cs="宋体"/>
                <w:kern w:val="0"/>
                <w:szCs w:val="21"/>
              </w:rPr>
              <w:t>由事故应急指挥部统一对外联络沟通</w:t>
            </w:r>
          </w:p>
        </w:tc>
      </w:tr>
    </w:tbl>
    <w:p>
      <w:pPr>
        <w:pStyle w:val="5"/>
        <w:adjustRightInd w:val="0"/>
        <w:spacing w:beforeLines="150" w:line="360" w:lineRule="auto"/>
        <w:rPr>
          <w:kern w:val="21"/>
        </w:rPr>
      </w:pPr>
      <w:bookmarkStart w:id="200" w:name="_Toc21814"/>
      <w:bookmarkStart w:id="201" w:name="_Toc16010"/>
      <w:bookmarkStart w:id="202" w:name="_Toc32326"/>
      <w:bookmarkStart w:id="203" w:name="_Toc22839"/>
      <w:bookmarkStart w:id="204" w:name="_Toc29393"/>
      <w:bookmarkStart w:id="205" w:name="_Toc23913"/>
      <w:bookmarkStart w:id="206" w:name="_Toc23"/>
      <w:bookmarkStart w:id="207" w:name="_Toc18189"/>
      <w:bookmarkStart w:id="208" w:name="_Toc18824"/>
      <w:bookmarkStart w:id="209" w:name="_Toc19381"/>
      <w:bookmarkStart w:id="210" w:name="_Toc23387"/>
      <w:bookmarkStart w:id="211" w:name="_Toc241"/>
      <w:bookmarkStart w:id="212" w:name="_Toc12509"/>
      <w:bookmarkStart w:id="213" w:name="_Toc14443"/>
      <w:r>
        <w:rPr>
          <w:rFonts w:hint="eastAsia"/>
          <w:kern w:val="21"/>
        </w:rPr>
        <w:t>4</w:t>
      </w:r>
      <w:r>
        <w:rPr>
          <w:kern w:val="21"/>
        </w:rPr>
        <w:t>.3</w:t>
      </w:r>
      <w:r>
        <w:rPr>
          <w:rFonts w:hint="eastAsia"/>
          <w:kern w:val="21"/>
        </w:rPr>
        <w:t>预警分级</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pPr>
        <w:ind w:firstLine="480"/>
        <w:rPr>
          <w:rFonts w:eastAsia="仿宋_GB2312"/>
          <w:kern w:val="0"/>
        </w:rPr>
      </w:pPr>
      <w:r>
        <w:rPr>
          <w:rFonts w:hint="eastAsia" w:cs="宋体"/>
          <w:kern w:val="0"/>
        </w:rPr>
        <w:t>按</w:t>
      </w:r>
      <w:r>
        <w:rPr>
          <w:rFonts w:hint="eastAsia" w:cs="宋体"/>
        </w:rPr>
        <w:t>照事故灾难可控性、后果的严重性、影响范围和紧急程度，公司事故预警级别为三级预警，即车间级预警（三级），公司级预警（二级）、公司外部预警主要是当地政府相关部门及社会救援力量预警（一级）</w:t>
      </w:r>
      <w:r>
        <w:rPr>
          <w:rFonts w:hint="eastAsia" w:cs="宋体"/>
          <w:kern w:val="0"/>
        </w:rPr>
        <w:t>。</w:t>
      </w:r>
    </w:p>
    <w:p>
      <w:pPr>
        <w:ind w:firstLine="480"/>
        <w:outlineLvl w:val="1"/>
        <w:rPr>
          <w:kern w:val="0"/>
        </w:rPr>
      </w:pPr>
      <w:bookmarkStart w:id="214" w:name="_Toc20286"/>
      <w:bookmarkStart w:id="215" w:name="_Toc2204"/>
      <w:r>
        <w:rPr>
          <w:rFonts w:hint="eastAsia" w:cs="宋体"/>
          <w:kern w:val="0"/>
        </w:rPr>
        <w:t>（</w:t>
      </w:r>
      <w:r>
        <w:rPr>
          <w:kern w:val="0"/>
        </w:rPr>
        <w:t>1</w:t>
      </w:r>
      <w:r>
        <w:rPr>
          <w:rFonts w:hint="eastAsia" w:cs="宋体"/>
          <w:kern w:val="0"/>
        </w:rPr>
        <w:t>）一级预警</w:t>
      </w:r>
      <w:bookmarkEnd w:id="214"/>
      <w:bookmarkEnd w:id="215"/>
    </w:p>
    <w:p>
      <w:pPr>
        <w:ind w:firstLine="480"/>
        <w:rPr>
          <w:rFonts w:cs="宋体"/>
          <w:kern w:val="0"/>
        </w:rPr>
      </w:pPr>
      <w:r>
        <w:rPr>
          <w:rFonts w:hint="eastAsia" w:cs="宋体"/>
          <w:kern w:val="0"/>
        </w:rPr>
        <w:t>发生重大及以上突发环境事故时，超过我司事故应急救援能力，事故有扩大、发展趋势，或者事故影响到周边企业时，启动一级预警，由本公司应急指挥部现场总指挥报请上级相关行政部门，九江市</w:t>
      </w:r>
      <w:r>
        <w:rPr>
          <w:rFonts w:hint="eastAsia" w:cs="宋体"/>
          <w:kern w:val="0"/>
          <w:lang w:eastAsia="zh-CN"/>
        </w:rPr>
        <w:t>湖口县</w:t>
      </w:r>
      <w:r>
        <w:rPr>
          <w:rFonts w:hint="eastAsia" w:cs="宋体"/>
          <w:kern w:val="0"/>
        </w:rPr>
        <w:t>生态环境局、应急救援指挥中心等请求技术支援。</w:t>
      </w:r>
    </w:p>
    <w:p>
      <w:pPr>
        <w:ind w:firstLine="480"/>
        <w:outlineLvl w:val="1"/>
        <w:rPr>
          <w:kern w:val="0"/>
        </w:rPr>
      </w:pPr>
      <w:bookmarkStart w:id="216" w:name="_Toc29633"/>
      <w:bookmarkStart w:id="217" w:name="_Toc3007"/>
      <w:r>
        <w:rPr>
          <w:rFonts w:hint="eastAsia" w:cs="宋体"/>
          <w:kern w:val="0"/>
        </w:rPr>
        <w:t>（</w:t>
      </w:r>
      <w:r>
        <w:rPr>
          <w:kern w:val="0"/>
        </w:rPr>
        <w:t>2</w:t>
      </w:r>
      <w:r>
        <w:rPr>
          <w:rFonts w:hint="eastAsia" w:cs="宋体"/>
          <w:kern w:val="0"/>
        </w:rPr>
        <w:t>）二级预警</w:t>
      </w:r>
      <w:bookmarkEnd w:id="216"/>
      <w:bookmarkEnd w:id="217"/>
    </w:p>
    <w:p>
      <w:pPr>
        <w:ind w:firstLine="480"/>
        <w:rPr>
          <w:rFonts w:cs="宋体"/>
          <w:kern w:val="0"/>
        </w:rPr>
      </w:pPr>
      <w:r>
        <w:rPr>
          <w:rFonts w:hint="eastAsia" w:cs="宋体"/>
          <w:kern w:val="0"/>
        </w:rPr>
        <w:t>发生严重突发环境事故时，事故后果的严重性和影响范围，充分利用公司所有部门及企业可利用资源可实现控制处理的态，启动二级预警，对事故进行控制处理。</w:t>
      </w:r>
    </w:p>
    <w:p>
      <w:pPr>
        <w:ind w:firstLine="480"/>
        <w:outlineLvl w:val="1"/>
        <w:rPr>
          <w:kern w:val="0"/>
        </w:rPr>
      </w:pPr>
      <w:bookmarkStart w:id="218" w:name="_Toc17844"/>
      <w:bookmarkStart w:id="219" w:name="_Toc8481"/>
      <w:r>
        <w:rPr>
          <w:rFonts w:hint="eastAsia" w:cs="宋体"/>
          <w:kern w:val="0"/>
        </w:rPr>
        <w:t>（</w:t>
      </w:r>
      <w:r>
        <w:rPr>
          <w:kern w:val="0"/>
        </w:rPr>
        <w:t>3</w:t>
      </w:r>
      <w:r>
        <w:rPr>
          <w:rFonts w:hint="eastAsia" w:cs="宋体"/>
          <w:kern w:val="0"/>
        </w:rPr>
        <w:t>）三级预警</w:t>
      </w:r>
      <w:bookmarkEnd w:id="218"/>
      <w:bookmarkEnd w:id="219"/>
    </w:p>
    <w:p>
      <w:pPr>
        <w:ind w:firstLine="480"/>
        <w:rPr>
          <w:kern w:val="0"/>
        </w:rPr>
      </w:pPr>
      <w:r>
        <w:rPr>
          <w:rFonts w:hint="eastAsia" w:cs="宋体"/>
          <w:kern w:val="0"/>
        </w:rPr>
        <w:t>能被公司某个车间正常可利用的资源处理的紧急情况。正常可利用的资源指在某个车间权力范围内通常可以利用的应急资源，包括人力和物资等。</w:t>
      </w:r>
    </w:p>
    <w:p>
      <w:pPr>
        <w:pStyle w:val="5"/>
        <w:adjustRightInd w:val="0"/>
        <w:spacing w:line="360" w:lineRule="auto"/>
        <w:rPr>
          <w:kern w:val="21"/>
        </w:rPr>
      </w:pPr>
      <w:bookmarkStart w:id="220" w:name="_Toc24465"/>
      <w:bookmarkStart w:id="221" w:name="_Toc2770"/>
      <w:bookmarkStart w:id="222" w:name="_Toc14127"/>
      <w:bookmarkStart w:id="223" w:name="_Toc28358"/>
      <w:bookmarkStart w:id="224" w:name="_Toc25937"/>
      <w:bookmarkStart w:id="225" w:name="_Toc22153"/>
      <w:bookmarkStart w:id="226" w:name="_Toc26792"/>
      <w:bookmarkStart w:id="227" w:name="_Toc4853"/>
      <w:bookmarkStart w:id="228" w:name="_Toc2348"/>
      <w:bookmarkStart w:id="229" w:name="_Toc25109"/>
      <w:bookmarkStart w:id="230" w:name="_Toc1606"/>
      <w:bookmarkStart w:id="231" w:name="_Toc10985"/>
      <w:bookmarkStart w:id="232" w:name="_Toc19390"/>
      <w:bookmarkStart w:id="233" w:name="_Toc19066"/>
      <w:r>
        <w:rPr>
          <w:rFonts w:hint="eastAsia"/>
          <w:kern w:val="21"/>
        </w:rPr>
        <w:t>4</w:t>
      </w:r>
      <w:r>
        <w:rPr>
          <w:kern w:val="21"/>
        </w:rPr>
        <w:t>.4</w:t>
      </w:r>
      <w:r>
        <w:rPr>
          <w:rFonts w:hint="eastAsia"/>
          <w:kern w:val="21"/>
        </w:rPr>
        <w:t>预警行动</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pPr>
        <w:pStyle w:val="64"/>
        <w:outlineLvl w:val="1"/>
        <w:rPr>
          <w:color w:val="auto"/>
        </w:rPr>
      </w:pPr>
      <w:bookmarkStart w:id="234" w:name="_Toc20635"/>
      <w:bookmarkStart w:id="235" w:name="_Toc8154"/>
      <w:bookmarkStart w:id="236" w:name="_Toc9268"/>
      <w:bookmarkStart w:id="237" w:name="_Toc5248"/>
      <w:r>
        <w:rPr>
          <w:rFonts w:hint="eastAsia"/>
          <w:color w:val="auto"/>
        </w:rPr>
        <w:t>4</w:t>
      </w:r>
      <w:r>
        <w:rPr>
          <w:color w:val="auto"/>
        </w:rPr>
        <w:t>.4.1</w:t>
      </w:r>
      <w:r>
        <w:rPr>
          <w:rFonts w:hint="eastAsia"/>
          <w:color w:val="auto"/>
        </w:rPr>
        <w:t>事故预警的条件</w:t>
      </w:r>
      <w:bookmarkEnd w:id="234"/>
      <w:bookmarkEnd w:id="235"/>
      <w:bookmarkEnd w:id="236"/>
      <w:bookmarkEnd w:id="237"/>
    </w:p>
    <w:p>
      <w:pPr>
        <w:ind w:firstLine="480"/>
      </w:pPr>
      <w:r>
        <w:rPr>
          <w:rFonts w:hint="eastAsia"/>
        </w:rPr>
        <w:t>（1）</w:t>
      </w:r>
      <w:r>
        <w:t>在危险源排查时发现存在可能造成人员伤亡、财产损失等严重后果的重大危险源时，应及时预警。</w:t>
      </w:r>
    </w:p>
    <w:p>
      <w:pPr>
        <w:ind w:firstLine="480"/>
      </w:pPr>
      <w:r>
        <w:rPr>
          <w:rFonts w:hint="eastAsia"/>
        </w:rPr>
        <w:t>（2）</w:t>
      </w:r>
      <w:r>
        <w:t>收到的环境信息证明突发环境事件即将发生或者发生的可能性增大时，立即进入预警状态，并启动突发环境事件应急预案。</w:t>
      </w:r>
    </w:p>
    <w:p>
      <w:pPr>
        <w:ind w:firstLine="480"/>
      </w:pPr>
      <w:r>
        <w:rPr>
          <w:rFonts w:hint="eastAsia"/>
        </w:rPr>
        <w:t>（3）</w:t>
      </w:r>
      <w:r>
        <w:t>发布预警公告须经应急指挥组批准，预警公告的内容主要包括：突发环境事件名称、预警级别、预警区域或场所、预警期起止时间、影响估计、拟采取的应对措施和发布机关等。预警公告发布后，需要变更预警内容的应当及时发布变更公告。</w:t>
      </w:r>
    </w:p>
    <w:p>
      <w:pPr>
        <w:ind w:firstLine="480"/>
        <w:rPr>
          <w:kern w:val="0"/>
        </w:rPr>
      </w:pPr>
      <w:r>
        <w:rPr>
          <w:rFonts w:cs="宋体"/>
          <w:kern w:val="0"/>
        </w:rPr>
        <w:t>公司根据所发事故的大小，确定相应的预警</w:t>
      </w:r>
      <w:r>
        <w:rPr>
          <w:rFonts w:hint="eastAsia" w:cs="宋体"/>
          <w:kern w:val="0"/>
        </w:rPr>
        <w:t>等级，各等级预警条件如下：</w:t>
      </w:r>
    </w:p>
    <w:p>
      <w:pPr>
        <w:ind w:firstLine="482"/>
        <w:rPr>
          <w:b/>
          <w:bCs/>
          <w:kern w:val="0"/>
        </w:rPr>
      </w:pPr>
      <w:r>
        <w:rPr>
          <w:rFonts w:hint="eastAsia" w:cs="宋体"/>
          <w:b/>
          <w:bCs/>
          <w:kern w:val="0"/>
        </w:rPr>
        <w:t>（</w:t>
      </w:r>
      <w:r>
        <w:rPr>
          <w:b/>
          <w:bCs/>
          <w:kern w:val="0"/>
        </w:rPr>
        <w:t>1</w:t>
      </w:r>
      <w:r>
        <w:rPr>
          <w:rFonts w:hint="eastAsia" w:cs="宋体"/>
          <w:b/>
          <w:bCs/>
          <w:kern w:val="0"/>
        </w:rPr>
        <w:t>）三级预警条件</w:t>
      </w:r>
    </w:p>
    <w:p>
      <w:pPr>
        <w:ind w:firstLine="480"/>
        <w:rPr>
          <w:kern w:val="0"/>
        </w:rPr>
      </w:pPr>
      <w:r>
        <w:rPr>
          <w:rFonts w:hint="eastAsia" w:cs="宋体"/>
          <w:kern w:val="0"/>
        </w:rPr>
        <w:t>能被本公司某个部门（班组）正常可利用的资源处理的紧急情况。正常可利用的资源指在某个部门（班组）权力范围内通常可以利用的应急资源，包括人力和物资等。</w:t>
      </w:r>
    </w:p>
    <w:p>
      <w:pPr>
        <w:ind w:firstLine="482"/>
        <w:rPr>
          <w:b/>
          <w:bCs/>
          <w:kern w:val="0"/>
        </w:rPr>
      </w:pPr>
      <w:r>
        <w:rPr>
          <w:rFonts w:hint="eastAsia" w:cs="宋体"/>
          <w:b/>
          <w:bCs/>
          <w:kern w:val="0"/>
        </w:rPr>
        <w:t>（</w:t>
      </w:r>
      <w:r>
        <w:rPr>
          <w:b/>
          <w:bCs/>
          <w:kern w:val="0"/>
        </w:rPr>
        <w:t>2</w:t>
      </w:r>
      <w:r>
        <w:rPr>
          <w:rFonts w:hint="eastAsia" w:cs="宋体"/>
          <w:b/>
          <w:bCs/>
          <w:kern w:val="0"/>
        </w:rPr>
        <w:t>）二级预警条件（以消防警铃为信号）</w:t>
      </w:r>
    </w:p>
    <w:p>
      <w:pPr>
        <w:ind w:firstLine="480"/>
        <w:rPr>
          <w:kern w:val="0"/>
        </w:rPr>
      </w:pPr>
      <w:r>
        <w:rPr>
          <w:rFonts w:hint="eastAsia" w:cs="宋体"/>
          <w:kern w:val="0"/>
        </w:rPr>
        <w:t>必须利用本公司的全部有关部门（所有部门和班组）及一切企业可利用资源的紧急情况。</w:t>
      </w:r>
    </w:p>
    <w:p>
      <w:pPr>
        <w:ind w:firstLine="482"/>
        <w:rPr>
          <w:b/>
          <w:bCs/>
          <w:kern w:val="0"/>
        </w:rPr>
      </w:pPr>
      <w:r>
        <w:rPr>
          <w:rFonts w:hint="eastAsia" w:cs="宋体"/>
          <w:b/>
          <w:bCs/>
          <w:kern w:val="0"/>
        </w:rPr>
        <w:t>（</w:t>
      </w:r>
      <w:r>
        <w:rPr>
          <w:b/>
          <w:bCs/>
          <w:kern w:val="0"/>
        </w:rPr>
        <w:t>3</w:t>
      </w:r>
      <w:r>
        <w:rPr>
          <w:rFonts w:hint="eastAsia" w:cs="宋体"/>
          <w:b/>
          <w:bCs/>
          <w:kern w:val="0"/>
        </w:rPr>
        <w:t>）一级预警条件（以消防警铃为信号，由指挥部向九江</w:t>
      </w:r>
      <w:r>
        <w:rPr>
          <w:rFonts w:hint="eastAsia" w:cs="宋体"/>
          <w:b/>
          <w:bCs/>
          <w:kern w:val="0"/>
          <w:lang w:eastAsia="zh-CN"/>
        </w:rPr>
        <w:t>市湖口县</w:t>
      </w:r>
      <w:r>
        <w:rPr>
          <w:rFonts w:hint="eastAsia" w:cs="宋体"/>
          <w:b/>
          <w:bCs/>
          <w:kern w:val="0"/>
        </w:rPr>
        <w:t>上报）</w:t>
      </w:r>
    </w:p>
    <w:p>
      <w:pPr>
        <w:ind w:firstLine="480"/>
        <w:rPr>
          <w:kern w:val="0"/>
        </w:rPr>
      </w:pPr>
      <w:r>
        <w:rPr>
          <w:rFonts w:hint="eastAsia" w:cs="宋体"/>
          <w:kern w:val="0"/>
        </w:rPr>
        <w:t>超过本公司事故应急救援能力，或者事故有扩大、发展趋势，或者事故影响到周边企业、社区时，由本公司主要负责人报请政府及其有关部门支援或者建议启动上级（九江市</w:t>
      </w:r>
      <w:r>
        <w:rPr>
          <w:rFonts w:hint="eastAsia" w:cs="宋体"/>
          <w:kern w:val="0"/>
          <w:lang w:eastAsia="zh-CN"/>
        </w:rPr>
        <w:t>湖口县政府</w:t>
      </w:r>
      <w:r>
        <w:rPr>
          <w:rFonts w:hint="eastAsia" w:cs="宋体"/>
          <w:kern w:val="0"/>
        </w:rPr>
        <w:t>）事故应急救援预案。</w:t>
      </w:r>
    </w:p>
    <w:p>
      <w:pPr>
        <w:pStyle w:val="64"/>
        <w:outlineLvl w:val="1"/>
        <w:rPr>
          <w:color w:val="auto"/>
        </w:rPr>
      </w:pPr>
      <w:bookmarkStart w:id="238" w:name="_Toc3599"/>
      <w:bookmarkStart w:id="239" w:name="_Toc15183"/>
      <w:bookmarkStart w:id="240" w:name="_Toc28232"/>
      <w:bookmarkStart w:id="241" w:name="_Toc10471"/>
      <w:r>
        <w:rPr>
          <w:rFonts w:hint="eastAsia"/>
          <w:color w:val="auto"/>
        </w:rPr>
        <w:t>4</w:t>
      </w:r>
      <w:r>
        <w:rPr>
          <w:color w:val="auto"/>
        </w:rPr>
        <w:t>.4.2</w:t>
      </w:r>
      <w:r>
        <w:rPr>
          <w:rFonts w:hint="eastAsia"/>
          <w:color w:val="auto"/>
        </w:rPr>
        <w:t>预警信息发布的方式、内容和流程</w:t>
      </w:r>
      <w:bookmarkEnd w:id="238"/>
      <w:bookmarkEnd w:id="239"/>
      <w:bookmarkEnd w:id="240"/>
      <w:bookmarkEnd w:id="241"/>
    </w:p>
    <w:p>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1</w:t>
      </w:r>
      <w:r>
        <w:rPr>
          <w:rFonts w:hint="eastAsia" w:ascii="Times New Roman" w:hAnsi="Times New Roman"/>
          <w:b/>
          <w:bCs/>
          <w:sz w:val="24"/>
          <w:szCs w:val="24"/>
        </w:rPr>
        <w:t>）信息发布方式</w:t>
      </w:r>
    </w:p>
    <w:p>
      <w:pPr>
        <w:pStyle w:val="176"/>
        <w:ind w:right="-511" w:firstLine="494"/>
        <w:rPr>
          <w:rFonts w:ascii="Times New Roman" w:hAnsi="Times New Roman" w:cs="Times New Roman"/>
          <w:sz w:val="24"/>
          <w:szCs w:val="24"/>
        </w:rPr>
      </w:pPr>
      <w:r>
        <w:rPr>
          <w:rFonts w:hint="eastAsia" w:ascii="Times New Roman" w:hAnsi="Times New Roman"/>
          <w:sz w:val="24"/>
          <w:szCs w:val="24"/>
        </w:rPr>
        <w:t>信息发布可采用有线和无线两套系统配合使用，即电话、手机等。</w:t>
      </w:r>
    </w:p>
    <w:p>
      <w:pPr>
        <w:pStyle w:val="176"/>
        <w:ind w:right="-511" w:firstLine="494"/>
        <w:rPr>
          <w:rFonts w:ascii="Times New Roman" w:hAnsi="Times New Roman" w:cs="Times New Roman"/>
          <w:color w:val="FF0000"/>
          <w:sz w:val="24"/>
          <w:szCs w:val="24"/>
        </w:rPr>
      </w:pPr>
      <w:r>
        <w:rPr>
          <w:rFonts w:hint="eastAsia" w:ascii="Times New Roman" w:hAnsi="Times New Roman"/>
          <w:sz w:val="24"/>
          <w:szCs w:val="24"/>
        </w:rPr>
        <w:t>相关政府应急部门、公司应急指挥部、各应急小组之间的通信方法，联系电话见附件。</w:t>
      </w:r>
    </w:p>
    <w:p>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2</w:t>
      </w:r>
      <w:r>
        <w:rPr>
          <w:rFonts w:hint="eastAsia" w:ascii="Times New Roman" w:hAnsi="Times New Roman"/>
          <w:b/>
          <w:bCs/>
          <w:sz w:val="24"/>
          <w:szCs w:val="24"/>
        </w:rPr>
        <w:t>）预警信息的内容</w:t>
      </w:r>
    </w:p>
    <w:p>
      <w:pPr>
        <w:pStyle w:val="176"/>
        <w:ind w:right="-511" w:firstLine="494"/>
        <w:rPr>
          <w:rFonts w:ascii="Times New Roman" w:hAnsi="Times New Roman" w:cs="Times New Roman"/>
          <w:sz w:val="24"/>
          <w:szCs w:val="24"/>
        </w:rPr>
      </w:pPr>
      <w:r>
        <w:rPr>
          <w:rFonts w:hint="eastAsia" w:ascii="Times New Roman" w:hAnsi="Times New Roman"/>
          <w:sz w:val="24"/>
          <w:szCs w:val="24"/>
        </w:rPr>
        <w:t>发布预警信息时应说明清楚：事故类型、规模、影响范围、发生地点、介质、发展变化趋势、有无人员伤亡、报告人姓名和联系方式等。</w:t>
      </w:r>
    </w:p>
    <w:p>
      <w:pPr>
        <w:pStyle w:val="176"/>
        <w:ind w:right="-511" w:firstLine="496"/>
        <w:rPr>
          <w:rFonts w:ascii="Times New Roman" w:hAnsi="Times New Roman" w:cs="Times New Roman"/>
          <w:b/>
          <w:bCs/>
          <w:sz w:val="24"/>
          <w:szCs w:val="24"/>
        </w:rPr>
      </w:pPr>
      <w:r>
        <w:rPr>
          <w:rFonts w:hint="eastAsia" w:ascii="Times New Roman" w:hAnsi="Times New Roman"/>
          <w:b/>
          <w:bCs/>
          <w:sz w:val="24"/>
          <w:szCs w:val="24"/>
        </w:rPr>
        <w:t>（</w:t>
      </w:r>
      <w:r>
        <w:rPr>
          <w:rFonts w:ascii="Times New Roman" w:hAnsi="Times New Roman" w:cs="Times New Roman"/>
          <w:b/>
          <w:bCs/>
          <w:sz w:val="24"/>
          <w:szCs w:val="24"/>
        </w:rPr>
        <w:t>3</w:t>
      </w:r>
      <w:r>
        <w:rPr>
          <w:rFonts w:hint="eastAsia" w:ascii="Times New Roman" w:hAnsi="Times New Roman"/>
          <w:b/>
          <w:bCs/>
          <w:sz w:val="24"/>
          <w:szCs w:val="24"/>
        </w:rPr>
        <w:t>）预警信息发布的流程</w:t>
      </w:r>
    </w:p>
    <w:p>
      <w:pPr>
        <w:autoSpaceDE w:val="0"/>
        <w:autoSpaceDN w:val="0"/>
        <w:adjustRightInd w:val="0"/>
        <w:ind w:firstLine="480"/>
        <w:jc w:val="left"/>
        <w:rPr>
          <w:rFonts w:cs="宋体"/>
        </w:rPr>
      </w:pPr>
      <w:bookmarkStart w:id="242" w:name="_Toc9320"/>
      <w:bookmarkStart w:id="243" w:name="_Toc31756"/>
      <w:bookmarkStart w:id="244" w:name="_Toc29311"/>
      <w:bookmarkStart w:id="245" w:name="_Toc5658"/>
      <w:bookmarkStart w:id="246" w:name="_Toc13218"/>
      <w:bookmarkStart w:id="247" w:name="_Toc22194"/>
      <w:bookmarkStart w:id="248" w:name="_Toc9223"/>
      <w:bookmarkStart w:id="249" w:name="_Toc4602"/>
      <w:bookmarkStart w:id="250" w:name="_Toc13652"/>
      <w:bookmarkStart w:id="251" w:name="_Toc26801"/>
      <w:bookmarkStart w:id="252" w:name="_Toc2534"/>
      <w:r>
        <w:rPr>
          <w:rFonts w:hint="eastAsia" w:cs="宋体"/>
        </w:rPr>
        <w:t xml:space="preserve">一级预警：现场人员报告车间负责人，车间负责人核实情况后立即报告公司，公司应急指挥中心依据现场情况决定是否通知相关机构协助应急救援。若可能发生的环境污染事件严重，应当及时向政府部门报告，由上级领导决定后发布预警等级。 </w:t>
      </w:r>
    </w:p>
    <w:p>
      <w:pPr>
        <w:autoSpaceDE w:val="0"/>
        <w:autoSpaceDN w:val="0"/>
        <w:adjustRightInd w:val="0"/>
        <w:ind w:firstLine="480"/>
        <w:jc w:val="left"/>
        <w:rPr>
          <w:rFonts w:cs="宋体"/>
        </w:rPr>
      </w:pPr>
      <w:r>
        <w:rPr>
          <w:rFonts w:hint="eastAsia" w:cs="宋体"/>
        </w:rPr>
        <w:t>二级预警：现场人员或车间负责人向本单位应急救援指挥部有关人员报告，由通讯联络组负责上报公司指挥部事故情况，公司应急指挥小组宣布启动预案；同时向九江市</w:t>
      </w:r>
      <w:r>
        <w:rPr>
          <w:rFonts w:hint="eastAsia" w:cs="宋体"/>
          <w:lang w:eastAsia="zh-CN"/>
        </w:rPr>
        <w:t>湖口县</w:t>
      </w:r>
      <w:r>
        <w:rPr>
          <w:rFonts w:hint="eastAsia" w:cs="宋体"/>
        </w:rPr>
        <w:t xml:space="preserve">环境保护局报告。 </w:t>
      </w:r>
    </w:p>
    <w:p>
      <w:pPr>
        <w:autoSpaceDE w:val="0"/>
        <w:autoSpaceDN w:val="0"/>
        <w:adjustRightInd w:val="0"/>
        <w:ind w:firstLine="480"/>
        <w:jc w:val="left"/>
        <w:rPr>
          <w:rFonts w:cs="宋体"/>
        </w:rPr>
      </w:pPr>
      <w:r>
        <w:rPr>
          <w:rFonts w:hint="eastAsia" w:cs="宋体"/>
        </w:rPr>
        <w:t>三级预警：现场人员立即报告部门负责人和值班领导并通知负责人，负责人视现场情况组织现场处置，落实巡查、监控措施；如隐患未消除，应通知相关应急部门、人员作好应急准备。遇非工作日时，通知总值班人员，并及时报告应急指挥中心总指挥和有关人员。</w:t>
      </w:r>
    </w:p>
    <w:p>
      <w:pPr>
        <w:numPr>
          <w:ilvl w:val="0"/>
          <w:numId w:val="5"/>
        </w:numPr>
        <w:autoSpaceDE w:val="0"/>
        <w:autoSpaceDN w:val="0"/>
        <w:adjustRightInd w:val="0"/>
        <w:ind w:firstLineChars="0"/>
        <w:jc w:val="left"/>
        <w:rPr>
          <w:rFonts w:cs="宋体"/>
        </w:rPr>
      </w:pPr>
      <w:r>
        <w:rPr>
          <w:rFonts w:hint="eastAsia" w:cs="宋体"/>
        </w:rPr>
        <w:t>根据预警级别准备转移、撤离或者疏散可能受到危害的人员， 并进行妥善安置。</w:t>
      </w:r>
    </w:p>
    <w:p>
      <w:pPr>
        <w:numPr>
          <w:ilvl w:val="0"/>
          <w:numId w:val="5"/>
        </w:numPr>
        <w:autoSpaceDE w:val="0"/>
        <w:autoSpaceDN w:val="0"/>
        <w:adjustRightInd w:val="0"/>
        <w:ind w:firstLineChars="0"/>
        <w:jc w:val="left"/>
        <w:rPr>
          <w:rFonts w:cs="宋体"/>
        </w:rPr>
      </w:pPr>
      <w:r>
        <w:rPr>
          <w:rFonts w:hint="eastAsia" w:cs="宋体"/>
        </w:rPr>
        <w:t>指令各应急专业队伍进入应急状态，环境监测人员立即开展应急监测，随时掌握并报告事态进展情况。</w:t>
      </w:r>
    </w:p>
    <w:p>
      <w:pPr>
        <w:numPr>
          <w:ilvl w:val="0"/>
          <w:numId w:val="5"/>
        </w:numPr>
        <w:autoSpaceDE w:val="0"/>
        <w:autoSpaceDN w:val="0"/>
        <w:adjustRightInd w:val="0"/>
        <w:ind w:firstLineChars="0"/>
        <w:jc w:val="left"/>
        <w:rPr>
          <w:rFonts w:cs="宋体"/>
        </w:rPr>
      </w:pPr>
      <w:r>
        <w:rPr>
          <w:rFonts w:hint="eastAsia" w:cs="宋体"/>
        </w:rPr>
        <w:t>针对突发环境事件可能造成的危害，封闭、隔离或者限制有关场所，中止可能导致危害扩大的行为和活动。</w:t>
      </w:r>
    </w:p>
    <w:p>
      <w:pPr>
        <w:numPr>
          <w:ilvl w:val="0"/>
          <w:numId w:val="5"/>
        </w:numPr>
        <w:autoSpaceDE w:val="0"/>
        <w:autoSpaceDN w:val="0"/>
        <w:adjustRightInd w:val="0"/>
        <w:ind w:firstLineChars="0"/>
        <w:jc w:val="left"/>
        <w:rPr>
          <w:rFonts w:cs="宋体"/>
        </w:rPr>
      </w:pPr>
      <w:r>
        <w:rPr>
          <w:rFonts w:hint="eastAsia" w:cs="宋体"/>
        </w:rPr>
        <w:t>调集应急处置所需物资和设备，做好其他应急保障工作。</w:t>
      </w:r>
    </w:p>
    <w:p>
      <w:pPr>
        <w:pStyle w:val="5"/>
        <w:adjustRightInd w:val="0"/>
        <w:spacing w:line="360" w:lineRule="auto"/>
      </w:pPr>
      <w:bookmarkStart w:id="253" w:name="_Toc18323"/>
      <w:bookmarkStart w:id="254" w:name="_Toc10461"/>
      <w:bookmarkStart w:id="255" w:name="_Toc7209"/>
      <w:r>
        <w:rPr>
          <w:rFonts w:hint="eastAsia"/>
        </w:rPr>
        <w:t>4</w:t>
      </w:r>
      <w:r>
        <w:t>.5</w:t>
      </w:r>
      <w:r>
        <w:rPr>
          <w:rFonts w:hint="eastAsia"/>
        </w:rPr>
        <w:t>报警、通讯联络方式</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pPr>
        <w:ind w:firstLine="480"/>
      </w:pPr>
      <w:r>
        <w:rPr>
          <w:rFonts w:hint="eastAsia" w:cs="宋体"/>
        </w:rPr>
        <w:t>（</w:t>
      </w:r>
      <w:r>
        <w:t>1</w:t>
      </w:r>
      <w:r>
        <w:rPr>
          <w:rFonts w:hint="eastAsia" w:cs="宋体"/>
        </w:rPr>
        <w:t>）全厂火灾报话报警；</w:t>
      </w:r>
    </w:p>
    <w:p>
      <w:pPr>
        <w:ind w:firstLine="480"/>
      </w:pPr>
      <w:r>
        <w:rPr>
          <w:rFonts w:hint="eastAsia" w:cs="宋体"/>
        </w:rPr>
        <w:t>（</w:t>
      </w:r>
      <w:r>
        <w:t>2</w:t>
      </w:r>
      <w:r>
        <w:rPr>
          <w:rFonts w:hint="eastAsia" w:cs="宋体"/>
        </w:rPr>
        <w:t>）公司有关应急指挥成员的手机实行</w:t>
      </w:r>
      <w:r>
        <w:t>24</w:t>
      </w:r>
      <w:r>
        <w:rPr>
          <w:rFonts w:hint="eastAsia" w:cs="宋体"/>
        </w:rPr>
        <w:t>小时开机，发生紧急情况时通过手机联系、传达有关应急信息和命令；</w:t>
      </w:r>
    </w:p>
    <w:p>
      <w:pPr>
        <w:ind w:firstLine="480"/>
      </w:pPr>
      <w:r>
        <w:rPr>
          <w:rFonts w:hint="eastAsia" w:cs="宋体"/>
        </w:rPr>
        <w:t>（</w:t>
      </w:r>
      <w:r>
        <w:t>3</w:t>
      </w:r>
      <w:r>
        <w:rPr>
          <w:rFonts w:hint="eastAsia" w:cs="宋体"/>
        </w:rPr>
        <w:t>）事故信息通报：发现事故信息人员向调度或部门负责人报告，接报人向总指挥或副总指挥报告、通知警戒组，指挥现场处置。</w:t>
      </w:r>
    </w:p>
    <w:p>
      <w:pPr>
        <w:pStyle w:val="5"/>
        <w:adjustRightInd w:val="0"/>
        <w:spacing w:line="360" w:lineRule="auto"/>
      </w:pPr>
      <w:bookmarkStart w:id="256" w:name="_Toc11248"/>
      <w:bookmarkStart w:id="257" w:name="_Toc23432"/>
      <w:bookmarkStart w:id="258" w:name="_Toc12334"/>
      <w:bookmarkStart w:id="259" w:name="_Toc9639"/>
      <w:bookmarkStart w:id="260" w:name="_Toc28077"/>
      <w:bookmarkStart w:id="261" w:name="_Toc20616"/>
      <w:bookmarkStart w:id="262" w:name="_Toc10622"/>
      <w:bookmarkStart w:id="263" w:name="_Toc31874"/>
      <w:bookmarkStart w:id="264" w:name="_Toc10276"/>
      <w:bookmarkStart w:id="265" w:name="_Toc2487"/>
      <w:bookmarkStart w:id="266" w:name="_Toc30170"/>
      <w:bookmarkStart w:id="267" w:name="_Toc862"/>
      <w:bookmarkStart w:id="268" w:name="_Toc7916"/>
      <w:bookmarkStart w:id="269" w:name="_Toc25756"/>
      <w:r>
        <w:rPr>
          <w:rFonts w:hint="eastAsia"/>
        </w:rPr>
        <w:t>4</w:t>
      </w:r>
      <w:r>
        <w:t>.6</w:t>
      </w:r>
      <w:r>
        <w:rPr>
          <w:rFonts w:hint="eastAsia"/>
        </w:rPr>
        <w:t>预警解除</w:t>
      </w:r>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pPr>
        <w:ind w:firstLine="480"/>
        <w:rPr>
          <w:rFonts w:cs="宋体"/>
        </w:rPr>
      </w:pPr>
      <w:r>
        <w:rPr>
          <w:rFonts w:hint="eastAsia" w:cs="宋体"/>
        </w:rPr>
        <w:t>现场指挥小组根据情况宣布预警解除，由公司现场指挥部成员通知相关单位。</w:t>
      </w:r>
    </w:p>
    <w:p>
      <w:pPr>
        <w:pStyle w:val="5"/>
        <w:adjustRightInd w:val="0"/>
        <w:spacing w:line="360" w:lineRule="auto"/>
      </w:pPr>
      <w:bookmarkStart w:id="270" w:name="_Toc4719"/>
      <w:bookmarkStart w:id="271" w:name="_Toc26551"/>
      <w:bookmarkStart w:id="272" w:name="_Toc8236"/>
      <w:bookmarkStart w:id="273" w:name="_Toc17241"/>
      <w:bookmarkStart w:id="274" w:name="_Toc14506"/>
      <w:bookmarkStart w:id="275" w:name="_Toc29490"/>
      <w:bookmarkStart w:id="276" w:name="_Toc23891"/>
      <w:r>
        <w:rPr>
          <w:rFonts w:hint="eastAsia"/>
        </w:rPr>
        <w:t>4.7信息报告</w:t>
      </w:r>
      <w:bookmarkEnd w:id="270"/>
      <w:bookmarkEnd w:id="271"/>
      <w:bookmarkEnd w:id="272"/>
      <w:bookmarkEnd w:id="273"/>
      <w:bookmarkEnd w:id="274"/>
      <w:bookmarkEnd w:id="275"/>
      <w:bookmarkEnd w:id="276"/>
    </w:p>
    <w:p>
      <w:pPr>
        <w:pStyle w:val="64"/>
        <w:outlineLvl w:val="1"/>
        <w:rPr>
          <w:color w:val="auto"/>
        </w:rPr>
      </w:pPr>
      <w:bookmarkStart w:id="277" w:name="_Toc5409"/>
      <w:bookmarkStart w:id="278" w:name="_Toc23230"/>
      <w:bookmarkStart w:id="279" w:name="_Toc20540"/>
      <w:bookmarkStart w:id="280" w:name="_Toc23170"/>
      <w:bookmarkStart w:id="281" w:name="_Toc23120"/>
      <w:r>
        <w:rPr>
          <w:rFonts w:hint="eastAsia"/>
          <w:color w:val="auto"/>
        </w:rPr>
        <w:t>4.7</w:t>
      </w:r>
      <w:r>
        <w:rPr>
          <w:color w:val="auto"/>
        </w:rPr>
        <w:t>.1</w:t>
      </w:r>
      <w:r>
        <w:rPr>
          <w:rFonts w:hint="eastAsia"/>
          <w:color w:val="auto"/>
        </w:rPr>
        <w:t>内部事故信息报警和通知</w:t>
      </w:r>
      <w:bookmarkEnd w:id="277"/>
      <w:bookmarkEnd w:id="278"/>
      <w:bookmarkEnd w:id="279"/>
      <w:bookmarkEnd w:id="280"/>
      <w:bookmarkEnd w:id="281"/>
    </w:p>
    <w:p>
      <w:pPr>
        <w:ind w:firstLine="480"/>
      </w:pPr>
      <w:r>
        <w:rPr>
          <w:rFonts w:hint="eastAsia" w:cs="宋体"/>
        </w:rPr>
        <w:t>发现紧急状态即将发生或已经发生时，应当按照以下步骤操作：</w:t>
      </w:r>
    </w:p>
    <w:p>
      <w:pPr>
        <w:widowControl/>
        <w:numPr>
          <w:ilvl w:val="0"/>
          <w:numId w:val="6"/>
        </w:numPr>
        <w:ind w:left="0" w:firstLine="567" w:firstLineChars="0"/>
        <w:jc w:val="left"/>
      </w:pPr>
      <w:r>
        <w:rPr>
          <w:rFonts w:hint="eastAsia" w:cs="宋体"/>
        </w:rPr>
        <w:t>突发事件现场发现者，应及时通知保安室；</w:t>
      </w:r>
    </w:p>
    <w:p>
      <w:pPr>
        <w:widowControl/>
        <w:numPr>
          <w:ilvl w:val="0"/>
          <w:numId w:val="6"/>
        </w:numPr>
        <w:ind w:left="0" w:firstLine="567" w:firstLineChars="0"/>
        <w:jc w:val="left"/>
      </w:pPr>
      <w:r>
        <w:rPr>
          <w:rFonts w:hint="eastAsia" w:cs="宋体"/>
        </w:rPr>
        <w:t>现场人员接到通知或通过消防自动报警系统发现有突发火警时，应马上通知巡逻保安到现场确认，并同时启动消防系统麦克风；</w:t>
      </w:r>
    </w:p>
    <w:p>
      <w:pPr>
        <w:widowControl/>
        <w:numPr>
          <w:ilvl w:val="0"/>
          <w:numId w:val="6"/>
        </w:numPr>
        <w:ind w:left="0" w:firstLine="567" w:firstLineChars="0"/>
        <w:jc w:val="left"/>
      </w:pPr>
      <w:r>
        <w:rPr>
          <w:rFonts w:hint="eastAsia" w:cs="宋体"/>
        </w:rPr>
        <w:t>如果突发事件属实，现场人员应第一时间报告现场指挥，确认是否需要疏散及疏散范围；马上通过对讲机及时反馈消防控制中心（即保安室）启动警铃，并进行应急广播，如情况严重，部门领导可先通知启动警铃及应急广播，再报告现场指挥，现场应急指挥组收到报告后立即通知其他现场应急指挥部成员；</w:t>
      </w:r>
    </w:p>
    <w:p>
      <w:pPr>
        <w:widowControl/>
        <w:numPr>
          <w:ilvl w:val="0"/>
          <w:numId w:val="6"/>
        </w:numPr>
        <w:ind w:left="0" w:firstLine="480" w:firstLineChars="0"/>
        <w:jc w:val="left"/>
      </w:pPr>
      <w:r>
        <w:rPr>
          <w:rFonts w:hint="eastAsia" w:cs="宋体"/>
        </w:rPr>
        <w:t>总指挥应及时到达现场，初步评估事件的严重性；如果此次突发事件将趋于严重，总指挥应及时通知现场应急指挥组成员待命，启动应急程序，进行紧急行动；</w:t>
      </w:r>
    </w:p>
    <w:p>
      <w:pPr>
        <w:pStyle w:val="64"/>
        <w:outlineLvl w:val="1"/>
        <w:rPr>
          <w:color w:val="auto"/>
        </w:rPr>
      </w:pPr>
      <w:bookmarkStart w:id="282" w:name="_Toc22985"/>
      <w:bookmarkStart w:id="283" w:name="_Toc6507"/>
      <w:bookmarkStart w:id="284" w:name="_Toc12748"/>
      <w:bookmarkStart w:id="285" w:name="_Toc9017"/>
      <w:bookmarkStart w:id="286" w:name="_Toc2002"/>
      <w:r>
        <w:rPr>
          <w:rFonts w:hint="eastAsia"/>
          <w:color w:val="auto"/>
        </w:rPr>
        <w:t>4.7</w:t>
      </w:r>
      <w:r>
        <w:rPr>
          <w:color w:val="auto"/>
        </w:rPr>
        <w:t>.2</w:t>
      </w:r>
      <w:r>
        <w:rPr>
          <w:rFonts w:hint="eastAsia"/>
          <w:color w:val="auto"/>
        </w:rPr>
        <w:t>向外部应急</w:t>
      </w:r>
      <w:r>
        <w:rPr>
          <w:color w:val="auto"/>
        </w:rPr>
        <w:t>/</w:t>
      </w:r>
      <w:r>
        <w:rPr>
          <w:rFonts w:hint="eastAsia"/>
          <w:color w:val="auto"/>
        </w:rPr>
        <w:t>救援力量报警和通知</w:t>
      </w:r>
      <w:bookmarkEnd w:id="282"/>
      <w:bookmarkEnd w:id="283"/>
      <w:bookmarkEnd w:id="284"/>
      <w:bookmarkEnd w:id="285"/>
      <w:bookmarkEnd w:id="286"/>
    </w:p>
    <w:p>
      <w:pPr>
        <w:ind w:firstLine="480"/>
      </w:pPr>
      <w:r>
        <w:rPr>
          <w:rFonts w:hint="eastAsia" w:cs="宋体"/>
        </w:rPr>
        <w:t>企业作为发生突发环境事件的责任单位，一旦发生突发环境污染事故，由应急指挥通过手机、座机等联络方式向当地政府报告，以及向周边单位发送警报消息，并组织人员撤离或疏散，随时保持电话联系。</w:t>
      </w:r>
    </w:p>
    <w:p>
      <w:pPr>
        <w:ind w:firstLine="480"/>
      </w:pPr>
      <w:r>
        <w:rPr>
          <w:rFonts w:hint="eastAsia" w:cs="宋体"/>
        </w:rPr>
        <w:t>当地政府应在接到报告</w:t>
      </w:r>
      <w:r>
        <w:t>1</w:t>
      </w:r>
      <w:r>
        <w:rPr>
          <w:rFonts w:hint="eastAsia" w:cs="宋体"/>
        </w:rPr>
        <w:t>小时内向</w:t>
      </w:r>
      <w:r>
        <w:rPr>
          <w:rFonts w:hint="eastAsia" w:cs="宋体"/>
          <w:color w:val="FF0000"/>
          <w:kern w:val="0"/>
        </w:rPr>
        <w:t>九江市湖口县生态环境局</w:t>
      </w:r>
      <w:r>
        <w:rPr>
          <w:rFonts w:hint="eastAsia" w:cs="宋体"/>
        </w:rPr>
        <w:t>及以上政府报告，同时向上一级环境保护行政主管部门及相关专业主管部门报告，并立即组织进行现场调查和先期处置。</w:t>
      </w:r>
    </w:p>
    <w:p>
      <w:pPr>
        <w:pStyle w:val="64"/>
        <w:outlineLvl w:val="1"/>
        <w:rPr>
          <w:color w:val="auto"/>
        </w:rPr>
      </w:pPr>
      <w:bookmarkStart w:id="287" w:name="_Toc1342"/>
      <w:bookmarkStart w:id="288" w:name="_Toc1405"/>
      <w:bookmarkStart w:id="289" w:name="_Toc14384"/>
      <w:bookmarkStart w:id="290" w:name="_Toc22098"/>
      <w:bookmarkStart w:id="291" w:name="_Toc2616"/>
      <w:r>
        <w:rPr>
          <w:rFonts w:hint="eastAsia"/>
          <w:color w:val="auto"/>
        </w:rPr>
        <w:t>4.7</w:t>
      </w:r>
      <w:r>
        <w:rPr>
          <w:color w:val="auto"/>
        </w:rPr>
        <w:t>.3</w:t>
      </w:r>
      <w:r>
        <w:rPr>
          <w:rFonts w:hint="eastAsia"/>
          <w:color w:val="auto"/>
        </w:rPr>
        <w:t>向邻近单位及人员报警和通知</w:t>
      </w:r>
      <w:bookmarkEnd w:id="287"/>
      <w:bookmarkEnd w:id="288"/>
      <w:bookmarkEnd w:id="289"/>
      <w:bookmarkEnd w:id="290"/>
      <w:bookmarkEnd w:id="291"/>
    </w:p>
    <w:p>
      <w:pPr>
        <w:ind w:firstLine="480"/>
      </w:pPr>
      <w:r>
        <w:rPr>
          <w:rFonts w:hint="eastAsia" w:cs="宋体"/>
        </w:rPr>
        <w:t>在事故可能影响到厂外的情况下，应急指挥部应立即通知周边邻近单位、社区、受影响区域人群。通知内容应当尽可能简明，告诉公众该如何采取行动；如果决定疏散，应当通知居民避难所位置和疏散路线。</w:t>
      </w:r>
    </w:p>
    <w:p>
      <w:pPr>
        <w:pStyle w:val="64"/>
        <w:outlineLvl w:val="1"/>
        <w:rPr>
          <w:color w:val="auto"/>
        </w:rPr>
      </w:pPr>
      <w:bookmarkStart w:id="292" w:name="_Toc22742"/>
      <w:bookmarkStart w:id="293" w:name="_Toc5758"/>
      <w:bookmarkStart w:id="294" w:name="_Toc15060"/>
      <w:bookmarkStart w:id="295" w:name="_Toc25379"/>
      <w:bookmarkStart w:id="296" w:name="_Toc11473"/>
      <w:r>
        <w:rPr>
          <w:rFonts w:hint="eastAsia"/>
          <w:color w:val="auto"/>
        </w:rPr>
        <w:t>4.7</w:t>
      </w:r>
      <w:r>
        <w:rPr>
          <w:color w:val="auto"/>
        </w:rPr>
        <w:t>.4</w:t>
      </w:r>
      <w:r>
        <w:rPr>
          <w:rFonts w:hint="eastAsia"/>
          <w:color w:val="auto"/>
        </w:rPr>
        <w:t>信息发布程序</w:t>
      </w:r>
      <w:bookmarkEnd w:id="292"/>
      <w:bookmarkEnd w:id="293"/>
      <w:bookmarkEnd w:id="294"/>
      <w:bookmarkEnd w:id="295"/>
      <w:bookmarkEnd w:id="296"/>
    </w:p>
    <w:p>
      <w:pPr>
        <w:ind w:firstLine="480"/>
        <w:rPr>
          <w:rFonts w:cs="宋体"/>
          <w:snapToGrid w:val="0"/>
        </w:rPr>
      </w:pPr>
      <w:r>
        <w:rPr>
          <w:rFonts w:hint="eastAsia" w:cs="宋体"/>
          <w:snapToGrid w:val="0"/>
        </w:rPr>
        <w:t>应急指挥部及时了解事故发展状态，同</w:t>
      </w:r>
      <w:r>
        <w:rPr>
          <w:rFonts w:hint="eastAsia" w:cs="宋体"/>
          <w:kern w:val="0"/>
        </w:rPr>
        <w:t>九江市</w:t>
      </w:r>
      <w:r>
        <w:rPr>
          <w:rFonts w:hint="eastAsia" w:cs="宋体"/>
          <w:color w:val="FF0000"/>
          <w:kern w:val="0"/>
        </w:rPr>
        <w:t>湖口县</w:t>
      </w:r>
      <w:r>
        <w:rPr>
          <w:rFonts w:hint="eastAsia" w:cs="宋体"/>
          <w:kern w:val="0"/>
        </w:rPr>
        <w:t>生态环境局、安监局</w:t>
      </w:r>
      <w:r>
        <w:rPr>
          <w:rFonts w:hint="eastAsia" w:cs="宋体"/>
          <w:snapToGrid w:val="0"/>
        </w:rPr>
        <w:t>保持联系，及时沟通事态发展情况，由</w:t>
      </w:r>
      <w:r>
        <w:rPr>
          <w:rFonts w:hint="eastAsia" w:cs="宋体"/>
          <w:kern w:val="0"/>
        </w:rPr>
        <w:t>九江市</w:t>
      </w:r>
      <w:r>
        <w:rPr>
          <w:rFonts w:hint="eastAsia" w:cs="宋体"/>
          <w:color w:val="FF0000"/>
          <w:kern w:val="0"/>
        </w:rPr>
        <w:t>湖口县</w:t>
      </w:r>
      <w:r>
        <w:rPr>
          <w:rFonts w:hint="eastAsia" w:cs="宋体"/>
          <w:kern w:val="0"/>
        </w:rPr>
        <w:t>生态环境局、安监局</w:t>
      </w:r>
      <w:r>
        <w:rPr>
          <w:rFonts w:hint="eastAsia" w:cs="宋体"/>
          <w:snapToGrid w:val="0"/>
        </w:rPr>
        <w:t>发布事故信息，发布的信息必须经过管理所应急办总指挥确认，力求做到及时、准确。当没有进一步信息时，应该让公众、媒体知道事态正在调查，将下次信息发布时间通知媒体。</w:t>
      </w:r>
    </w:p>
    <w:p>
      <w:pPr>
        <w:pStyle w:val="2"/>
        <w:rPr>
          <w:color w:val="auto"/>
          <w:kern w:val="21"/>
        </w:rPr>
      </w:pPr>
    </w:p>
    <w:p>
      <w:pPr>
        <w:pStyle w:val="2"/>
        <w:rPr>
          <w:color w:val="auto"/>
          <w:kern w:val="21"/>
        </w:rPr>
      </w:pPr>
    </w:p>
    <w:p>
      <w:pPr>
        <w:pStyle w:val="2"/>
        <w:rPr>
          <w:color w:val="auto"/>
          <w:kern w:val="21"/>
        </w:rPr>
      </w:pPr>
    </w:p>
    <w:p>
      <w:pPr>
        <w:pStyle w:val="2"/>
        <w:rPr>
          <w:color w:val="auto"/>
          <w:kern w:val="21"/>
        </w:rPr>
      </w:pPr>
    </w:p>
    <w:p>
      <w:pPr>
        <w:pStyle w:val="2"/>
        <w:rPr>
          <w:color w:val="auto"/>
          <w:kern w:val="21"/>
        </w:rPr>
      </w:pPr>
    </w:p>
    <w:p>
      <w:pPr>
        <w:pStyle w:val="2"/>
        <w:rPr>
          <w:color w:val="auto"/>
          <w:kern w:val="21"/>
        </w:rPr>
      </w:pPr>
    </w:p>
    <w:p>
      <w:pPr>
        <w:pStyle w:val="2"/>
        <w:rPr>
          <w:color w:val="auto"/>
          <w:kern w:val="21"/>
        </w:rPr>
      </w:pPr>
    </w:p>
    <w:p>
      <w:pPr>
        <w:pStyle w:val="4"/>
        <w:adjustRightInd w:val="0"/>
        <w:snapToGrid w:val="0"/>
        <w:rPr>
          <w:kern w:val="21"/>
        </w:rPr>
      </w:pPr>
      <w:bookmarkStart w:id="297" w:name="_Toc31708"/>
      <w:bookmarkStart w:id="298" w:name="_Toc4701"/>
      <w:bookmarkStart w:id="299" w:name="_Toc18176"/>
      <w:r>
        <w:rPr>
          <w:rFonts w:hint="eastAsia"/>
        </w:rPr>
        <w:t>5应急响应</w:t>
      </w:r>
      <w:bookmarkEnd w:id="297"/>
      <w:bookmarkEnd w:id="298"/>
      <w:bookmarkEnd w:id="299"/>
    </w:p>
    <w:p>
      <w:pPr>
        <w:pStyle w:val="5"/>
        <w:adjustRightInd w:val="0"/>
        <w:spacing w:line="360" w:lineRule="auto"/>
        <w:rPr>
          <w:kern w:val="21"/>
        </w:rPr>
      </w:pPr>
      <w:bookmarkStart w:id="300" w:name="_Toc22809"/>
      <w:bookmarkStart w:id="301" w:name="_Toc25580"/>
      <w:bookmarkStart w:id="302" w:name="_Toc30205"/>
      <w:bookmarkStart w:id="303" w:name="_Toc10087"/>
      <w:bookmarkStart w:id="304" w:name="_Toc10264"/>
      <w:bookmarkStart w:id="305" w:name="_Toc14471"/>
      <w:bookmarkStart w:id="306" w:name="_Toc32211"/>
      <w:bookmarkStart w:id="307" w:name="_Toc17418"/>
      <w:bookmarkStart w:id="308" w:name="_Toc7377"/>
      <w:bookmarkStart w:id="309" w:name="_Toc1905"/>
      <w:bookmarkStart w:id="310" w:name="_Toc6281"/>
      <w:bookmarkStart w:id="311" w:name="_Toc2643"/>
      <w:bookmarkStart w:id="312" w:name="_Toc7546"/>
      <w:bookmarkStart w:id="313" w:name="_Toc23534"/>
      <w:r>
        <w:rPr>
          <w:rFonts w:hint="eastAsia"/>
        </w:rPr>
        <w:t>5.1响应分级</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pPr>
        <w:autoSpaceDE w:val="0"/>
        <w:autoSpaceDN w:val="0"/>
        <w:adjustRightInd w:val="0"/>
        <w:ind w:firstLine="480"/>
        <w:rPr>
          <w:kern w:val="0"/>
        </w:rPr>
      </w:pPr>
      <w:r>
        <w:rPr>
          <w:rFonts w:hint="eastAsia" w:cs="宋体"/>
          <w:kern w:val="0"/>
        </w:rPr>
        <w:t>依据我公司事故的类别、危害程度、应急能力的评估，可能发生的事故现场情况分析结果，将我司可能发生的环境事故分为三级应急响应。</w:t>
      </w:r>
    </w:p>
    <w:p>
      <w:pPr>
        <w:autoSpaceDE w:val="0"/>
        <w:autoSpaceDN w:val="0"/>
        <w:adjustRightInd w:val="0"/>
        <w:ind w:firstLine="482"/>
        <w:outlineLvl w:val="1"/>
        <w:rPr>
          <w:b/>
          <w:bCs/>
          <w:kern w:val="0"/>
        </w:rPr>
      </w:pPr>
      <w:bookmarkStart w:id="314" w:name="_Toc21922"/>
      <w:bookmarkStart w:id="315" w:name="_Toc17768"/>
      <w:r>
        <w:rPr>
          <w:rFonts w:hint="eastAsia" w:cs="宋体"/>
          <w:b/>
          <w:bCs/>
          <w:kern w:val="0"/>
        </w:rPr>
        <w:t>（</w:t>
      </w:r>
      <w:r>
        <w:rPr>
          <w:b/>
          <w:bCs/>
          <w:kern w:val="0"/>
        </w:rPr>
        <w:t>1</w:t>
      </w:r>
      <w:r>
        <w:rPr>
          <w:rFonts w:hint="eastAsia" w:cs="宋体"/>
          <w:b/>
          <w:bCs/>
          <w:kern w:val="0"/>
        </w:rPr>
        <w:t>）三级响应</w:t>
      </w:r>
      <w:bookmarkEnd w:id="314"/>
      <w:bookmarkEnd w:id="315"/>
    </w:p>
    <w:p>
      <w:pPr>
        <w:autoSpaceDE w:val="0"/>
        <w:autoSpaceDN w:val="0"/>
        <w:adjustRightInd w:val="0"/>
        <w:ind w:firstLine="480"/>
        <w:rPr>
          <w:kern w:val="0"/>
        </w:rPr>
      </w:pPr>
      <w:r>
        <w:rPr>
          <w:rFonts w:hint="eastAsia" w:cs="宋体"/>
          <w:kern w:val="0"/>
        </w:rPr>
        <w:t>部门可利用人力、物力、财力等各种资源可处理的紧急情况。</w:t>
      </w:r>
    </w:p>
    <w:p>
      <w:pPr>
        <w:autoSpaceDE w:val="0"/>
        <w:autoSpaceDN w:val="0"/>
        <w:adjustRightInd w:val="0"/>
        <w:ind w:firstLine="482"/>
        <w:outlineLvl w:val="1"/>
        <w:rPr>
          <w:b/>
          <w:bCs/>
          <w:kern w:val="0"/>
        </w:rPr>
      </w:pPr>
      <w:bookmarkStart w:id="316" w:name="_Toc11704"/>
      <w:bookmarkStart w:id="317" w:name="_Toc20376"/>
      <w:r>
        <w:rPr>
          <w:rFonts w:hint="eastAsia" w:cs="宋体"/>
          <w:b/>
          <w:bCs/>
          <w:kern w:val="0"/>
        </w:rPr>
        <w:t>（</w:t>
      </w:r>
      <w:r>
        <w:rPr>
          <w:b/>
          <w:bCs/>
          <w:kern w:val="0"/>
        </w:rPr>
        <w:t>2</w:t>
      </w:r>
      <w:r>
        <w:rPr>
          <w:rFonts w:hint="eastAsia" w:cs="宋体"/>
          <w:b/>
          <w:bCs/>
          <w:kern w:val="0"/>
        </w:rPr>
        <w:t>）二级响应（以消防警铃为信号）</w:t>
      </w:r>
      <w:bookmarkEnd w:id="316"/>
      <w:bookmarkEnd w:id="317"/>
    </w:p>
    <w:p>
      <w:pPr>
        <w:autoSpaceDE w:val="0"/>
        <w:autoSpaceDN w:val="0"/>
        <w:adjustRightInd w:val="0"/>
        <w:ind w:firstLine="480"/>
        <w:rPr>
          <w:kern w:val="0"/>
        </w:rPr>
      </w:pPr>
      <w:r>
        <w:rPr>
          <w:rFonts w:hint="eastAsia" w:cs="宋体"/>
          <w:kern w:val="0"/>
        </w:rPr>
        <w:t>我公司可利用人力、物力、财力等各种资源可处理的紧急情况。</w:t>
      </w:r>
    </w:p>
    <w:p>
      <w:pPr>
        <w:autoSpaceDE w:val="0"/>
        <w:autoSpaceDN w:val="0"/>
        <w:adjustRightInd w:val="0"/>
        <w:ind w:firstLine="482"/>
        <w:outlineLvl w:val="1"/>
        <w:rPr>
          <w:rFonts w:cs="宋体"/>
          <w:b/>
          <w:bCs/>
          <w:kern w:val="0"/>
        </w:rPr>
      </w:pPr>
      <w:bookmarkStart w:id="318" w:name="_Toc23830"/>
      <w:bookmarkStart w:id="319" w:name="_Toc20928"/>
      <w:r>
        <w:rPr>
          <w:rFonts w:hint="eastAsia" w:cs="宋体"/>
          <w:b/>
          <w:bCs/>
          <w:kern w:val="0"/>
        </w:rPr>
        <w:t>（</w:t>
      </w:r>
      <w:r>
        <w:rPr>
          <w:b/>
          <w:bCs/>
          <w:kern w:val="0"/>
        </w:rPr>
        <w:t>3</w:t>
      </w:r>
      <w:r>
        <w:rPr>
          <w:rFonts w:hint="eastAsia" w:cs="宋体"/>
          <w:b/>
          <w:bCs/>
          <w:kern w:val="0"/>
        </w:rPr>
        <w:t>）一级响应（以消防警铃为信号，由指挥部向九江市</w:t>
      </w:r>
      <w:r>
        <w:rPr>
          <w:rFonts w:hint="eastAsia" w:cs="宋体"/>
          <w:b/>
          <w:bCs/>
          <w:kern w:val="0"/>
          <w:lang w:eastAsia="zh-CN"/>
        </w:rPr>
        <w:t>湖口县</w:t>
      </w:r>
      <w:r>
        <w:rPr>
          <w:rFonts w:hint="eastAsia" w:cs="宋体"/>
          <w:b/>
          <w:bCs/>
          <w:kern w:val="0"/>
        </w:rPr>
        <w:t>上报）</w:t>
      </w:r>
      <w:bookmarkEnd w:id="318"/>
      <w:bookmarkEnd w:id="319"/>
    </w:p>
    <w:p>
      <w:pPr>
        <w:autoSpaceDE w:val="0"/>
        <w:autoSpaceDN w:val="0"/>
        <w:adjustRightInd w:val="0"/>
        <w:ind w:firstLine="480"/>
        <w:rPr>
          <w:rFonts w:cs="宋体"/>
          <w:kern w:val="0"/>
        </w:rPr>
      </w:pPr>
      <w:r>
        <w:rPr>
          <w:rFonts w:hint="eastAsia" w:cs="宋体"/>
          <w:kern w:val="0"/>
        </w:rPr>
        <w:t>超过我公司事故应急救援能力，事故有扩大、发展趋势，或者事故影响到公司周边社区时，需要报请辖区内行政部门及其他有关部门支援的紧急情况并由上级主管部门启动上一级应急预案。</w:t>
      </w:r>
    </w:p>
    <w:p>
      <w:pPr>
        <w:pStyle w:val="5"/>
        <w:adjustRightInd w:val="0"/>
        <w:spacing w:line="360" w:lineRule="auto"/>
      </w:pPr>
      <w:bookmarkStart w:id="320" w:name="_Toc3300"/>
      <w:bookmarkStart w:id="321" w:name="_Toc3987"/>
      <w:bookmarkStart w:id="322" w:name="_Toc1610"/>
      <w:bookmarkStart w:id="323" w:name="_Toc32652"/>
      <w:bookmarkStart w:id="324" w:name="_Toc5843"/>
      <w:bookmarkStart w:id="325" w:name="_Toc21538"/>
      <w:bookmarkStart w:id="326" w:name="_Toc1666"/>
      <w:bookmarkStart w:id="327" w:name="_Toc22517"/>
      <w:bookmarkStart w:id="328" w:name="_Toc16743"/>
      <w:bookmarkStart w:id="329" w:name="_Toc23453"/>
      <w:bookmarkStart w:id="330" w:name="_Toc4733"/>
      <w:bookmarkStart w:id="331" w:name="_Toc5183"/>
      <w:bookmarkStart w:id="332" w:name="_Toc1551"/>
      <w:bookmarkStart w:id="333" w:name="_Toc32103"/>
      <w:r>
        <w:rPr>
          <w:rFonts w:hint="eastAsia"/>
        </w:rPr>
        <w:t>5.2响应程序</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p>
    <w:p>
      <w:pPr>
        <w:pStyle w:val="64"/>
        <w:outlineLvl w:val="1"/>
        <w:rPr>
          <w:color w:val="auto"/>
        </w:rPr>
      </w:pPr>
      <w:bookmarkStart w:id="334" w:name="_Toc3183"/>
      <w:bookmarkStart w:id="335" w:name="_Toc21990"/>
      <w:bookmarkStart w:id="336" w:name="_Toc3096"/>
      <w:bookmarkStart w:id="337" w:name="_Toc18385"/>
      <w:r>
        <w:rPr>
          <w:rFonts w:hint="eastAsia"/>
          <w:color w:val="auto"/>
        </w:rPr>
        <w:t>5</w:t>
      </w:r>
      <w:r>
        <w:rPr>
          <w:color w:val="auto"/>
        </w:rPr>
        <w:t>.2.1</w:t>
      </w:r>
      <w:r>
        <w:rPr>
          <w:rFonts w:hint="eastAsia"/>
          <w:color w:val="auto"/>
        </w:rPr>
        <w:t>应急指挥及行动</w:t>
      </w:r>
      <w:bookmarkEnd w:id="334"/>
      <w:bookmarkEnd w:id="335"/>
      <w:bookmarkEnd w:id="336"/>
      <w:bookmarkEnd w:id="337"/>
    </w:p>
    <w:p>
      <w:pPr>
        <w:autoSpaceDE w:val="0"/>
        <w:autoSpaceDN w:val="0"/>
        <w:adjustRightInd w:val="0"/>
        <w:ind w:firstLine="480"/>
        <w:rPr>
          <w:kern w:val="0"/>
        </w:rPr>
      </w:pPr>
      <w:r>
        <w:rPr>
          <w:kern w:val="0"/>
        </w:rPr>
        <w:t>1.</w:t>
      </w:r>
      <w:r>
        <w:rPr>
          <w:rFonts w:hint="eastAsia" w:cs="宋体"/>
          <w:kern w:val="0"/>
        </w:rPr>
        <w:t>发生环境风险事故时，指挥部接警后总指挥或副总指挥应立即发出预警信号（触动消防警铃），启动相应应急响应，并实施本预案，做好现场指挥、领导工作。</w:t>
      </w:r>
    </w:p>
    <w:p>
      <w:pPr>
        <w:autoSpaceDE w:val="0"/>
        <w:autoSpaceDN w:val="0"/>
        <w:adjustRightInd w:val="0"/>
        <w:ind w:firstLine="480"/>
        <w:rPr>
          <w:kern w:val="0"/>
        </w:rPr>
      </w:pPr>
      <w:r>
        <w:rPr>
          <w:kern w:val="0"/>
        </w:rPr>
        <w:t>2.</w:t>
      </w:r>
      <w:r>
        <w:rPr>
          <w:rFonts w:hint="eastAsia" w:cs="宋体"/>
          <w:kern w:val="0"/>
        </w:rPr>
        <w:t>应急指挥部应根据事故类型、严重程度等调集相应的应急小组成员，立即进入应急抢险战斗状态。</w:t>
      </w:r>
    </w:p>
    <w:p>
      <w:pPr>
        <w:autoSpaceDE w:val="0"/>
        <w:autoSpaceDN w:val="0"/>
        <w:adjustRightInd w:val="0"/>
        <w:ind w:firstLine="480"/>
        <w:rPr>
          <w:kern w:val="0"/>
        </w:rPr>
      </w:pPr>
      <w:r>
        <w:rPr>
          <w:kern w:val="0"/>
        </w:rPr>
        <w:t>3.</w:t>
      </w:r>
      <w:r>
        <w:rPr>
          <w:rFonts w:hint="eastAsia" w:cs="宋体"/>
          <w:kern w:val="0"/>
        </w:rPr>
        <w:t>现场人员在抢险组责任人的领导下及时采取有效措施，阻止事故扩大。</w:t>
      </w:r>
    </w:p>
    <w:p>
      <w:pPr>
        <w:pStyle w:val="64"/>
        <w:outlineLvl w:val="1"/>
        <w:rPr>
          <w:color w:val="auto"/>
        </w:rPr>
      </w:pPr>
      <w:bookmarkStart w:id="338" w:name="_Toc23925"/>
      <w:bookmarkStart w:id="339" w:name="_Toc17551"/>
      <w:bookmarkStart w:id="340" w:name="_Toc10959"/>
      <w:bookmarkStart w:id="341" w:name="_Toc13314"/>
      <w:r>
        <w:rPr>
          <w:rFonts w:hint="eastAsia"/>
          <w:color w:val="auto"/>
        </w:rPr>
        <w:t>5.</w:t>
      </w:r>
      <w:r>
        <w:rPr>
          <w:color w:val="auto"/>
        </w:rPr>
        <w:t>2.2</w:t>
      </w:r>
      <w:r>
        <w:rPr>
          <w:rFonts w:hint="eastAsia"/>
          <w:color w:val="auto"/>
        </w:rPr>
        <w:t>资源调配</w:t>
      </w:r>
      <w:bookmarkEnd w:id="338"/>
      <w:bookmarkEnd w:id="339"/>
      <w:bookmarkEnd w:id="340"/>
      <w:bookmarkEnd w:id="341"/>
    </w:p>
    <w:p>
      <w:pPr>
        <w:autoSpaceDE w:val="0"/>
        <w:autoSpaceDN w:val="0"/>
        <w:adjustRightInd w:val="0"/>
        <w:ind w:firstLine="480"/>
        <w:rPr>
          <w:kern w:val="0"/>
        </w:rPr>
      </w:pPr>
      <w:r>
        <w:rPr>
          <w:rFonts w:hint="eastAsia" w:cs="宋体"/>
          <w:kern w:val="0"/>
        </w:rPr>
        <w:t>后勤组在应急指挥部的领导指挥下，根据现场抢险救援的要求有序的提供所需物资装备，若本车间或公司无法提供的物资装备，应向外界专业救援机构请求技术、物资装备的支援。</w:t>
      </w:r>
    </w:p>
    <w:p>
      <w:pPr>
        <w:pStyle w:val="64"/>
        <w:outlineLvl w:val="1"/>
        <w:rPr>
          <w:color w:val="auto"/>
        </w:rPr>
      </w:pPr>
      <w:bookmarkStart w:id="342" w:name="_Toc26979"/>
      <w:bookmarkStart w:id="343" w:name="_Toc9641"/>
      <w:bookmarkStart w:id="344" w:name="_Toc4901"/>
      <w:bookmarkStart w:id="345" w:name="_Toc17744"/>
      <w:r>
        <w:rPr>
          <w:rFonts w:hint="eastAsia"/>
          <w:color w:val="auto"/>
        </w:rPr>
        <w:t>5</w:t>
      </w:r>
      <w:r>
        <w:rPr>
          <w:color w:val="auto"/>
        </w:rPr>
        <w:t>.2.3</w:t>
      </w:r>
      <w:r>
        <w:rPr>
          <w:rFonts w:hint="eastAsia"/>
          <w:color w:val="auto"/>
        </w:rPr>
        <w:t>应急避险</w:t>
      </w:r>
      <w:bookmarkEnd w:id="342"/>
      <w:bookmarkEnd w:id="343"/>
      <w:bookmarkEnd w:id="344"/>
      <w:bookmarkEnd w:id="345"/>
    </w:p>
    <w:p>
      <w:pPr>
        <w:autoSpaceDE w:val="0"/>
        <w:autoSpaceDN w:val="0"/>
        <w:adjustRightInd w:val="0"/>
        <w:ind w:firstLine="480"/>
        <w:rPr>
          <w:kern w:val="0"/>
        </w:rPr>
      </w:pPr>
      <w:r>
        <w:rPr>
          <w:rFonts w:hint="eastAsia" w:cs="宋体"/>
          <w:kern w:val="0"/>
        </w:rPr>
        <w:t>抢险组在事故发生后应立即赶赴现场，根据事故实际情况设置警戒区域，按预先设定的疏散路线、安置点，有序的疏散事故现场无关人员，防止事态扩大造成其他人员伤害。</w:t>
      </w:r>
    </w:p>
    <w:p>
      <w:pPr>
        <w:pStyle w:val="64"/>
        <w:outlineLvl w:val="1"/>
        <w:rPr>
          <w:color w:val="auto"/>
        </w:rPr>
      </w:pPr>
      <w:bookmarkStart w:id="346" w:name="_Toc10040"/>
      <w:bookmarkStart w:id="347" w:name="_Toc1847"/>
      <w:bookmarkStart w:id="348" w:name="_Toc16345"/>
      <w:bookmarkStart w:id="349" w:name="_Toc30821"/>
      <w:r>
        <w:rPr>
          <w:rFonts w:hint="eastAsia"/>
          <w:color w:val="auto"/>
        </w:rPr>
        <w:t>5</w:t>
      </w:r>
      <w:r>
        <w:rPr>
          <w:color w:val="auto"/>
        </w:rPr>
        <w:t>.2.4</w:t>
      </w:r>
      <w:r>
        <w:rPr>
          <w:rFonts w:hint="eastAsia"/>
          <w:color w:val="auto"/>
        </w:rPr>
        <w:t>扩大应急响应程序</w:t>
      </w:r>
      <w:bookmarkEnd w:id="346"/>
      <w:bookmarkEnd w:id="347"/>
      <w:bookmarkEnd w:id="348"/>
      <w:bookmarkEnd w:id="349"/>
    </w:p>
    <w:p>
      <w:pPr>
        <w:autoSpaceDE w:val="0"/>
        <w:autoSpaceDN w:val="0"/>
        <w:adjustRightInd w:val="0"/>
        <w:ind w:firstLine="480"/>
        <w:rPr>
          <w:kern w:val="0"/>
        </w:rPr>
      </w:pPr>
      <w:r>
        <w:rPr>
          <w:rFonts w:hint="eastAsia" w:cs="宋体"/>
          <w:kern w:val="0"/>
        </w:rPr>
        <w:t>一旦发生环境风险事故后，公司应急指挥部根据事故发生地点、事故类型及事故严重程度启动本应急救援预案相应响应级别后，如事故不能有效处置，或者有扩大、发展的趋势，或者影响到公司周边单位时，由公司应急总指挥将响应级别提高至一级，及报请辖区相关行政部门、消防、环保等部门以及医疗机构技术支援。</w:t>
      </w:r>
    </w:p>
    <w:p>
      <w:pPr>
        <w:pStyle w:val="5"/>
        <w:adjustRightInd w:val="0"/>
        <w:spacing w:line="360" w:lineRule="auto"/>
      </w:pPr>
      <w:bookmarkStart w:id="350" w:name="_Toc11410"/>
      <w:bookmarkStart w:id="351" w:name="_Toc13411"/>
      <w:bookmarkStart w:id="352" w:name="_Toc2122"/>
      <w:bookmarkStart w:id="353" w:name="_Toc11226"/>
      <w:bookmarkStart w:id="354" w:name="_Toc27751"/>
      <w:bookmarkStart w:id="355" w:name="_Toc16206"/>
      <w:bookmarkStart w:id="356" w:name="_Toc32635"/>
      <w:bookmarkStart w:id="357" w:name="_Toc12938"/>
      <w:bookmarkStart w:id="358" w:name="_Toc14775"/>
      <w:bookmarkStart w:id="359" w:name="_Toc11676"/>
      <w:bookmarkStart w:id="360" w:name="_Toc20112"/>
      <w:bookmarkStart w:id="361" w:name="_Toc27391"/>
      <w:bookmarkStart w:id="362" w:name="_Toc12118"/>
      <w:bookmarkStart w:id="363" w:name="_Toc16557"/>
      <w:r>
        <w:rPr>
          <w:rFonts w:hint="eastAsia"/>
        </w:rPr>
        <w:t>5.3应急响应流程</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pPr>
        <w:ind w:firstLine="480"/>
        <w:rPr>
          <w:rFonts w:cs="宋体"/>
          <w:kern w:val="0"/>
        </w:rPr>
      </w:pPr>
      <w:r>
        <w:rPr>
          <w:rFonts w:hint="eastAsia" w:cs="宋体"/>
        </w:rPr>
        <w:t>一旦发生突发环境事件，应急指挥中心接到报警后，立即评估突发环境事件的危害程度，按预定的等级条件初步判断事件等级，并启动或报告上级单位建议启动应急响应程序，响应流程如下图5</w:t>
      </w:r>
      <w:r>
        <w:t>.3-1</w:t>
      </w:r>
      <w:r>
        <w:rPr>
          <w:rFonts w:hint="eastAsia" w:cs="宋体"/>
        </w:rPr>
        <w:t>。</w:t>
      </w:r>
    </w:p>
    <w:p>
      <w:pPr>
        <w:autoSpaceDE w:val="0"/>
        <w:autoSpaceDN w:val="0"/>
        <w:adjustRightInd w:val="0"/>
        <w:ind w:firstLine="480"/>
        <w:jc w:val="center"/>
      </w:pPr>
      <w:r>
        <w:drawing>
          <wp:inline distT="0" distB="0" distL="114300" distR="114300">
            <wp:extent cx="4342765" cy="4295775"/>
            <wp:effectExtent l="0" t="0" r="635" b="1905"/>
            <wp:docPr id="9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
                    <pic:cNvPicPr>
                      <a:picLocks noChangeAspect="1"/>
                    </pic:cNvPicPr>
                  </pic:nvPicPr>
                  <pic:blipFill>
                    <a:blip r:embed="rId28" cstate="print"/>
                    <a:stretch>
                      <a:fillRect/>
                    </a:stretch>
                  </pic:blipFill>
                  <pic:spPr>
                    <a:xfrm>
                      <a:off x="0" y="0"/>
                      <a:ext cx="4342765" cy="4295775"/>
                    </a:xfrm>
                    <a:prstGeom prst="rect">
                      <a:avLst/>
                    </a:prstGeom>
                    <a:noFill/>
                    <a:ln>
                      <a:noFill/>
                    </a:ln>
                  </pic:spPr>
                </pic:pic>
              </a:graphicData>
            </a:graphic>
          </wp:inline>
        </w:drawing>
      </w:r>
    </w:p>
    <w:p>
      <w:pPr>
        <w:autoSpaceDE w:val="0"/>
        <w:autoSpaceDN w:val="0"/>
        <w:adjustRightInd w:val="0"/>
        <w:ind w:firstLine="3162" w:firstLineChars="1500"/>
        <w:rPr>
          <w:kern w:val="0"/>
        </w:rPr>
      </w:pPr>
      <w:bookmarkStart w:id="364" w:name="_Toc22642_WPSOffice_Level2"/>
      <w:r>
        <w:rPr>
          <w:rFonts w:hint="eastAsia" w:cs="宋体"/>
          <w:b/>
          <w:bCs/>
          <w:sz w:val="21"/>
        </w:rPr>
        <w:t>图</w:t>
      </w:r>
      <w:r>
        <w:rPr>
          <w:rFonts w:hint="eastAsia"/>
          <w:b/>
          <w:bCs/>
          <w:sz w:val="21"/>
        </w:rPr>
        <w:t>5</w:t>
      </w:r>
      <w:r>
        <w:rPr>
          <w:b/>
          <w:bCs/>
          <w:sz w:val="21"/>
        </w:rPr>
        <w:t xml:space="preserve">.3-1  </w:t>
      </w:r>
      <w:r>
        <w:rPr>
          <w:rFonts w:hint="eastAsia" w:cs="宋体"/>
          <w:b/>
          <w:bCs/>
          <w:sz w:val="21"/>
        </w:rPr>
        <w:t>应急响应流程图</w:t>
      </w:r>
      <w:bookmarkEnd w:id="364"/>
    </w:p>
    <w:p>
      <w:pPr>
        <w:ind w:firstLine="480"/>
        <w:rPr>
          <w:kern w:val="0"/>
        </w:rPr>
      </w:pPr>
      <w:r>
        <w:rPr>
          <w:rFonts w:hint="eastAsia" w:cs="宋体"/>
          <w:kern w:val="0"/>
        </w:rPr>
        <w:t>本预案的响应程序内容如下：</w:t>
      </w:r>
    </w:p>
    <w:p>
      <w:pPr>
        <w:ind w:firstLine="480"/>
        <w:rPr>
          <w:kern w:val="0"/>
        </w:rPr>
      </w:pPr>
      <w:r>
        <w:rPr>
          <w:rFonts w:hint="eastAsia" w:cs="宋体"/>
          <w:kern w:val="0"/>
        </w:rPr>
        <w:t>事故发生后，现场应急小组应根据事故类别，立即启动三级响应同时启动现场处置方案，根据现场事故发生情况，判定事故发展趋势是否可班组内解决；</w:t>
      </w:r>
    </w:p>
    <w:p>
      <w:pPr>
        <w:ind w:firstLine="480"/>
        <w:rPr>
          <w:kern w:val="0"/>
        </w:rPr>
      </w:pPr>
      <w:r>
        <w:rPr>
          <w:rFonts w:hint="eastAsia" w:cs="宋体"/>
          <w:kern w:val="0"/>
        </w:rPr>
        <w:t>若超过三级预警，则上报应急指挥部，并请求启动二级响应；</w:t>
      </w:r>
    </w:p>
    <w:p>
      <w:pPr>
        <w:ind w:firstLine="480"/>
        <w:rPr>
          <w:kern w:val="0"/>
        </w:rPr>
      </w:pPr>
      <w:r>
        <w:rPr>
          <w:rFonts w:hint="eastAsia" w:cs="宋体"/>
          <w:kern w:val="0"/>
        </w:rPr>
        <w:t>应急指挥部接到报告后，应立即判定预警级别，若预警级别超过二级，应急指挥部立即启动综合应急预案，并报告上级环保部门；</w:t>
      </w:r>
    </w:p>
    <w:p>
      <w:pPr>
        <w:autoSpaceDE w:val="0"/>
        <w:autoSpaceDN w:val="0"/>
        <w:adjustRightInd w:val="0"/>
        <w:ind w:firstLine="480"/>
        <w:rPr>
          <w:kern w:val="0"/>
        </w:rPr>
      </w:pPr>
      <w:r>
        <w:rPr>
          <w:rFonts w:hint="eastAsia" w:cs="宋体"/>
          <w:kern w:val="0"/>
        </w:rPr>
        <w:t>启动综合应急预案后，若事故不能有效控制，或者有扩大、发展趋势，或者影响到周边单位，预警级别超过二级时，则扩大应急响应程序，由应急总指挥请求上级主管部门或地方政府启动区域或地方应急响应并给予支援。上级应急救援队伍未到达前，总指挥负责指挥应急救援行动，上级应急救援队伍到达后，总指挥负责向上级应急救援队伍负责人交代现场情况，服从上级应急救援队伍的指挥。</w:t>
      </w:r>
    </w:p>
    <w:p>
      <w:pPr>
        <w:pStyle w:val="5"/>
        <w:rPr>
          <w:rFonts w:cs="宋体"/>
          <w:szCs w:val="28"/>
        </w:rPr>
      </w:pPr>
      <w:bookmarkStart w:id="365" w:name="_Toc15845"/>
      <w:bookmarkStart w:id="366" w:name="_Toc28206"/>
      <w:bookmarkStart w:id="367" w:name="_Toc14001"/>
      <w:bookmarkStart w:id="368" w:name="_Toc16284"/>
      <w:bookmarkStart w:id="369" w:name="_Toc52"/>
      <w:bookmarkStart w:id="370" w:name="_Toc11394"/>
      <w:bookmarkStart w:id="371" w:name="_Toc28315"/>
      <w:bookmarkStart w:id="372" w:name="_Toc13455"/>
      <w:bookmarkStart w:id="373" w:name="_Toc21975"/>
      <w:bookmarkStart w:id="374" w:name="_Toc13544"/>
      <w:bookmarkStart w:id="375" w:name="_Toc18665"/>
      <w:bookmarkStart w:id="376" w:name="_Toc2453"/>
      <w:bookmarkStart w:id="377" w:name="_Toc3337"/>
      <w:bookmarkStart w:id="378" w:name="_Toc7910"/>
      <w:r>
        <w:rPr>
          <w:rFonts w:hint="eastAsia" w:cs="宋体"/>
          <w:szCs w:val="28"/>
        </w:rPr>
        <w:t>5.4应急处理</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pPr>
        <w:pStyle w:val="64"/>
        <w:outlineLvl w:val="1"/>
        <w:rPr>
          <w:color w:val="auto"/>
        </w:rPr>
      </w:pPr>
      <w:bookmarkStart w:id="379" w:name="_Toc5091"/>
      <w:bookmarkStart w:id="380" w:name="_Toc3844"/>
      <w:bookmarkStart w:id="381" w:name="_Toc7289"/>
      <w:bookmarkStart w:id="382" w:name="_Toc15892"/>
      <w:r>
        <w:rPr>
          <w:rFonts w:hint="eastAsia"/>
          <w:color w:val="auto"/>
        </w:rPr>
        <w:t>5</w:t>
      </w:r>
      <w:r>
        <w:rPr>
          <w:color w:val="auto"/>
        </w:rPr>
        <w:t>.4.1</w:t>
      </w:r>
      <w:r>
        <w:rPr>
          <w:rFonts w:hint="eastAsia" w:cs="宋体"/>
          <w:color w:val="auto"/>
        </w:rPr>
        <w:t>应急指挥与协调</w:t>
      </w:r>
      <w:bookmarkEnd w:id="379"/>
      <w:bookmarkEnd w:id="380"/>
      <w:bookmarkEnd w:id="381"/>
      <w:bookmarkEnd w:id="382"/>
    </w:p>
    <w:p>
      <w:pPr>
        <w:ind w:firstLine="480"/>
        <w:rPr>
          <w:kern w:val="0"/>
        </w:rPr>
      </w:pPr>
      <w:r>
        <w:rPr>
          <w:kern w:val="0"/>
        </w:rPr>
        <w:t>1</w:t>
      </w:r>
      <w:r>
        <w:rPr>
          <w:rFonts w:hint="eastAsia" w:cs="宋体"/>
          <w:kern w:val="0"/>
        </w:rPr>
        <w:t>、发生突发环境事故时，指挥部接警后总指挥或副总指挥应立即发出预警信号，启动响应应急响应，并实施本预案，做好现场指挥、领导工作。</w:t>
      </w:r>
    </w:p>
    <w:p>
      <w:pPr>
        <w:ind w:firstLine="480"/>
        <w:rPr>
          <w:kern w:val="0"/>
        </w:rPr>
      </w:pPr>
      <w:r>
        <w:rPr>
          <w:kern w:val="0"/>
        </w:rPr>
        <w:t>2</w:t>
      </w:r>
      <w:r>
        <w:rPr>
          <w:rFonts w:hint="eastAsia" w:cs="宋体"/>
          <w:kern w:val="0"/>
        </w:rPr>
        <w:t>、现场应急救援指挥部应根据事故类型、严重程度等调集响应的应急小组成员，立即进入应急抢险战斗状态。</w:t>
      </w:r>
    </w:p>
    <w:p>
      <w:pPr>
        <w:ind w:firstLine="480"/>
        <w:rPr>
          <w:kern w:val="0"/>
        </w:rPr>
      </w:pPr>
      <w:r>
        <w:rPr>
          <w:kern w:val="0"/>
        </w:rPr>
        <w:t>3</w:t>
      </w:r>
      <w:r>
        <w:rPr>
          <w:rFonts w:hint="eastAsia" w:cs="宋体"/>
          <w:kern w:val="0"/>
        </w:rPr>
        <w:t>、现场人员在消防抢险组组长的领导下及时采取有效措施，阻止事态扩大。</w:t>
      </w:r>
    </w:p>
    <w:p>
      <w:pPr>
        <w:pStyle w:val="64"/>
        <w:outlineLvl w:val="1"/>
        <w:rPr>
          <w:color w:val="auto"/>
        </w:rPr>
      </w:pPr>
      <w:bookmarkStart w:id="383" w:name="_Toc24062"/>
      <w:bookmarkStart w:id="384" w:name="_Toc11117"/>
      <w:bookmarkStart w:id="385" w:name="_Toc527"/>
      <w:bookmarkStart w:id="386" w:name="_Toc17521"/>
      <w:r>
        <w:rPr>
          <w:rFonts w:hint="eastAsia"/>
          <w:color w:val="auto"/>
        </w:rPr>
        <w:t>5</w:t>
      </w:r>
      <w:r>
        <w:rPr>
          <w:color w:val="auto"/>
        </w:rPr>
        <w:t>.4.2</w:t>
      </w:r>
      <w:r>
        <w:rPr>
          <w:rFonts w:hint="eastAsia" w:cs="宋体"/>
          <w:color w:val="auto"/>
        </w:rPr>
        <w:t>应急处理措施</w:t>
      </w:r>
      <w:bookmarkEnd w:id="383"/>
      <w:bookmarkEnd w:id="384"/>
      <w:bookmarkEnd w:id="385"/>
      <w:bookmarkEnd w:id="386"/>
    </w:p>
    <w:p>
      <w:pPr>
        <w:ind w:firstLine="482"/>
        <w:rPr>
          <w:b/>
          <w:bCs/>
        </w:rPr>
      </w:pPr>
      <w:bookmarkStart w:id="387" w:name="_Toc497850997"/>
      <w:r>
        <w:rPr>
          <w:rFonts w:hint="eastAsia"/>
          <w:b/>
          <w:bCs/>
        </w:rPr>
        <w:t>一、污水管网泄漏应急处置措施</w:t>
      </w:r>
      <w:bookmarkEnd w:id="387"/>
    </w:p>
    <w:p>
      <w:pPr>
        <w:snapToGrid w:val="0"/>
        <w:ind w:firstLine="436" w:firstLineChars="182"/>
      </w:pPr>
      <w:r>
        <w:rPr>
          <w:rFonts w:hint="eastAsia" w:ascii="宋体" w:hAnsi="宋体" w:cs="宋体"/>
        </w:rPr>
        <w:t>①</w:t>
      </w:r>
      <w:r>
        <w:rPr>
          <w:rFonts w:hint="eastAsia"/>
        </w:rPr>
        <w:t>当管网泄露事故发生后，发现人在最短的时间内向应急事故处理领导小组报告，同时通知值班人员派维修人员来现场进行事故排查；</w:t>
      </w:r>
    </w:p>
    <w:p>
      <w:pPr>
        <w:snapToGrid w:val="0"/>
        <w:ind w:firstLine="436" w:firstLineChars="182"/>
      </w:pPr>
      <w:r>
        <w:rPr>
          <w:rFonts w:hint="eastAsia" w:ascii="宋体" w:hAnsi="宋体" w:cs="宋体"/>
        </w:rPr>
        <w:t>②</w:t>
      </w:r>
      <w:r>
        <w:rPr>
          <w:rFonts w:hint="eastAsia"/>
        </w:rPr>
        <w:t>有关人员到达现场之后，在保证人身安全的前提下，查找泄漏点，关闭相关的阀门，情况严重时可以关闭总阀门；</w:t>
      </w:r>
    </w:p>
    <w:p>
      <w:pPr>
        <w:snapToGrid w:val="0"/>
        <w:ind w:firstLine="436" w:firstLineChars="182"/>
      </w:pPr>
      <w:r>
        <w:rPr>
          <w:rFonts w:hint="eastAsia" w:ascii="宋体" w:hAnsi="宋体" w:cs="宋体"/>
        </w:rPr>
        <w:t>③</w:t>
      </w:r>
      <w:r>
        <w:rPr>
          <w:rFonts w:hint="eastAsia"/>
        </w:rPr>
        <w:t>关闭阀门之后切换相关管道将废水暂存，同时监视损坏部分的发展趋势；</w:t>
      </w:r>
    </w:p>
    <w:p>
      <w:pPr>
        <w:snapToGrid w:val="0"/>
        <w:ind w:firstLine="436" w:firstLineChars="182"/>
      </w:pPr>
      <w:r>
        <w:rPr>
          <w:rFonts w:hint="eastAsia" w:ascii="宋体" w:hAnsi="宋体" w:cs="宋体"/>
        </w:rPr>
        <w:t>④</w:t>
      </w:r>
      <w:r>
        <w:rPr>
          <w:rFonts w:hint="eastAsia"/>
        </w:rPr>
        <w:t>确定抢修方案上报应急事故处理领导小组，获批准后对泄漏点进行抢修。</w:t>
      </w:r>
    </w:p>
    <w:p>
      <w:pPr>
        <w:snapToGrid w:val="0"/>
        <w:ind w:firstLine="436" w:firstLineChars="182"/>
      </w:pPr>
      <w:r>
        <w:rPr>
          <w:rFonts w:hint="eastAsia" w:ascii="宋体" w:hAnsi="宋体"/>
        </w:rPr>
        <w:t>⑤</w:t>
      </w:r>
      <w:r>
        <w:rPr>
          <w:rFonts w:hint="eastAsia"/>
        </w:rPr>
        <w:t>现场处置人员应穿好防护服，防止与污水长时间接触。</w:t>
      </w:r>
    </w:p>
    <w:p>
      <w:pPr>
        <w:ind w:firstLine="482"/>
        <w:rPr>
          <w:b/>
          <w:bCs/>
        </w:rPr>
      </w:pPr>
      <w:bookmarkStart w:id="388" w:name="_Toc497850998"/>
      <w:r>
        <w:rPr>
          <w:rFonts w:hint="eastAsia"/>
          <w:b/>
          <w:bCs/>
        </w:rPr>
        <w:t>二、停电应急处置措施</w:t>
      </w:r>
      <w:bookmarkEnd w:id="388"/>
    </w:p>
    <w:p>
      <w:pPr>
        <w:snapToGrid w:val="0"/>
        <w:ind w:firstLine="436" w:firstLineChars="182"/>
        <w:rPr>
          <w:rFonts w:hint="eastAsia" w:eastAsia="宋体" w:cs="Times New Roman"/>
        </w:rPr>
      </w:pPr>
      <w:bookmarkStart w:id="389" w:name="_Toc395191493"/>
      <w:bookmarkStart w:id="390" w:name="_Toc395371449"/>
      <w:r>
        <w:rPr>
          <w:rFonts w:hint="eastAsia" w:eastAsia="宋体" w:cs="Times New Roman"/>
        </w:rPr>
        <w:t>（1）计划停电事故应急措施</w:t>
      </w:r>
    </w:p>
    <w:p>
      <w:pPr>
        <w:snapToGrid w:val="0"/>
        <w:ind w:firstLine="436" w:firstLineChars="182"/>
        <w:rPr>
          <w:rFonts w:hint="eastAsia" w:eastAsia="宋体" w:cs="Times New Roman"/>
        </w:rPr>
      </w:pPr>
      <w:r>
        <w:rPr>
          <w:rFonts w:hint="eastAsia" w:eastAsia="宋体" w:cs="Times New Roman"/>
        </w:rPr>
        <w:t>得知停电计划后，班组值班人立即向污水厂负责人报告，污水厂负责人及时进行电力协调及现场考察，确定停电时间，计算本污水处理厂以及管网能否接纳停电期间进水，如不能，及时上报有关部门，通知当地环保部门，做好相应的应急衔接，做好预防，将危害降至最低。</w:t>
      </w:r>
    </w:p>
    <w:p>
      <w:pPr>
        <w:ind w:firstLine="480"/>
      </w:pPr>
      <w:r>
        <w:rPr>
          <w:rFonts w:hint="eastAsia"/>
        </w:rPr>
        <w:t>具体的应急过程为：</w:t>
      </w:r>
    </w:p>
    <w:p>
      <w:pPr>
        <w:ind w:firstLine="480"/>
      </w:pPr>
      <w:r>
        <w:rPr>
          <w:rFonts w:hint="eastAsia" w:ascii="宋体" w:hAnsi="宋体" w:cs="宋体"/>
        </w:rPr>
        <w:t>①</w:t>
      </w:r>
      <w:r>
        <w:rPr>
          <w:rFonts w:hint="eastAsia"/>
        </w:rPr>
        <w:t>应急小组保持停电信息与各污水泵站进行沟通，停电前，将待处理废水暂存，同时开启排水设备将管道内污水降至最低水平，以充分利用管网容积储水，并将排放口关闭，防止未处理的废水排放至白塔河，扩大危害；</w:t>
      </w:r>
    </w:p>
    <w:p>
      <w:pPr>
        <w:ind w:firstLine="480"/>
      </w:pPr>
      <w:r>
        <w:rPr>
          <w:rFonts w:hint="eastAsia" w:ascii="宋体" w:hAnsi="宋体" w:cs="宋体"/>
        </w:rPr>
        <w:t>②</w:t>
      </w:r>
      <w:r>
        <w:rPr>
          <w:rFonts w:hint="eastAsia"/>
        </w:rPr>
        <w:t>安排工作人员进行巡检，实时关注本污水处理厂处理设备以及管道是否有泄漏情况，及时报告给应急指挥组，根据实际情况，做好相应处理；</w:t>
      </w:r>
    </w:p>
    <w:p>
      <w:pPr>
        <w:ind w:firstLine="480"/>
      </w:pPr>
      <w:r>
        <w:rPr>
          <w:rFonts w:hint="eastAsia" w:ascii="宋体" w:hAnsi="宋体" w:cs="宋体"/>
        </w:rPr>
        <w:t>③</w:t>
      </w:r>
      <w:r>
        <w:rPr>
          <w:rFonts w:hint="eastAsia"/>
        </w:rPr>
        <w:t>送电后，立即开启水泵，通知泵站进水，恢复生产。同时，根据停电时间的长短及管网情况确定能够容纳停电期间入厂得污水，如不能，及时通知当地环保部门，做好相关应急准备，降低影响。</w:t>
      </w:r>
    </w:p>
    <w:p>
      <w:pPr>
        <w:pStyle w:val="43"/>
        <w:widowControl w:val="0"/>
        <w:spacing w:before="0" w:beforeAutospacing="0" w:after="0" w:afterAutospacing="0"/>
        <w:ind w:firstLine="480"/>
        <w:rPr>
          <w:rFonts w:ascii="Times New Roman" w:hAnsi="Times New Roman"/>
        </w:rPr>
      </w:pPr>
      <w:r>
        <w:rPr>
          <w:rFonts w:hint="eastAsia" w:ascii="Times New Roman" w:hAnsi="Times New Roman"/>
        </w:rPr>
        <w:t>（</w:t>
      </w:r>
      <w:r>
        <w:rPr>
          <w:rFonts w:ascii="Times New Roman" w:hAnsi="Times New Roman"/>
        </w:rPr>
        <w:t>2</w:t>
      </w:r>
      <w:r>
        <w:rPr>
          <w:rFonts w:hint="eastAsia" w:ascii="Times New Roman" w:hAnsi="Times New Roman"/>
        </w:rPr>
        <w:t>）</w:t>
      </w:r>
      <w:r>
        <w:rPr>
          <w:rFonts w:hint="eastAsia" w:ascii="Calibri" w:hAnsi="Calibri" w:eastAsia="宋体" w:cs="Times New Roman"/>
          <w:kern w:val="2"/>
          <w:sz w:val="24"/>
          <w:szCs w:val="21"/>
          <w:lang w:val="en-US" w:eastAsia="zh-CN" w:bidi="ar-SA"/>
        </w:rPr>
        <w:t>临时停电应采取以下措施</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当现场人员发现电力故障造成停电，发现人员应：</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①立即上报：现场发现人员立即向当班负责人报告，当班负责人根据停电维修严重程度和波及范围在5分钟内向公司应急领导小组报告，由应急指挥长决定启动Ⅲ级响应和Ⅱ级应急预案（由应急指挥组指挥长指挥协调整体应急抢险工作），根据事态发展情况，决定是否上报当地有关部门。</w:t>
      </w:r>
    </w:p>
    <w:p>
      <w:pPr>
        <w:ind w:firstLine="480"/>
      </w:pPr>
      <w:r>
        <w:rPr>
          <w:rFonts w:hint="eastAsia" w:ascii="宋体" w:hAnsi="宋体" w:cs="宋体"/>
        </w:rPr>
        <w:t>②</w:t>
      </w:r>
      <w:r>
        <w:rPr>
          <w:rFonts w:hint="eastAsia"/>
        </w:rPr>
        <w:t>现场处置：厂内故障停电立即组织力量维修；厂外事故停电时，关闭外排阀门，将废水临时存放，待事故排除后再将废水重新提升至污水处理厂。</w:t>
      </w:r>
    </w:p>
    <w:p>
      <w:pPr>
        <w:pStyle w:val="43"/>
        <w:widowControl w:val="0"/>
        <w:spacing w:before="0" w:beforeAutospacing="0" w:after="0" w:afterAutospacing="0"/>
        <w:ind w:firstLine="480"/>
        <w:rPr>
          <w:rFonts w:ascii="Times New Roman" w:hAnsi="Times New Roman"/>
        </w:rPr>
      </w:pPr>
      <w:r>
        <w:rPr>
          <w:rFonts w:hint="eastAsia"/>
        </w:rPr>
        <w:t>③</w:t>
      </w:r>
      <w:r>
        <w:rPr>
          <w:rFonts w:hint="eastAsia" w:ascii="Calibri" w:hAnsi="Calibri" w:eastAsia="宋体" w:cs="Times New Roman"/>
          <w:kern w:val="2"/>
          <w:sz w:val="24"/>
          <w:szCs w:val="21"/>
          <w:lang w:val="en-US" w:eastAsia="zh-CN" w:bidi="ar-SA"/>
        </w:rPr>
        <w:t>环境监测组工作人员实时监测污水厂出水水质情况，并详细记录好监测数据，以备应急领导小组参考；</w:t>
      </w:r>
    </w:p>
    <w:p>
      <w:pPr>
        <w:ind w:firstLine="480"/>
      </w:pPr>
      <w:r>
        <w:rPr>
          <w:rFonts w:hint="eastAsia" w:ascii="宋体" w:hAnsi="宋体" w:cs="宋体"/>
        </w:rPr>
        <w:t>④</w:t>
      </w:r>
      <w:r>
        <w:rPr>
          <w:rFonts w:hint="eastAsia"/>
        </w:rPr>
        <w:t>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p>
    <w:bookmarkEnd w:id="389"/>
    <w:bookmarkEnd w:id="390"/>
    <w:p>
      <w:pPr>
        <w:ind w:firstLine="482"/>
        <w:rPr>
          <w:b/>
          <w:bCs/>
        </w:rPr>
      </w:pPr>
      <w:bookmarkStart w:id="391" w:name="_Toc497850999"/>
      <w:r>
        <w:rPr>
          <w:rFonts w:hint="eastAsia"/>
          <w:b/>
          <w:bCs/>
        </w:rPr>
        <w:t>三、设备故障应急处置措施</w:t>
      </w:r>
      <w:bookmarkEnd w:id="391"/>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当现场人员发现设备故障而无备用设备或备用设备无法启用等情况时，要及时与应急领导小组联系：</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根据设备故障严重程度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二级响应和一级应急预案。</w:t>
      </w:r>
    </w:p>
    <w:p>
      <w:pPr>
        <w:ind w:firstLine="480"/>
      </w:pPr>
      <w:r>
        <w:rPr>
          <w:rFonts w:hint="eastAsia"/>
        </w:rPr>
        <w:t>（</w:t>
      </w:r>
      <w:r>
        <w:t>2</w:t>
      </w:r>
      <w:r>
        <w:rPr>
          <w:rFonts w:hint="eastAsia"/>
        </w:rPr>
        <w:t>）现场处置：积极组织力量维修，第一时间将废水通过提升泵超越排放。在调节池与外排渠道间设置闸板，故障时及时关闭闸板，待事故排除后，再将污水重新提升至污水处理厂。</w:t>
      </w:r>
    </w:p>
    <w:p>
      <w:pPr>
        <w:ind w:firstLine="480"/>
      </w:pPr>
      <w:r>
        <w:rPr>
          <w:rFonts w:hint="eastAsia"/>
        </w:rPr>
        <w:t>（</w:t>
      </w:r>
      <w:r>
        <w:t>3</w:t>
      </w:r>
      <w:r>
        <w:rPr>
          <w:rFonts w:hint="eastAsia"/>
        </w:rPr>
        <w:t>）环境监测人员迅速赶到事故现场监测污水厂出水水质情况，并监测下游河流控制断面水质，并详细记录好监测数据，以备应急领导小组参考。</w:t>
      </w:r>
    </w:p>
    <w:p>
      <w:pPr>
        <w:ind w:firstLine="480"/>
      </w:pPr>
      <w:r>
        <w:rPr>
          <w:rFonts w:hint="eastAsia"/>
        </w:rPr>
        <w:t>（</w:t>
      </w:r>
      <w:r>
        <w:t>4</w:t>
      </w:r>
      <w:r>
        <w:rPr>
          <w:rFonts w:hint="eastAsia"/>
        </w:rPr>
        <w:t>）事故排除后，环境监测人员持续监测出水环境状况，机械设备抢修人员负责对设备进行全面的维修保养，确保环境与设备全部安全后方可恢复生产；善后处理队负责进行事故原因调查和全面的设备安全检查，询问事故发现人有关情况，包括电力设备运行情况、故障部位等。</w:t>
      </w:r>
    </w:p>
    <w:p>
      <w:pPr>
        <w:ind w:firstLine="482"/>
        <w:rPr>
          <w:b/>
          <w:bCs/>
        </w:rPr>
      </w:pPr>
      <w:bookmarkStart w:id="392" w:name="_Toc497851001"/>
      <w:r>
        <w:rPr>
          <w:rFonts w:hint="eastAsia"/>
          <w:b/>
          <w:bCs/>
        </w:rPr>
        <w:t>四、</w:t>
      </w:r>
      <w:bookmarkEnd w:id="392"/>
      <w:r>
        <w:rPr>
          <w:rFonts w:hint="eastAsia"/>
          <w:b/>
          <w:bCs/>
        </w:rPr>
        <w:t>污水超标排放</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当现场人员发现在线数据超标时，要及时与应急领导小组联系：</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九江市湖口县生态环境局、安监局；接到报告后九江市湖口县府政府根据事态的进一步发展，决定是否启动一级应急预案。</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（2）现场处置：积极组织力量维修，第一时间将废水排口关闭，重新监测水质，排查原因，不合格的水导入粗格栅中，再将污水重新提升至污水处理系统。</w:t>
      </w:r>
    </w:p>
    <w:p>
      <w:pPr>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（3）环境监测人员迅速赶到事故现场监测污水厂出水水质情况，并监测下游河流控制断面水质，并详细记录好监测数据，以备应急领导小组参考。</w:t>
      </w:r>
    </w:p>
    <w:p>
      <w:pPr>
        <w:pStyle w:val="2"/>
        <w:spacing w:line="360" w:lineRule="auto"/>
        <w:ind w:firstLine="480" w:firstLineChars="20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4）事故排除后，环境监测人员持续监测出水环境状况，系统调试技术人员负责对污水系统全面调整，确保污水能够达标排放；善后处理队负责进行事故原因调查和全面的设备安全检查，询问事故发现人有关情况，包括电力设备运行情况等。</w:t>
      </w:r>
    </w:p>
    <w:p>
      <w:pPr>
        <w:ind w:firstLine="482"/>
        <w:rPr>
          <w:b/>
          <w:bCs/>
        </w:rPr>
      </w:pPr>
      <w:r>
        <w:rPr>
          <w:rFonts w:hint="eastAsia"/>
          <w:b/>
          <w:bCs/>
        </w:rPr>
        <w:t>五、进水超标</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一级应急预案。</w:t>
      </w:r>
    </w:p>
    <w:p>
      <w:pPr>
        <w:pStyle w:val="43"/>
        <w:widowControl w:val="0"/>
        <w:spacing w:before="0" w:beforeAutospacing="0" w:after="0" w:afterAutospacing="0"/>
        <w:ind w:firstLine="480"/>
        <w:rPr>
          <w:rFonts w:ascii="Times New Roman" w:hAnsi="Times New Roman"/>
        </w:rPr>
      </w:pPr>
      <w:r>
        <w:rPr>
          <w:rFonts w:hint="eastAsia" w:ascii="Calibri" w:hAnsi="Calibri" w:eastAsia="宋体" w:cs="Times New Roman"/>
          <w:kern w:val="2"/>
          <w:sz w:val="24"/>
          <w:szCs w:val="21"/>
          <w:lang w:val="en-US" w:eastAsia="zh-CN" w:bidi="ar-SA"/>
        </w:rPr>
        <w:t>（2）现场处置：立即通知通讯小组通知来水区域关闭排放口阀门。</w:t>
      </w:r>
    </w:p>
    <w:p>
      <w:pPr>
        <w:ind w:firstLine="480"/>
      </w:pPr>
      <w:r>
        <w:rPr>
          <w:rFonts w:hint="eastAsia"/>
        </w:rPr>
        <w:t>（</w:t>
      </w:r>
      <w:r>
        <w:t>3</w:t>
      </w:r>
      <w:r>
        <w:rPr>
          <w:rFonts w:hint="eastAsia"/>
        </w:rPr>
        <w:t>）环境监测人员对来水企业出水进行监测，根据监测结果达标区域正常排放，超标区域整改达标后再排放；</w:t>
      </w:r>
    </w:p>
    <w:p>
      <w:pPr>
        <w:ind w:firstLine="482"/>
        <w:rPr>
          <w:b/>
          <w:bCs/>
        </w:rPr>
      </w:pPr>
      <w:r>
        <w:rPr>
          <w:rFonts w:hint="eastAsia"/>
          <w:b/>
          <w:bCs/>
        </w:rPr>
        <w:t>六、污泥膨胀</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1）立即上报：现场发现人员立即向事故所在当班负责人报告，当班负责人在5分钟内向污水处理厂应急领导小组报告，由应急指挥长决定是否启动二级响应和一级应急预案（由环境事故应急工作领导小组指挥长指挥协调整体应急抢险工作），根据事态发展情况，决定是否上报九江市湖口县生态环境局、安监局；接到报告后九江市湖口县政府根据事态的进一步发展，决定是否启动一级响应应急预案。</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（2）现场处置：根据现场的情况立即减小进水或关闭进水。</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（3）环境监测人员对系统的进水、温度、PH、污泥负荷和营养等进行监测，根据监测结果出解决方案。</w:t>
      </w:r>
    </w:p>
    <w:p>
      <w:pPr>
        <w:pStyle w:val="43"/>
        <w:widowControl w:val="0"/>
        <w:spacing w:before="0" w:beforeAutospacing="0" w:after="0" w:afterAutospacing="0"/>
        <w:ind w:firstLine="480"/>
        <w:rPr>
          <w:rFonts w:hint="eastAsia" w:ascii="Calibri" w:hAnsi="Calibri" w:eastAsia="宋体" w:cs="Times New Roman"/>
          <w:kern w:val="2"/>
          <w:sz w:val="24"/>
          <w:szCs w:val="21"/>
          <w:lang w:val="en-US" w:eastAsia="zh-CN" w:bidi="ar-SA"/>
        </w:rPr>
      </w:pPr>
      <w:r>
        <w:rPr>
          <w:rFonts w:hint="eastAsia" w:ascii="Calibri" w:hAnsi="Calibri" w:eastAsia="宋体" w:cs="Times New Roman"/>
          <w:kern w:val="2"/>
          <w:sz w:val="24"/>
          <w:szCs w:val="21"/>
          <w:lang w:val="en-US" w:eastAsia="zh-CN" w:bidi="ar-SA"/>
        </w:rPr>
        <w:t>（4）系统污泥膨胀解决后，立即恢复正常运行。</w:t>
      </w:r>
    </w:p>
    <w:p>
      <w:pPr>
        <w:ind w:firstLine="482"/>
        <w:rPr>
          <w:b/>
          <w:bCs/>
        </w:rPr>
      </w:pPr>
      <w:r>
        <w:rPr>
          <w:rFonts w:hint="eastAsia"/>
          <w:b/>
          <w:bCs/>
        </w:rPr>
        <w:t>七、企业化学品泄漏</w:t>
      </w:r>
    </w:p>
    <w:p>
      <w:pPr>
        <w:adjustRightInd w:val="0"/>
        <w:snapToGrid w:val="0"/>
        <w:ind w:firstLine="480"/>
        <w:rPr>
          <w:rFonts w:ascii="Times New Roman" w:hAnsi="Times New Roman"/>
          <w:kern w:val="21"/>
        </w:rPr>
      </w:pPr>
      <w:r>
        <w:rPr>
          <w:rFonts w:ascii="Times New Roman" w:hAnsi="Times New Roman"/>
          <w:kern w:val="21"/>
        </w:rPr>
        <w:t>（1）</w:t>
      </w:r>
      <w:r>
        <w:rPr>
          <w:rFonts w:hint="eastAsia" w:ascii="Times New Roman" w:hAnsi="Times New Roman"/>
          <w:kern w:val="21"/>
        </w:rPr>
        <w:t>污泥泄漏的</w:t>
      </w:r>
      <w:r>
        <w:rPr>
          <w:rFonts w:ascii="Times New Roman" w:hAnsi="Times New Roman"/>
          <w:kern w:val="21"/>
        </w:rPr>
        <w:t>应急处置</w:t>
      </w:r>
    </w:p>
    <w:p>
      <w:pPr>
        <w:adjustRightInd w:val="0"/>
        <w:snapToGrid w:val="0"/>
        <w:ind w:firstLine="480"/>
        <w:rPr>
          <w:rFonts w:ascii="Times New Roman" w:hAnsi="Times New Roman"/>
          <w:kern w:val="21"/>
        </w:rPr>
      </w:pPr>
      <w:r>
        <w:rPr>
          <w:rFonts w:ascii="Times New Roman" w:hAnsi="Times New Roman"/>
          <w:kern w:val="21"/>
        </w:rPr>
        <w:t>应急处理：迅速撤离泄漏污染区人员至安全区，并进行隔离，严格限制出入。建议应急处理人员戴</w:t>
      </w:r>
      <w:r>
        <w:rPr>
          <w:rFonts w:hint="eastAsia" w:ascii="Times New Roman" w:hAnsi="Times New Roman"/>
          <w:kern w:val="21"/>
        </w:rPr>
        <w:t>好口罩</w:t>
      </w:r>
      <w:r>
        <w:rPr>
          <w:rFonts w:ascii="Times New Roman" w:hAnsi="Times New Roman"/>
          <w:kern w:val="21"/>
        </w:rPr>
        <w:t>。不要直接接触泄漏物。小量泄漏：用洁净的铲子收集于干燥、洁净、有盖的容器中。也可以用大量水冲洗，洗水稀释后放入废水系统。大量泄漏：用塑料布、帆布覆盖。然后收集回收或运至废物处理场所处置。</w:t>
      </w:r>
    </w:p>
    <w:p>
      <w:pPr>
        <w:adjustRightInd w:val="0"/>
        <w:snapToGrid w:val="0"/>
        <w:ind w:firstLine="480"/>
        <w:rPr>
          <w:rFonts w:ascii="Times New Roman" w:hAnsi="Times New Roman"/>
          <w:kern w:val="21"/>
        </w:rPr>
      </w:pPr>
      <w:r>
        <w:rPr>
          <w:rFonts w:hint="eastAsia" w:ascii="Times New Roman" w:hAnsi="Times New Roman"/>
          <w:kern w:val="21"/>
        </w:rPr>
        <w:t>（2）</w:t>
      </w:r>
      <w:r>
        <w:rPr>
          <w:rFonts w:ascii="Times New Roman" w:hAnsi="Times New Roman"/>
          <w:kern w:val="21"/>
        </w:rPr>
        <w:t>聚合氯化铝（PAC）泄漏的应急处置</w:t>
      </w:r>
    </w:p>
    <w:p>
      <w:pPr>
        <w:adjustRightInd w:val="0"/>
        <w:snapToGrid w:val="0"/>
        <w:ind w:firstLine="480"/>
        <w:rPr>
          <w:rFonts w:ascii="Times New Roman" w:hAnsi="Times New Roman"/>
          <w:kern w:val="21"/>
        </w:rPr>
      </w:pPr>
      <w:r>
        <w:rPr>
          <w:rFonts w:ascii="Times New Roman" w:hAnsi="Times New Roman"/>
          <w:kern w:val="21"/>
        </w:rPr>
        <w:t>应急处理：迅速撤离泄漏污染区人员至安全区，并进行隔离，严格限制出入。建议应急处理人员戴防尘面具（全面罩），穿防毒服。不要直接接触泄漏物。小量泄漏：用洁净的铲子收集于干燥、洁净、有盖的容器中。也可以用大量水冲洗，洗水稀释后放入废水系统。大量泄漏：用塑料布、帆布覆盖。然后收集回收或运至废物处理场所处置。</w:t>
      </w:r>
    </w:p>
    <w:p>
      <w:pPr>
        <w:adjustRightInd w:val="0"/>
        <w:snapToGrid w:val="0"/>
        <w:ind w:firstLine="480"/>
        <w:rPr>
          <w:rFonts w:ascii="Times New Roman" w:hAnsi="Times New Roman"/>
          <w:kern w:val="21"/>
        </w:rPr>
      </w:pPr>
      <w:r>
        <w:rPr>
          <w:rFonts w:ascii="Times New Roman" w:hAnsi="Times New Roman"/>
          <w:kern w:val="21"/>
        </w:rPr>
        <w:t>（</w:t>
      </w:r>
      <w:r>
        <w:rPr>
          <w:rFonts w:hint="eastAsia" w:ascii="Times New Roman" w:hAnsi="Times New Roman"/>
          <w:kern w:val="21"/>
        </w:rPr>
        <w:t>3</w:t>
      </w:r>
      <w:r>
        <w:rPr>
          <w:rFonts w:ascii="Times New Roman" w:hAnsi="Times New Roman"/>
          <w:kern w:val="21"/>
        </w:rPr>
        <w:t>）聚丙烯酰胺（PAM）泄漏的应急处置</w:t>
      </w:r>
    </w:p>
    <w:p>
      <w:pPr>
        <w:adjustRightInd w:val="0"/>
        <w:snapToGrid w:val="0"/>
        <w:ind w:firstLine="480"/>
        <w:rPr>
          <w:rFonts w:ascii="Times New Roman" w:hAnsi="Times New Roman"/>
          <w:kern w:val="21"/>
        </w:rPr>
      </w:pPr>
      <w:r>
        <w:rPr>
          <w:rFonts w:ascii="Times New Roman" w:hAnsi="Times New Roman"/>
          <w:kern w:val="21"/>
        </w:rPr>
        <w:t>应急处理：泄漏隔离泄漏污染区，限制出入。建议应急处理人员戴防尘面具（全面罩），穿防毒服。不要直接接触泄漏物。勿使泄漏物与还原剂、有机物、易燃物或金属粉末接触。小量泄漏：避免扬尘，用洁净的铲子收集于干燥、洁净、有盖的容器中，转移至安全场所。大量泄漏：用塑料布、帆布覆盖。然后收集回收或运至废物处理场所处置。</w:t>
      </w:r>
    </w:p>
    <w:p>
      <w:pPr>
        <w:pStyle w:val="47"/>
        <w:ind w:left="480" w:leftChars="200" w:firstLine="0" w:firstLineChars="0"/>
        <w:rPr>
          <w:rFonts w:ascii="Times New Roman" w:hAnsi="Times New Roman"/>
          <w:kern w:val="21"/>
        </w:rPr>
      </w:pPr>
      <w:r>
        <w:rPr>
          <w:rFonts w:hint="eastAsia" w:ascii="Times New Roman" w:hAnsi="Times New Roman"/>
          <w:kern w:val="21"/>
        </w:rPr>
        <w:t>（4）硫酸、次氯酸钠、双氧水罐区泄漏的应急处置</w:t>
      </w:r>
    </w:p>
    <w:p>
      <w:pPr>
        <w:ind w:firstLine="480"/>
      </w:pPr>
      <w:r>
        <w:rPr>
          <w:rFonts w:hint="eastAsia"/>
        </w:rPr>
        <w:t>应急处理：泄漏隔离泄漏污染区，限制出入。建议应急处理人员戴防尘面具（全面罩），穿防毒服。不要直接接触泄漏物。勿使泄漏物与还原剂、有机物、易燃物或金属粉末接触。小量泄漏：用沙土、石灰等敷料进行覆盖，在进行收集，转移至安全场所。大量泄漏：用大量敷料进行覆盖拦截，然后收集回收或运至废物处理场所处置。</w:t>
      </w:r>
    </w:p>
    <w:p>
      <w:pPr>
        <w:pStyle w:val="64"/>
        <w:outlineLvl w:val="1"/>
        <w:rPr>
          <w:color w:val="auto"/>
        </w:rPr>
      </w:pPr>
      <w:bookmarkStart w:id="393" w:name="_Toc12816"/>
      <w:bookmarkStart w:id="394" w:name="_Toc26086"/>
      <w:bookmarkStart w:id="395" w:name="_Toc2033"/>
      <w:bookmarkStart w:id="396" w:name="_Toc28839"/>
      <w:r>
        <w:rPr>
          <w:rFonts w:hint="eastAsia"/>
          <w:color w:val="auto"/>
        </w:rPr>
        <w:t>5</w:t>
      </w:r>
      <w:r>
        <w:rPr>
          <w:color w:val="auto"/>
        </w:rPr>
        <w:t>.4.3</w:t>
      </w:r>
      <w:r>
        <w:rPr>
          <w:rFonts w:hint="eastAsia"/>
          <w:color w:val="auto"/>
        </w:rPr>
        <w:t>应急疏散</w:t>
      </w:r>
      <w:bookmarkEnd w:id="393"/>
      <w:bookmarkEnd w:id="394"/>
      <w:bookmarkEnd w:id="395"/>
      <w:bookmarkEnd w:id="396"/>
    </w:p>
    <w:p>
      <w:pPr>
        <w:ind w:firstLine="0" w:firstLineChars="0"/>
        <w:rPr>
          <w:b/>
          <w:bCs/>
          <w:kern w:val="0"/>
        </w:rPr>
      </w:pPr>
      <w:r>
        <w:rPr>
          <w:rFonts w:hint="eastAsia"/>
          <w:b/>
          <w:bCs/>
          <w:kern w:val="0"/>
        </w:rPr>
        <w:t>5.</w:t>
      </w:r>
      <w:r>
        <w:rPr>
          <w:b/>
          <w:bCs/>
          <w:kern w:val="0"/>
        </w:rPr>
        <w:t>4.3.1</w:t>
      </w:r>
      <w:r>
        <w:rPr>
          <w:rFonts w:hint="eastAsia" w:cs="宋体"/>
          <w:b/>
          <w:bCs/>
          <w:kern w:val="0"/>
        </w:rPr>
        <w:t>厂内应急疏散</w:t>
      </w:r>
    </w:p>
    <w:p>
      <w:pPr>
        <w:ind w:firstLine="480"/>
        <w:rPr>
          <w:kern w:val="0"/>
        </w:rPr>
      </w:pPr>
      <w:r>
        <w:rPr>
          <w:rFonts w:hint="eastAsia" w:cs="宋体"/>
          <w:kern w:val="0"/>
        </w:rPr>
        <w:t>（</w:t>
      </w:r>
      <w:r>
        <w:rPr>
          <w:kern w:val="0"/>
        </w:rPr>
        <w:t>1</w:t>
      </w:r>
      <w:r>
        <w:rPr>
          <w:rFonts w:hint="eastAsia" w:cs="宋体"/>
          <w:kern w:val="0"/>
        </w:rPr>
        <w:t>）撤离前尽可能携带一些个人防护装备如安全帽、湿毛巾、湿手套、逃生用过滤式面罩、口罩（打湿）；撤离过程中用佩戴逃生用过滤式面罩或以湿物堵住口鼻防止中毒；</w:t>
      </w:r>
    </w:p>
    <w:p>
      <w:pPr>
        <w:ind w:firstLine="480"/>
        <w:rPr>
          <w:kern w:val="0"/>
        </w:rPr>
      </w:pPr>
      <w:r>
        <w:rPr>
          <w:rFonts w:hint="eastAsia" w:cs="宋体"/>
          <w:kern w:val="0"/>
        </w:rPr>
        <w:t>（</w:t>
      </w:r>
      <w:r>
        <w:rPr>
          <w:kern w:val="0"/>
        </w:rPr>
        <w:t>2</w:t>
      </w:r>
      <w:r>
        <w:rPr>
          <w:rFonts w:hint="eastAsia" w:cs="宋体"/>
          <w:kern w:val="0"/>
        </w:rPr>
        <w:t>）撤离前镇定</w:t>
      </w:r>
      <w:r>
        <w:rPr>
          <w:kern w:val="0"/>
        </w:rPr>
        <w:t>3</w:t>
      </w:r>
      <w:r>
        <w:rPr>
          <w:rFonts w:hint="eastAsia" w:cs="宋体"/>
          <w:kern w:val="0"/>
        </w:rPr>
        <w:t>秒钟，注意观察周围灾害扩散形势及大致风向，选择高点、逆风向作为逃生路线；</w:t>
      </w:r>
    </w:p>
    <w:p>
      <w:pPr>
        <w:ind w:firstLine="480"/>
        <w:rPr>
          <w:kern w:val="0"/>
        </w:rPr>
      </w:pPr>
      <w:r>
        <w:rPr>
          <w:rFonts w:hint="eastAsia" w:cs="宋体"/>
          <w:kern w:val="0"/>
        </w:rPr>
        <w:t>（</w:t>
      </w:r>
      <w:r>
        <w:rPr>
          <w:kern w:val="0"/>
        </w:rPr>
        <w:t>3</w:t>
      </w:r>
      <w:r>
        <w:rPr>
          <w:rFonts w:hint="eastAsia" w:cs="宋体"/>
          <w:kern w:val="0"/>
        </w:rPr>
        <w:t>）如果有爆炸发生，应目测选择结实的建构筑物躲避，防止飞散物和冲击波伤害，没有这类物体可以找地表凹陷或略低点，暂时躲避，或就地卧倒，护住头部，待爆炸停止立即撤离，不可长时间在低洼处躲避；</w:t>
      </w:r>
    </w:p>
    <w:p>
      <w:pPr>
        <w:ind w:firstLine="480"/>
        <w:rPr>
          <w:kern w:val="0"/>
        </w:rPr>
      </w:pPr>
      <w:r>
        <w:rPr>
          <w:rFonts w:hint="eastAsia" w:cs="宋体"/>
          <w:kern w:val="0"/>
        </w:rPr>
        <w:t>（</w:t>
      </w:r>
      <w:r>
        <w:rPr>
          <w:kern w:val="0"/>
        </w:rPr>
        <w:t>4</w:t>
      </w:r>
      <w:r>
        <w:rPr>
          <w:rFonts w:hint="eastAsia" w:cs="宋体"/>
          <w:kern w:val="0"/>
        </w:rPr>
        <w:t>）人员相对集中的生产班组应指定不少于</w:t>
      </w:r>
      <w:r>
        <w:rPr>
          <w:kern w:val="0"/>
        </w:rPr>
        <w:t>2</w:t>
      </w:r>
      <w:r>
        <w:rPr>
          <w:rFonts w:hint="eastAsia" w:cs="宋体"/>
          <w:kern w:val="0"/>
        </w:rPr>
        <w:t>人的撤离引导员，平时按预案熟悉撤离路线，自觉训练，撤离时担任引导任务；</w:t>
      </w:r>
    </w:p>
    <w:p>
      <w:pPr>
        <w:ind w:firstLine="480"/>
        <w:rPr>
          <w:kern w:val="0"/>
        </w:rPr>
      </w:pPr>
      <w:r>
        <w:rPr>
          <w:rFonts w:hint="eastAsia" w:cs="宋体"/>
          <w:kern w:val="0"/>
        </w:rPr>
        <w:t>（</w:t>
      </w:r>
      <w:r>
        <w:rPr>
          <w:kern w:val="0"/>
        </w:rPr>
        <w:t>5</w:t>
      </w:r>
      <w:r>
        <w:rPr>
          <w:rFonts w:hint="eastAsia" w:cs="宋体"/>
          <w:kern w:val="0"/>
        </w:rPr>
        <w:t>）岗位及人员分散的单位必须人人训练撤离技能，熟练掌握正确撤离路线；</w:t>
      </w:r>
    </w:p>
    <w:p>
      <w:pPr>
        <w:ind w:firstLine="480"/>
        <w:rPr>
          <w:kern w:val="0"/>
        </w:rPr>
      </w:pPr>
      <w:r>
        <w:rPr>
          <w:rFonts w:hint="eastAsia" w:cs="宋体"/>
          <w:kern w:val="0"/>
        </w:rPr>
        <w:t>（</w:t>
      </w:r>
      <w:r>
        <w:rPr>
          <w:kern w:val="0"/>
        </w:rPr>
        <w:t>6</w:t>
      </w:r>
      <w:r>
        <w:rPr>
          <w:rFonts w:hint="eastAsia" w:cs="宋体"/>
          <w:kern w:val="0"/>
        </w:rPr>
        <w:t>）负责应急疏导的应急小组在撤离过程中负责指挥引导人群的疏散与撤离。</w:t>
      </w:r>
    </w:p>
    <w:p>
      <w:pPr>
        <w:ind w:firstLine="480"/>
        <w:rPr>
          <w:kern w:val="0"/>
        </w:rPr>
      </w:pPr>
      <w:r>
        <w:rPr>
          <w:rFonts w:hint="eastAsia" w:cs="宋体"/>
          <w:kern w:val="0"/>
        </w:rPr>
        <w:t>根据厂内的地理环境及风向情况，公司紧急疏散路线详见附件</w:t>
      </w:r>
      <w:r>
        <w:rPr>
          <w:rFonts w:hint="eastAsia"/>
          <w:kern w:val="0"/>
        </w:rPr>
        <w:t>5</w:t>
      </w:r>
      <w:r>
        <w:rPr>
          <w:rFonts w:hint="eastAsia" w:cs="宋体"/>
          <w:kern w:val="0"/>
        </w:rPr>
        <w:t>。</w:t>
      </w:r>
    </w:p>
    <w:p>
      <w:pPr>
        <w:ind w:firstLine="0" w:firstLineChars="0"/>
        <w:rPr>
          <w:b/>
          <w:bCs/>
          <w:kern w:val="0"/>
        </w:rPr>
      </w:pPr>
      <w:r>
        <w:rPr>
          <w:rFonts w:hint="eastAsia"/>
          <w:b/>
          <w:bCs/>
          <w:kern w:val="0"/>
        </w:rPr>
        <w:t>5</w:t>
      </w:r>
      <w:r>
        <w:rPr>
          <w:b/>
          <w:bCs/>
          <w:kern w:val="0"/>
        </w:rPr>
        <w:t>.4.3.2</w:t>
      </w:r>
      <w:r>
        <w:rPr>
          <w:rFonts w:hint="eastAsia" w:cs="宋体"/>
          <w:b/>
          <w:bCs/>
          <w:kern w:val="0"/>
        </w:rPr>
        <w:t>厂外应急疏散</w:t>
      </w:r>
    </w:p>
    <w:p>
      <w:pPr>
        <w:ind w:firstLine="480"/>
      </w:pPr>
      <w:r>
        <w:rPr>
          <w:rFonts w:hint="eastAsia" w:cs="宋体"/>
          <w:kern w:val="0"/>
        </w:rPr>
        <w:t>当事件危及厂外时，企业应向可能受到影响范围内的敏感受体发布通报，明确事件的危害性，提出疏散的建议。并在政府相应应急人员未抵达前，派工作人员协助相关的人员组织应急疏散。并在政府力量抵达后，统一听从政府人员的安排，由政府应急人员指挥应急疏散工作。</w:t>
      </w:r>
    </w:p>
    <w:p>
      <w:pPr>
        <w:pStyle w:val="64"/>
        <w:outlineLvl w:val="1"/>
        <w:rPr>
          <w:color w:val="auto"/>
        </w:rPr>
      </w:pPr>
      <w:bookmarkStart w:id="397" w:name="_Toc9060"/>
      <w:bookmarkStart w:id="398" w:name="_Toc23260"/>
      <w:bookmarkStart w:id="399" w:name="_Toc9913"/>
      <w:bookmarkStart w:id="400" w:name="_Toc13913"/>
      <w:r>
        <w:rPr>
          <w:rFonts w:hint="eastAsia"/>
          <w:color w:val="auto"/>
        </w:rPr>
        <w:t>5</w:t>
      </w:r>
      <w:r>
        <w:rPr>
          <w:color w:val="auto"/>
        </w:rPr>
        <w:t>.4.4</w:t>
      </w:r>
      <w:r>
        <w:rPr>
          <w:rFonts w:hint="eastAsia" w:cs="宋体"/>
          <w:color w:val="auto"/>
        </w:rPr>
        <w:t>受伤人员救治</w:t>
      </w:r>
      <w:bookmarkEnd w:id="397"/>
      <w:bookmarkEnd w:id="398"/>
      <w:bookmarkEnd w:id="399"/>
      <w:bookmarkEnd w:id="400"/>
    </w:p>
    <w:p>
      <w:pPr>
        <w:ind w:firstLine="480"/>
        <w:rPr>
          <w:kern w:val="0"/>
        </w:rPr>
      </w:pPr>
      <w:r>
        <w:rPr>
          <w:rFonts w:hint="eastAsia" w:cs="宋体"/>
          <w:kern w:val="0"/>
        </w:rPr>
        <w:t>本措施由后勤保障组负责实施。一旦发生人员受伤时，后勤保障组的成员按分工立即以最快的速度进行抢救、救护，并立即求助</w:t>
      </w:r>
      <w:r>
        <w:rPr>
          <w:kern w:val="0"/>
        </w:rPr>
        <w:t>120</w:t>
      </w:r>
      <w:r>
        <w:rPr>
          <w:rFonts w:hint="eastAsia" w:cs="宋体"/>
          <w:kern w:val="0"/>
        </w:rPr>
        <w:t>急救中心或快速送往最近的医院。后勤保障组现场的救护处理措施、方法：</w:t>
      </w:r>
    </w:p>
    <w:p>
      <w:pPr>
        <w:ind w:firstLine="480"/>
        <w:rPr>
          <w:kern w:val="0"/>
        </w:rPr>
      </w:pPr>
      <w:r>
        <w:rPr>
          <w:rFonts w:hint="eastAsia" w:cs="宋体"/>
          <w:kern w:val="0"/>
        </w:rPr>
        <w:t>（</w:t>
      </w:r>
      <w:r>
        <w:rPr>
          <w:kern w:val="0"/>
        </w:rPr>
        <w:t>1</w:t>
      </w:r>
      <w:r>
        <w:rPr>
          <w:rFonts w:hint="eastAsia" w:cs="宋体"/>
          <w:kern w:val="0"/>
        </w:rPr>
        <w:t>）使受伤者尽快脱离事故现场转移至空气新鲜处，按照先重伤，后轻伤的原则，按不同受伤情况进行处理。</w:t>
      </w:r>
    </w:p>
    <w:p>
      <w:pPr>
        <w:ind w:firstLine="480"/>
        <w:rPr>
          <w:kern w:val="0"/>
        </w:rPr>
      </w:pPr>
      <w:r>
        <w:rPr>
          <w:rFonts w:hint="eastAsia" w:cs="宋体"/>
          <w:kern w:val="0"/>
        </w:rPr>
        <w:t>（</w:t>
      </w:r>
      <w:r>
        <w:rPr>
          <w:kern w:val="0"/>
        </w:rPr>
        <w:t>2</w:t>
      </w:r>
      <w:r>
        <w:rPr>
          <w:rFonts w:hint="eastAsia" w:cs="宋体"/>
          <w:kern w:val="0"/>
        </w:rPr>
        <w:t>）对中毒人员救护：应先松开衣领、紧身衣物、腰带及其它可能妨碍呼吸的一切物品，保持患者呼吸道畅通，必要时给氧。注意保暖</w:t>
      </w:r>
      <w:r>
        <w:rPr>
          <w:rFonts w:hint="eastAsia" w:cs="宋体"/>
          <w:i/>
          <w:iCs/>
          <w:kern w:val="0"/>
        </w:rPr>
        <w:t>、</w:t>
      </w:r>
      <w:r>
        <w:rPr>
          <w:rFonts w:hint="eastAsia" w:cs="宋体"/>
          <w:kern w:val="0"/>
        </w:rPr>
        <w:t>静卧，若有呕吐则应侧卧，以防止呕吐物吸入气管，同时，注意中毒者的病情变化。</w:t>
      </w:r>
    </w:p>
    <w:p>
      <w:pPr>
        <w:ind w:firstLine="480"/>
        <w:rPr>
          <w:kern w:val="0"/>
        </w:rPr>
      </w:pPr>
      <w:r>
        <w:rPr>
          <w:rFonts w:hint="eastAsia" w:cs="宋体"/>
          <w:kern w:val="0"/>
        </w:rPr>
        <w:t>（</w:t>
      </w:r>
      <w:r>
        <w:rPr>
          <w:kern w:val="0"/>
        </w:rPr>
        <w:t>3</w:t>
      </w:r>
      <w:r>
        <w:rPr>
          <w:rFonts w:hint="eastAsia" w:cs="宋体"/>
          <w:kern w:val="0"/>
        </w:rPr>
        <w:t>）燃烧熔滴灼伤和烧伤：用清洁的冷水冲洗</w:t>
      </w:r>
      <w:r>
        <w:rPr>
          <w:kern w:val="0"/>
        </w:rPr>
        <w:t>30</w:t>
      </w:r>
      <w:r>
        <w:rPr>
          <w:rFonts w:hint="eastAsia" w:cs="宋体"/>
          <w:kern w:val="0"/>
        </w:rPr>
        <w:t>分钟以上，然后简单包扎。对明显红肿的轻度烫伤要立即用冷水冲洗几分钟，用干净的纱布包好即可。如果局部皮肤起水泡，要立即冷却</w:t>
      </w:r>
      <w:r>
        <w:rPr>
          <w:kern w:val="0"/>
        </w:rPr>
        <w:t>30</w:t>
      </w:r>
      <w:r>
        <w:rPr>
          <w:rFonts w:hint="eastAsia" w:cs="宋体"/>
          <w:kern w:val="0"/>
        </w:rPr>
        <w:t>分钟以上。</w:t>
      </w:r>
    </w:p>
    <w:p>
      <w:pPr>
        <w:ind w:firstLine="480"/>
        <w:rPr>
          <w:kern w:val="0"/>
        </w:rPr>
      </w:pPr>
      <w:r>
        <w:rPr>
          <w:rFonts w:hint="eastAsia" w:cs="宋体"/>
          <w:kern w:val="0"/>
        </w:rPr>
        <w:t>（</w:t>
      </w:r>
      <w:r>
        <w:rPr>
          <w:kern w:val="0"/>
        </w:rPr>
        <w:t>4</w:t>
      </w:r>
      <w:r>
        <w:rPr>
          <w:rFonts w:hint="eastAsia" w:cs="宋体"/>
          <w:kern w:val="0"/>
        </w:rPr>
        <w:t>）呼吸心跳停止须现场进行人工呼吸（剧毒中毒者除外）、心脏挤压术。</w:t>
      </w:r>
    </w:p>
    <w:p>
      <w:pPr>
        <w:ind w:firstLine="480"/>
        <w:rPr>
          <w:rFonts w:cs="宋体"/>
          <w:kern w:val="0"/>
        </w:rPr>
      </w:pPr>
      <w:r>
        <w:rPr>
          <w:rFonts w:hint="eastAsia" w:cs="宋体"/>
          <w:kern w:val="0"/>
        </w:rPr>
        <w:t>（</w:t>
      </w:r>
      <w:r>
        <w:rPr>
          <w:kern w:val="0"/>
        </w:rPr>
        <w:t>5</w:t>
      </w:r>
      <w:r>
        <w:rPr>
          <w:rFonts w:hint="eastAsia" w:cs="宋体"/>
          <w:kern w:val="0"/>
        </w:rPr>
        <w:t>）待救护车到场或动用最快的交通工具，及时护送伤员到医院。运送途中应尽量减少颠簸，同时密切注意伤者的呼吸、脉搏、血压及伤口情况。</w:t>
      </w:r>
    </w:p>
    <w:p>
      <w:pPr>
        <w:pStyle w:val="5"/>
        <w:adjustRightInd w:val="0"/>
        <w:spacing w:line="360" w:lineRule="auto"/>
        <w:rPr>
          <w:kern w:val="21"/>
        </w:rPr>
      </w:pPr>
      <w:bookmarkStart w:id="401" w:name="_Toc3650"/>
      <w:bookmarkStart w:id="402" w:name="_Toc15270"/>
      <w:bookmarkStart w:id="403" w:name="_Toc24780"/>
      <w:bookmarkStart w:id="404" w:name="_Toc14349"/>
      <w:bookmarkStart w:id="405" w:name="_Toc26181"/>
      <w:bookmarkStart w:id="406" w:name="_Toc9193"/>
      <w:bookmarkStart w:id="407" w:name="_Toc20328"/>
      <w:bookmarkStart w:id="408" w:name="_Toc8470"/>
      <w:bookmarkStart w:id="409" w:name="_Toc20214"/>
      <w:bookmarkStart w:id="410" w:name="_Toc6840"/>
      <w:bookmarkStart w:id="411" w:name="_Toc5190"/>
      <w:bookmarkStart w:id="412" w:name="_Toc32412"/>
      <w:bookmarkStart w:id="413" w:name="_Toc20116"/>
      <w:bookmarkStart w:id="414" w:name="_Toc1318"/>
      <w:r>
        <w:rPr>
          <w:rFonts w:hint="eastAsia"/>
        </w:rPr>
        <w:t>5.5应急监测</w:t>
      </w:r>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p>
    <w:p>
      <w:pPr>
        <w:pStyle w:val="64"/>
        <w:rPr>
          <w:color w:val="auto"/>
        </w:rPr>
      </w:pPr>
      <w:bookmarkStart w:id="415" w:name="_Toc27229"/>
      <w:bookmarkStart w:id="416" w:name="_Toc25146"/>
      <w:r>
        <w:rPr>
          <w:rFonts w:hint="eastAsia"/>
          <w:color w:val="auto"/>
        </w:rPr>
        <w:t>5</w:t>
      </w:r>
      <w:r>
        <w:rPr>
          <w:color w:val="auto"/>
        </w:rPr>
        <w:t>.5.1</w:t>
      </w:r>
      <w:r>
        <w:rPr>
          <w:rFonts w:hint="eastAsia"/>
          <w:color w:val="auto"/>
        </w:rPr>
        <w:t>环境监测方案</w:t>
      </w:r>
      <w:bookmarkEnd w:id="415"/>
      <w:bookmarkEnd w:id="416"/>
    </w:p>
    <w:p>
      <w:pPr>
        <w:ind w:firstLine="480"/>
      </w:pPr>
      <w:r>
        <w:rPr>
          <w:rFonts w:hint="eastAsia" w:cs="宋体"/>
        </w:rPr>
        <w:t>本公司环境监测委托第三方专业检测单位进行，由后勤保障组负责联系，具体流程：</w:t>
      </w:r>
    </w:p>
    <w:p>
      <w:pPr>
        <w:ind w:firstLine="480"/>
      </w:pPr>
      <w:bookmarkStart w:id="417" w:name="_Toc18318_WPSOffice_Level2"/>
      <w:r>
        <w:t>1</w:t>
      </w:r>
      <w:r>
        <w:rPr>
          <w:rFonts w:hint="eastAsia" w:cs="宋体"/>
        </w:rPr>
        <w:t>、任务接收（分析、传达等全部要同步上岗）</w:t>
      </w:r>
      <w:bookmarkEnd w:id="417"/>
    </w:p>
    <w:p>
      <w:pPr>
        <w:ind w:firstLine="480"/>
      </w:pPr>
      <w:r>
        <w:rPr>
          <w:rFonts w:hint="eastAsia" w:cs="宋体"/>
        </w:rPr>
        <w:t>接公司现场指挥部下达的应急监测任务后，由后勤保障组委托第三方专业检测单位按本预案启动应急监测工作程序，下达应急监测指令，现在采样人员、分析人员和报告传达人员均做好准备工作。</w:t>
      </w:r>
    </w:p>
    <w:p>
      <w:pPr>
        <w:ind w:firstLine="480"/>
      </w:pPr>
      <w:bookmarkStart w:id="418" w:name="_Toc11407_WPSOffice_Level2"/>
      <w:r>
        <w:t>2</w:t>
      </w:r>
      <w:r>
        <w:rPr>
          <w:rFonts w:hint="eastAsia" w:cs="宋体"/>
        </w:rPr>
        <w:t>、任务下达、人员安排及准备工作</w:t>
      </w:r>
      <w:bookmarkEnd w:id="418"/>
      <w:r>
        <w:rPr>
          <w:rFonts w:hint="eastAsia" w:cs="宋体"/>
        </w:rPr>
        <w:t>（根据现有污染因子）</w:t>
      </w:r>
    </w:p>
    <w:p>
      <w:pPr>
        <w:ind w:firstLine="480"/>
      </w:pPr>
      <w:r>
        <w:rPr>
          <w:rFonts w:hint="eastAsia" w:cs="宋体"/>
        </w:rPr>
        <w:t>应急监测人员接到指令后，应立即做好应急监测各项准备工作，携仪器设备、采样器具、防护设备赶赴事故现场进行调查、监测和采样。实验室分析人员作好分析准备，报告传达人员作好资料收集。环境影响监测方案如下：</w:t>
      </w:r>
    </w:p>
    <w:p>
      <w:pPr>
        <w:ind w:firstLine="480"/>
      </w:pPr>
      <w:bookmarkStart w:id="419" w:name="_Toc31184_WPSOffice_Level2"/>
      <w:r>
        <w:rPr>
          <w:rFonts w:hint="eastAsia" w:cs="宋体"/>
        </w:rPr>
        <w:t>（</w:t>
      </w:r>
      <w:r>
        <w:t>1</w:t>
      </w:r>
      <w:r>
        <w:rPr>
          <w:rFonts w:hint="eastAsia" w:cs="宋体"/>
        </w:rPr>
        <w:t>）水污染物监测</w:t>
      </w:r>
    </w:p>
    <w:p>
      <w:pPr>
        <w:ind w:firstLine="480"/>
        <w:rPr>
          <w:rFonts w:cs="宋体"/>
        </w:rPr>
      </w:pPr>
      <w:r>
        <w:rPr>
          <w:rFonts w:hint="eastAsia" w:cs="宋体"/>
        </w:rPr>
        <w:t>监测点布设：出口、长江入水口</w:t>
      </w:r>
    </w:p>
    <w:p>
      <w:pPr>
        <w:spacing w:line="240" w:lineRule="auto"/>
        <w:ind w:firstLine="480"/>
      </w:pPr>
      <w:r>
        <w:rPr>
          <w:rFonts w:hint="eastAsia" w:cs="宋体"/>
        </w:rPr>
        <w:t>监测项目：COD、PH、氨氮、总磷、总氮、BOD</w:t>
      </w:r>
      <w:r>
        <w:rPr>
          <w:rFonts w:hint="eastAsia" w:cs="宋体"/>
          <w:vertAlign w:val="subscript"/>
        </w:rPr>
        <w:t>5</w:t>
      </w:r>
    </w:p>
    <w:p>
      <w:pPr>
        <w:ind w:firstLine="480"/>
      </w:pPr>
      <w:r>
        <w:rPr>
          <w:rFonts w:hint="eastAsia" w:cs="宋体"/>
        </w:rPr>
        <w:t>监测频次：事故初始加密监测，</w:t>
      </w:r>
      <w:r>
        <w:t>2-3</w:t>
      </w:r>
      <w:r>
        <w:rPr>
          <w:rFonts w:hint="eastAsia" w:cs="宋体"/>
        </w:rPr>
        <w:t>次</w:t>
      </w:r>
      <w:r>
        <w:t>/</w:t>
      </w:r>
      <w:r>
        <w:rPr>
          <w:rFonts w:hint="eastAsia" w:cs="宋体"/>
        </w:rPr>
        <w:t>天，随着污染物浓度的下降逐渐降低频次</w:t>
      </w:r>
    </w:p>
    <w:tbl>
      <w:tblPr>
        <w:tblStyle w:val="48"/>
        <w:tblpPr w:leftFromText="180" w:rightFromText="180" w:vertAnchor="text" w:tblpXSpec="center" w:tblpY="1"/>
        <w:tblOverlap w:val="never"/>
        <w:tblW w:w="0" w:type="auto"/>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520"/>
        <w:gridCol w:w="2953"/>
        <w:gridCol w:w="2499"/>
        <w:gridCol w:w="209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监测项目</w:t>
            </w:r>
          </w:p>
        </w:tc>
        <w:tc>
          <w:tcPr>
            <w:tcW w:w="2953"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执行标准</w:t>
            </w:r>
          </w:p>
        </w:tc>
        <w:tc>
          <w:tcPr>
            <w:tcW w:w="24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监测方法</w:t>
            </w:r>
          </w:p>
        </w:tc>
        <w:tc>
          <w:tcPr>
            <w:tcW w:w="20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方法来源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COD</w:t>
            </w:r>
          </w:p>
        </w:tc>
        <w:tc>
          <w:tcPr>
            <w:tcW w:w="2953" w:type="dxa"/>
            <w:vMerge w:val="restart"/>
            <w:tcBorders>
              <w:tl2br w:val="nil"/>
              <w:tr2bl w:val="nil"/>
            </w:tcBorders>
            <w:vAlign w:val="center"/>
          </w:tcPr>
          <w:p>
            <w:pPr>
              <w:pStyle w:val="341"/>
              <w:spacing w:line="240" w:lineRule="auto"/>
              <w:ind w:firstLine="420"/>
              <w:rPr>
                <w:rFonts w:ascii="宋体" w:hAnsi="宋体" w:cs="宋体"/>
                <w:sz w:val="21"/>
                <w:szCs w:val="21"/>
              </w:rPr>
            </w:pPr>
          </w:p>
          <w:p>
            <w:pPr>
              <w:pStyle w:val="341"/>
              <w:spacing w:line="240" w:lineRule="auto"/>
              <w:ind w:firstLine="420"/>
              <w:rPr>
                <w:rFonts w:ascii="宋体" w:hAnsi="宋体" w:cs="宋体"/>
                <w:sz w:val="21"/>
                <w:szCs w:val="21"/>
              </w:rPr>
            </w:pPr>
          </w:p>
          <w:p>
            <w:pPr>
              <w:pStyle w:val="341"/>
              <w:spacing w:line="240" w:lineRule="auto"/>
              <w:ind w:firstLine="420"/>
              <w:rPr>
                <w:rFonts w:ascii="宋体" w:hAnsi="宋体" w:cs="宋体"/>
                <w:sz w:val="21"/>
                <w:szCs w:val="21"/>
              </w:rPr>
            </w:pPr>
            <w:r>
              <w:rPr>
                <w:rFonts w:hint="eastAsia" w:ascii="宋体" w:hAnsi="宋体" w:cs="宋体"/>
                <w:sz w:val="21"/>
                <w:szCs w:val="21"/>
              </w:rPr>
              <w:t>《污水综合排放标准》（GB8978-1996）表4中一级标准</w:t>
            </w:r>
          </w:p>
        </w:tc>
        <w:tc>
          <w:tcPr>
            <w:tcW w:w="24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重铬酸盐法</w:t>
            </w:r>
          </w:p>
        </w:tc>
        <w:tc>
          <w:tcPr>
            <w:tcW w:w="20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GB/T11914-1989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PH</w:t>
            </w:r>
          </w:p>
        </w:tc>
        <w:tc>
          <w:tcPr>
            <w:tcW w:w="2953" w:type="dxa"/>
            <w:vMerge w:val="continue"/>
            <w:tcBorders>
              <w:tl2br w:val="nil"/>
              <w:tr2bl w:val="nil"/>
            </w:tcBorders>
            <w:vAlign w:val="center"/>
          </w:tcPr>
          <w:p>
            <w:pPr>
              <w:spacing w:line="240" w:lineRule="auto"/>
              <w:ind w:firstLine="0" w:firstLineChars="0"/>
              <w:jc w:val="center"/>
              <w:rPr>
                <w:rFonts w:ascii="宋体" w:hAnsi="宋体" w:cs="宋体"/>
                <w:sz w:val="21"/>
              </w:rPr>
            </w:pPr>
          </w:p>
        </w:tc>
        <w:tc>
          <w:tcPr>
            <w:tcW w:w="24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玻璃电极法</w:t>
            </w:r>
          </w:p>
        </w:tc>
        <w:tc>
          <w:tcPr>
            <w:tcW w:w="2099" w:type="dxa"/>
            <w:tcBorders>
              <w:tl2br w:val="nil"/>
              <w:tr2bl w:val="nil"/>
            </w:tcBorders>
            <w:vAlign w:val="center"/>
          </w:tcPr>
          <w:p>
            <w:pPr>
              <w:spacing w:line="240" w:lineRule="auto"/>
              <w:ind w:firstLine="0" w:firstLineChars="0"/>
              <w:jc w:val="center"/>
              <w:rPr>
                <w:rFonts w:ascii="宋体" w:hAnsi="宋体" w:cs="宋体"/>
                <w:sz w:val="21"/>
              </w:rPr>
            </w:pPr>
            <w:r>
              <w:rPr>
                <w:rFonts w:hint="eastAsia" w:ascii="宋体" w:hAnsi="宋体" w:cs="宋体"/>
                <w:sz w:val="21"/>
              </w:rPr>
              <w:t>GB/T6920-1986</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氨氮</w:t>
            </w:r>
          </w:p>
        </w:tc>
        <w:tc>
          <w:tcPr>
            <w:tcW w:w="2953" w:type="dxa"/>
            <w:vMerge w:val="continue"/>
            <w:tcBorders>
              <w:tl2br w:val="nil"/>
              <w:tr2bl w:val="nil"/>
            </w:tcBorders>
            <w:vAlign w:val="center"/>
          </w:tcPr>
          <w:p>
            <w:pPr>
              <w:spacing w:line="240" w:lineRule="auto"/>
              <w:ind w:firstLine="0" w:firstLineChars="0"/>
              <w:jc w:val="center"/>
              <w:rPr>
                <w:rFonts w:ascii="宋体" w:hAnsi="宋体" w:cs="宋体"/>
                <w:sz w:val="21"/>
              </w:rPr>
            </w:pPr>
          </w:p>
        </w:tc>
        <w:tc>
          <w:tcPr>
            <w:tcW w:w="2499" w:type="dxa"/>
            <w:tcBorders>
              <w:tl2br w:val="nil"/>
              <w:tr2bl w:val="nil"/>
            </w:tcBorders>
            <w:vAlign w:val="center"/>
          </w:tcPr>
          <w:p>
            <w:pPr>
              <w:spacing w:line="240" w:lineRule="auto"/>
              <w:ind w:firstLine="210" w:firstLineChars="100"/>
              <w:rPr>
                <w:rFonts w:ascii="宋体" w:hAnsi="宋体" w:cs="宋体"/>
                <w:sz w:val="21"/>
              </w:rPr>
            </w:pPr>
            <w:r>
              <w:rPr>
                <w:rFonts w:hint="eastAsia" w:ascii="宋体" w:hAnsi="宋体" w:cs="宋体"/>
                <w:sz w:val="21"/>
              </w:rPr>
              <w:t>纳氏试剂分光光度法</w:t>
            </w:r>
          </w:p>
        </w:tc>
        <w:tc>
          <w:tcPr>
            <w:tcW w:w="2099"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HJ535-2009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总磷</w:t>
            </w:r>
          </w:p>
        </w:tc>
        <w:tc>
          <w:tcPr>
            <w:tcW w:w="2953" w:type="dxa"/>
            <w:vMerge w:val="continue"/>
            <w:tcBorders>
              <w:tl2br w:val="nil"/>
              <w:tr2bl w:val="nil"/>
            </w:tcBorders>
            <w:vAlign w:val="center"/>
          </w:tcPr>
          <w:p>
            <w:pPr>
              <w:spacing w:line="240" w:lineRule="auto"/>
              <w:ind w:firstLine="0" w:firstLineChars="0"/>
              <w:jc w:val="center"/>
              <w:rPr>
                <w:rFonts w:ascii="宋体" w:hAnsi="宋体" w:cs="宋体"/>
                <w:sz w:val="21"/>
              </w:rPr>
            </w:pPr>
          </w:p>
        </w:tc>
        <w:tc>
          <w:tcPr>
            <w:tcW w:w="2499"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钼酸铵分光光度法</w:t>
            </w:r>
          </w:p>
        </w:tc>
        <w:tc>
          <w:tcPr>
            <w:tcW w:w="2099"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GB 11893-89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总氮</w:t>
            </w:r>
          </w:p>
        </w:tc>
        <w:tc>
          <w:tcPr>
            <w:tcW w:w="2953" w:type="dxa"/>
            <w:vMerge w:val="continue"/>
            <w:tcBorders>
              <w:tl2br w:val="nil"/>
              <w:tr2bl w:val="nil"/>
            </w:tcBorders>
            <w:vAlign w:val="center"/>
          </w:tcPr>
          <w:p>
            <w:pPr>
              <w:spacing w:line="240" w:lineRule="auto"/>
              <w:ind w:firstLine="0" w:firstLineChars="0"/>
              <w:jc w:val="center"/>
              <w:rPr>
                <w:rFonts w:ascii="宋体" w:hAnsi="宋体" w:cs="宋体"/>
                <w:sz w:val="21"/>
              </w:rPr>
            </w:pPr>
          </w:p>
        </w:tc>
        <w:tc>
          <w:tcPr>
            <w:tcW w:w="2499" w:type="dxa"/>
            <w:tcBorders>
              <w:tl2br w:val="nil"/>
              <w:tr2bl w:val="nil"/>
            </w:tcBorders>
            <w:vAlign w:val="center"/>
          </w:tcPr>
          <w:p>
            <w:pPr>
              <w:spacing w:line="240" w:lineRule="auto"/>
              <w:ind w:firstLine="0" w:firstLineChars="0"/>
              <w:rPr>
                <w:rFonts w:ascii="宋体" w:hAnsi="宋体" w:cs="宋体"/>
                <w:sz w:val="21"/>
              </w:rPr>
            </w:pPr>
            <w:r>
              <w:rPr>
                <w:rFonts w:ascii="宋体" w:hAnsi="宋体" w:cs="宋体"/>
                <w:sz w:val="21"/>
              </w:rPr>
              <w:t xml:space="preserve"> 碱性过硫酸钾消解紫外分光光度法</w:t>
            </w:r>
          </w:p>
        </w:tc>
        <w:tc>
          <w:tcPr>
            <w:tcW w:w="2099" w:type="dxa"/>
            <w:tcBorders>
              <w:tl2br w:val="nil"/>
              <w:tr2bl w:val="nil"/>
            </w:tcBorders>
            <w:vAlign w:val="center"/>
          </w:tcPr>
          <w:p>
            <w:pPr>
              <w:spacing w:line="240" w:lineRule="auto"/>
              <w:ind w:firstLine="420"/>
              <w:rPr>
                <w:rFonts w:ascii="宋体" w:hAnsi="宋体" w:cs="宋体"/>
                <w:sz w:val="21"/>
              </w:rPr>
            </w:pPr>
            <w:r>
              <w:rPr>
                <w:rFonts w:ascii="宋体" w:hAnsi="宋体" w:cs="宋体"/>
                <w:sz w:val="21"/>
              </w:rPr>
              <w:t>HJ 636-2012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520" w:type="dxa"/>
            <w:tcBorders>
              <w:tl2br w:val="nil"/>
              <w:tr2bl w:val="nil"/>
            </w:tcBorders>
            <w:vAlign w:val="center"/>
          </w:tcPr>
          <w:p>
            <w:pPr>
              <w:spacing w:line="240" w:lineRule="auto"/>
              <w:ind w:firstLine="420"/>
              <w:rPr>
                <w:rFonts w:ascii="宋体" w:hAnsi="宋体" w:cs="宋体"/>
                <w:sz w:val="21"/>
              </w:rPr>
            </w:pPr>
            <w:r>
              <w:rPr>
                <w:rFonts w:hint="eastAsia" w:ascii="宋体" w:hAnsi="宋体" w:cs="宋体"/>
                <w:sz w:val="21"/>
              </w:rPr>
              <w:t>BOD5</w:t>
            </w:r>
          </w:p>
        </w:tc>
        <w:tc>
          <w:tcPr>
            <w:tcW w:w="2953" w:type="dxa"/>
            <w:vMerge w:val="continue"/>
            <w:tcBorders>
              <w:tl2br w:val="nil"/>
              <w:tr2bl w:val="nil"/>
            </w:tcBorders>
            <w:vAlign w:val="center"/>
          </w:tcPr>
          <w:p>
            <w:pPr>
              <w:spacing w:line="240" w:lineRule="auto"/>
              <w:ind w:firstLine="0" w:firstLineChars="0"/>
              <w:jc w:val="center"/>
              <w:rPr>
                <w:rFonts w:ascii="宋体" w:hAnsi="宋体" w:cs="宋体"/>
                <w:sz w:val="21"/>
              </w:rPr>
            </w:pPr>
          </w:p>
        </w:tc>
        <w:tc>
          <w:tcPr>
            <w:tcW w:w="2499" w:type="dxa"/>
            <w:tcBorders>
              <w:tl2br w:val="nil"/>
              <w:tr2bl w:val="nil"/>
            </w:tcBorders>
            <w:vAlign w:val="center"/>
          </w:tcPr>
          <w:p>
            <w:pPr>
              <w:spacing w:line="240" w:lineRule="auto"/>
              <w:ind w:firstLine="420"/>
              <w:rPr>
                <w:rFonts w:ascii="宋体" w:hAnsi="宋体" w:cs="宋体"/>
                <w:sz w:val="21"/>
              </w:rPr>
            </w:pPr>
            <w:r>
              <w:rPr>
                <w:rFonts w:ascii="宋体" w:hAnsi="宋体" w:cs="宋体"/>
                <w:sz w:val="21"/>
              </w:rPr>
              <w:t>稀释与接种法</w:t>
            </w:r>
          </w:p>
        </w:tc>
        <w:tc>
          <w:tcPr>
            <w:tcW w:w="2099" w:type="dxa"/>
            <w:tcBorders>
              <w:tl2br w:val="nil"/>
              <w:tr2bl w:val="nil"/>
            </w:tcBorders>
            <w:vAlign w:val="center"/>
          </w:tcPr>
          <w:p>
            <w:pPr>
              <w:spacing w:line="240" w:lineRule="auto"/>
              <w:ind w:firstLine="420"/>
              <w:rPr>
                <w:rFonts w:ascii="宋体" w:hAnsi="宋体" w:cs="宋体"/>
                <w:sz w:val="21"/>
              </w:rPr>
            </w:pPr>
            <w:r>
              <w:rPr>
                <w:rFonts w:ascii="宋体" w:hAnsi="宋体" w:cs="宋体"/>
                <w:sz w:val="21"/>
              </w:rPr>
              <w:t>HJ 505-2009</w:t>
            </w:r>
          </w:p>
        </w:tc>
      </w:tr>
    </w:tbl>
    <w:p>
      <w:pPr>
        <w:ind w:firstLine="480"/>
      </w:pPr>
      <w:r>
        <w:t>3</w:t>
      </w:r>
      <w:r>
        <w:rPr>
          <w:rFonts w:hint="eastAsia" w:cs="宋体"/>
        </w:rPr>
        <w:t>、现场采样及监测</w:t>
      </w:r>
      <w:bookmarkEnd w:id="419"/>
    </w:p>
    <w:p>
      <w:pPr>
        <w:ind w:firstLine="480"/>
      </w:pPr>
      <w:r>
        <w:rPr>
          <w:rFonts w:hint="eastAsia" w:cs="宋体"/>
        </w:rPr>
        <w:t>现场监测人员接到应急监测任务通知后立即携带所需的仪器设备、采样器具、试剂、药剂、防护装备和所需的监测预案、标准、方法、规范等资料，赶赴事故现场进行调查、监测和采样。采样时服从现在指挥人员指挥，所采样品必须具有代表性。必要时穿戴防护用品。</w:t>
      </w:r>
    </w:p>
    <w:p>
      <w:pPr>
        <w:ind w:firstLine="480"/>
      </w:pPr>
      <w:bookmarkStart w:id="420" w:name="_Toc24302_WPSOffice_Level2"/>
      <w:r>
        <w:t>4</w:t>
      </w:r>
      <w:r>
        <w:rPr>
          <w:rFonts w:hint="eastAsia" w:cs="宋体"/>
        </w:rPr>
        <w:t>、现场情况报告制度</w:t>
      </w:r>
      <w:bookmarkEnd w:id="420"/>
    </w:p>
    <w:p>
      <w:pPr>
        <w:ind w:firstLine="464"/>
        <w:rPr>
          <w:spacing w:val="-4"/>
        </w:rPr>
      </w:pPr>
      <w:r>
        <w:rPr>
          <w:rFonts w:hint="eastAsia" w:cs="宋体"/>
          <w:spacing w:val="-4"/>
        </w:rPr>
        <w:t>现场监测人员到达现场进行污染状况调查后，及时了解污染状况，听从现场指挥人员确定采样点，并建议是否增加监测点位、项目和频次，是否增加现场监测人员和仪器。对无法监测或不具备监测条件和能力的项目时，应向上一级部门报告，提请上级环境监测机构协调解决。</w:t>
      </w:r>
    </w:p>
    <w:p>
      <w:pPr>
        <w:ind w:firstLine="480"/>
      </w:pPr>
      <w:r>
        <w:rPr>
          <w:rFonts w:hint="eastAsia" w:cs="宋体"/>
        </w:rPr>
        <w:t>现场监测和分析数据需现场报告时，数据直接报告现场指挥人员。</w:t>
      </w:r>
    </w:p>
    <w:p>
      <w:pPr>
        <w:ind w:firstLine="480"/>
      </w:pPr>
      <w:bookmarkStart w:id="421" w:name="_Toc17375_WPSOffice_Level2"/>
      <w:r>
        <w:t>5</w:t>
      </w:r>
      <w:r>
        <w:rPr>
          <w:rFonts w:hint="eastAsia" w:cs="宋体"/>
        </w:rPr>
        <w:t>、样品的保存与运输</w:t>
      </w:r>
      <w:bookmarkEnd w:id="421"/>
    </w:p>
    <w:p>
      <w:pPr>
        <w:ind w:firstLine="480"/>
      </w:pPr>
      <w:r>
        <w:rPr>
          <w:rFonts w:hint="eastAsia" w:cs="宋体"/>
        </w:rPr>
        <w:t>（</w:t>
      </w:r>
      <w:r>
        <w:t>1</w:t>
      </w:r>
      <w:r>
        <w:rPr>
          <w:rFonts w:hint="eastAsia" w:cs="宋体"/>
        </w:rPr>
        <w:t>）在采样前根据样品性质、成份和环境条件，根据水环境监测技术规范要求加入保存剂。</w:t>
      </w:r>
    </w:p>
    <w:p>
      <w:pPr>
        <w:ind w:firstLine="480"/>
      </w:pPr>
      <w:r>
        <w:rPr>
          <w:rFonts w:hint="eastAsia" w:cs="宋体"/>
        </w:rPr>
        <w:t>（</w:t>
      </w:r>
      <w:r>
        <w:t>2</w:t>
      </w:r>
      <w:r>
        <w:rPr>
          <w:rFonts w:hint="eastAsia" w:cs="宋体"/>
        </w:rPr>
        <w:t>）在现场工作开始前确定好样品的运输方式以防延误分析时机。</w:t>
      </w:r>
    </w:p>
    <w:p>
      <w:pPr>
        <w:ind w:firstLine="480"/>
      </w:pPr>
      <w:r>
        <w:rPr>
          <w:rFonts w:hint="eastAsia" w:cs="宋体"/>
        </w:rPr>
        <w:t>（</w:t>
      </w:r>
      <w:r>
        <w:t>3</w:t>
      </w:r>
      <w:r>
        <w:rPr>
          <w:rFonts w:hint="eastAsia" w:cs="宋体"/>
        </w:rPr>
        <w:t>）在运输前核实样品标签是否完整，所有样品是否全部装车，做好现场采样记录。</w:t>
      </w:r>
    </w:p>
    <w:p>
      <w:pPr>
        <w:ind w:firstLine="480"/>
      </w:pPr>
      <w:r>
        <w:rPr>
          <w:rFonts w:hint="eastAsia" w:cs="宋体"/>
        </w:rPr>
        <w:t>（</w:t>
      </w:r>
      <w:r>
        <w:t>4</w:t>
      </w:r>
      <w:r>
        <w:rPr>
          <w:rFonts w:hint="eastAsia" w:cs="宋体"/>
        </w:rPr>
        <w:t>）样品运输必须由专人送达分析室，防止样品损坏或致污。移交样品时，应进行核对并办妥交接手续。</w:t>
      </w:r>
    </w:p>
    <w:p>
      <w:pPr>
        <w:ind w:firstLine="480"/>
      </w:pPr>
      <w:bookmarkStart w:id="422" w:name="_Toc10077_WPSOffice_Level2"/>
      <w:r>
        <w:t>6</w:t>
      </w:r>
      <w:r>
        <w:rPr>
          <w:rFonts w:hint="eastAsia" w:cs="宋体"/>
        </w:rPr>
        <w:t>、实验室分析</w:t>
      </w:r>
      <w:bookmarkEnd w:id="422"/>
    </w:p>
    <w:p>
      <w:pPr>
        <w:ind w:firstLine="480"/>
      </w:pPr>
      <w:r>
        <w:rPr>
          <w:rFonts w:hint="eastAsia" w:cs="宋体"/>
        </w:rPr>
        <w:t>实验室分析人员接到分析样品后，及时、准确、快捷地完成样品分析，做好原始记录，提交分析报告。</w:t>
      </w:r>
    </w:p>
    <w:p>
      <w:pPr>
        <w:ind w:firstLine="480"/>
      </w:pPr>
      <w:bookmarkStart w:id="423" w:name="_Toc6238_WPSOffice_Level2"/>
      <w:r>
        <w:t>7</w:t>
      </w:r>
      <w:r>
        <w:rPr>
          <w:rFonts w:hint="eastAsia" w:cs="宋体"/>
        </w:rPr>
        <w:t>、报告编制与提交</w:t>
      </w:r>
      <w:bookmarkEnd w:id="423"/>
    </w:p>
    <w:p>
      <w:pPr>
        <w:ind w:firstLine="480"/>
      </w:pPr>
      <w:r>
        <w:rPr>
          <w:rFonts w:hint="eastAsia" w:cs="宋体"/>
        </w:rPr>
        <w:t>分析人员要以最快的速度提交报告，审核后迅速交报告传达人员送至现在指挥部，同时按规定报上级有关部门。</w:t>
      </w:r>
    </w:p>
    <w:p>
      <w:pPr>
        <w:pStyle w:val="64"/>
        <w:rPr>
          <w:color w:val="auto"/>
        </w:rPr>
      </w:pPr>
      <w:bookmarkStart w:id="424" w:name="_Toc24061"/>
      <w:bookmarkStart w:id="425" w:name="_Toc21439"/>
      <w:r>
        <w:rPr>
          <w:rFonts w:hint="eastAsia"/>
          <w:color w:val="auto"/>
        </w:rPr>
        <w:t>5</w:t>
      </w:r>
      <w:r>
        <w:rPr>
          <w:color w:val="auto"/>
        </w:rPr>
        <w:t>.5.2</w:t>
      </w:r>
      <w:r>
        <w:rPr>
          <w:rFonts w:hint="eastAsia"/>
          <w:color w:val="auto"/>
        </w:rPr>
        <w:t>监测人员的防护措施</w:t>
      </w:r>
      <w:bookmarkEnd w:id="424"/>
      <w:bookmarkEnd w:id="425"/>
    </w:p>
    <w:p>
      <w:pPr>
        <w:ind w:firstLine="480"/>
      </w:pPr>
      <w:r>
        <w:rPr>
          <w:rFonts w:hint="eastAsia" w:cs="宋体"/>
        </w:rPr>
        <w:t>根据使用环境和防护对象的不同，个体防护措施分三级：</w:t>
      </w:r>
    </w:p>
    <w:p>
      <w:pPr>
        <w:ind w:firstLine="480"/>
      </w:pPr>
      <w:r>
        <w:rPr>
          <w:rFonts w:hint="eastAsia" w:cs="宋体"/>
        </w:rPr>
        <w:t>（</w:t>
      </w:r>
      <w:r>
        <w:t>1</w:t>
      </w:r>
      <w:r>
        <w:rPr>
          <w:rFonts w:hint="eastAsia" w:cs="宋体"/>
        </w:rPr>
        <w:t>）一级防护。</w:t>
      </w:r>
    </w:p>
    <w:p>
      <w:pPr>
        <w:ind w:firstLine="480"/>
      </w:pPr>
      <w:r>
        <w:rPr>
          <w:rFonts w:hint="eastAsia" w:ascii="宋体" w:cs="宋体"/>
        </w:rPr>
        <w:t>①</w:t>
      </w:r>
      <w:r>
        <w:rPr>
          <w:rFonts w:hint="eastAsia" w:cs="宋体"/>
        </w:rPr>
        <w:t>适用于进入有毒化学物品泄漏区内进行调查、采样的工作人员；对不明毒源的时间现场救援者。</w:t>
      </w:r>
    </w:p>
    <w:p>
      <w:pPr>
        <w:ind w:firstLine="480"/>
      </w:pPr>
      <w:r>
        <w:rPr>
          <w:rFonts w:hint="eastAsia" w:ascii="宋体" w:cs="宋体"/>
        </w:rPr>
        <w:t>②</w:t>
      </w:r>
      <w:r>
        <w:rPr>
          <w:rFonts w:hint="eastAsia" w:cs="宋体"/>
        </w:rPr>
        <w:t>采用</w:t>
      </w:r>
      <w:r>
        <w:t>A</w:t>
      </w:r>
      <w:r>
        <w:rPr>
          <w:rFonts w:hint="eastAsia" w:cs="宋体"/>
        </w:rPr>
        <w:t>级防护。工作人员须穿着全面罩正压式呼吸器或全封闭化学防护服，佩戴防护手套、防护靴和安全帽。</w:t>
      </w:r>
    </w:p>
    <w:p>
      <w:pPr>
        <w:ind w:firstLine="480"/>
      </w:pPr>
      <w:r>
        <w:rPr>
          <w:rFonts w:hint="eastAsia" w:cs="宋体"/>
        </w:rPr>
        <w:t>（</w:t>
      </w:r>
      <w:r>
        <w:t>2</w:t>
      </w:r>
      <w:r>
        <w:rPr>
          <w:rFonts w:hint="eastAsia" w:cs="宋体"/>
        </w:rPr>
        <w:t>）二级防护。</w:t>
      </w:r>
    </w:p>
    <w:p>
      <w:pPr>
        <w:ind w:firstLine="464"/>
        <w:rPr>
          <w:spacing w:val="-4"/>
        </w:rPr>
      </w:pPr>
      <w:r>
        <w:rPr>
          <w:rFonts w:hint="eastAsia" w:ascii="宋体" w:cs="宋体"/>
          <w:spacing w:val="-4"/>
        </w:rPr>
        <w:t>①</w:t>
      </w:r>
      <w:r>
        <w:rPr>
          <w:rFonts w:hint="eastAsia" w:cs="宋体"/>
          <w:spacing w:val="-4"/>
        </w:rPr>
        <w:t>适用于在有毒化学物品泄漏区域内或附近应急车辆中进行样品检测的工作人员和司机。</w:t>
      </w:r>
    </w:p>
    <w:p>
      <w:pPr>
        <w:ind w:firstLine="480"/>
      </w:pPr>
      <w:r>
        <w:rPr>
          <w:rFonts w:hint="eastAsia" w:ascii="宋体" w:cs="宋体"/>
        </w:rPr>
        <w:t>②</w:t>
      </w:r>
      <w:r>
        <w:rPr>
          <w:rFonts w:hint="eastAsia" w:cs="宋体"/>
        </w:rPr>
        <w:t>采用</w:t>
      </w:r>
      <w:r>
        <w:t>B</w:t>
      </w:r>
      <w:r>
        <w:rPr>
          <w:rFonts w:hint="eastAsia" w:cs="宋体"/>
        </w:rPr>
        <w:t>级防护。工作人员须穿着全面罩正压式呼吸器或头罩式化学防护服，佩戴防护手套，穿防护靴。</w:t>
      </w:r>
    </w:p>
    <w:p>
      <w:pPr>
        <w:ind w:firstLine="480"/>
      </w:pPr>
      <w:r>
        <w:rPr>
          <w:rFonts w:hint="eastAsia" w:cs="宋体"/>
        </w:rPr>
        <w:t>（</w:t>
      </w:r>
      <w:r>
        <w:t>3</w:t>
      </w:r>
      <w:r>
        <w:rPr>
          <w:rFonts w:hint="eastAsia" w:cs="宋体"/>
        </w:rPr>
        <w:t>）三级防护。</w:t>
      </w:r>
    </w:p>
    <w:p>
      <w:pPr>
        <w:ind w:firstLine="480"/>
      </w:pPr>
      <w:r>
        <w:rPr>
          <w:rFonts w:hint="eastAsia" w:ascii="宋体" w:cs="宋体"/>
        </w:rPr>
        <w:t>①</w:t>
      </w:r>
      <w:r>
        <w:rPr>
          <w:rFonts w:hint="eastAsia" w:cs="宋体"/>
        </w:rPr>
        <w:t>适用于在有毒化学物品泄漏区域外的指挥员和保障工作人员。</w:t>
      </w:r>
    </w:p>
    <w:p>
      <w:pPr>
        <w:ind w:firstLine="480"/>
      </w:pPr>
      <w:r>
        <w:rPr>
          <w:rFonts w:hint="eastAsia" w:ascii="宋体" w:cs="宋体"/>
        </w:rPr>
        <w:t>②</w:t>
      </w:r>
      <w:r>
        <w:rPr>
          <w:rFonts w:hint="eastAsia" w:cs="宋体"/>
        </w:rPr>
        <w:t>采用</w:t>
      </w:r>
      <w:r>
        <w:t>C</w:t>
      </w:r>
      <w:r>
        <w:rPr>
          <w:rFonts w:hint="eastAsia" w:cs="宋体"/>
        </w:rPr>
        <w:t>级防护。工作人员须佩戴空气过滤式呼吸防护用品，佩戴防护手套、穿防护靴。</w:t>
      </w:r>
    </w:p>
    <w:p>
      <w:pPr>
        <w:ind w:firstLine="480"/>
        <w:rPr>
          <w:kern w:val="0"/>
        </w:rPr>
      </w:pPr>
      <w:r>
        <w:rPr>
          <w:rFonts w:hint="eastAsia" w:cs="宋体"/>
        </w:rPr>
        <w:t>依据执行任务的不同，有的环境事故可能要求检测人员使用呼吸道防护器材或必须进行全身防护；有的则可能仅要求监测人员局部保护身体（如手、脚等）或全身防护。当应急监测人员对化学事故可能产生的危害程度有了明确的估计后，既可确定所采取的防护等级。</w:t>
      </w:r>
    </w:p>
    <w:p>
      <w:pPr>
        <w:pStyle w:val="5"/>
        <w:adjustRightInd w:val="0"/>
        <w:spacing w:line="360" w:lineRule="auto"/>
        <w:rPr>
          <w:kern w:val="21"/>
        </w:rPr>
      </w:pPr>
      <w:bookmarkStart w:id="426" w:name="_Toc4196"/>
      <w:bookmarkStart w:id="427" w:name="_Toc27417"/>
      <w:bookmarkStart w:id="428" w:name="_Toc30141"/>
      <w:bookmarkStart w:id="429" w:name="_Toc20281"/>
      <w:bookmarkStart w:id="430" w:name="_Toc23151"/>
      <w:bookmarkStart w:id="431" w:name="_Toc6175"/>
      <w:bookmarkStart w:id="432" w:name="_Toc4188"/>
      <w:bookmarkStart w:id="433" w:name="_Toc900"/>
      <w:bookmarkStart w:id="434" w:name="_Toc29748"/>
      <w:bookmarkStart w:id="435" w:name="_Toc31327"/>
      <w:bookmarkStart w:id="436" w:name="_Toc1533"/>
      <w:bookmarkStart w:id="437" w:name="_Toc6887"/>
      <w:bookmarkStart w:id="438" w:name="_Toc31108"/>
      <w:bookmarkStart w:id="439" w:name="_Toc20709"/>
      <w:r>
        <w:rPr>
          <w:rFonts w:hint="eastAsia"/>
        </w:rPr>
        <w:t>5</w:t>
      </w:r>
      <w:r>
        <w:t>.6</w:t>
      </w:r>
      <w:r>
        <w:rPr>
          <w:rFonts w:hint="eastAsia"/>
        </w:rPr>
        <w:t>应急结束</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pPr>
        <w:pStyle w:val="64"/>
        <w:outlineLvl w:val="1"/>
        <w:rPr>
          <w:color w:val="auto"/>
        </w:rPr>
      </w:pPr>
      <w:bookmarkStart w:id="440" w:name="_Toc11294"/>
      <w:bookmarkStart w:id="441" w:name="_Toc258"/>
      <w:bookmarkStart w:id="442" w:name="_Toc27460"/>
      <w:bookmarkStart w:id="443" w:name="_Toc26618"/>
      <w:r>
        <w:rPr>
          <w:rFonts w:hint="eastAsia"/>
          <w:color w:val="auto"/>
        </w:rPr>
        <w:t>5</w:t>
      </w:r>
      <w:r>
        <w:rPr>
          <w:color w:val="auto"/>
        </w:rPr>
        <w:t>.6.1</w:t>
      </w:r>
      <w:r>
        <w:rPr>
          <w:rFonts w:hint="eastAsia"/>
          <w:color w:val="auto"/>
        </w:rPr>
        <w:t>应急终止条件</w:t>
      </w:r>
      <w:bookmarkEnd w:id="440"/>
      <w:bookmarkEnd w:id="441"/>
      <w:bookmarkEnd w:id="442"/>
      <w:bookmarkEnd w:id="443"/>
    </w:p>
    <w:p>
      <w:pPr>
        <w:ind w:firstLine="480"/>
        <w:rPr>
          <w:kern w:val="0"/>
        </w:rPr>
      </w:pPr>
      <w:r>
        <w:rPr>
          <w:rFonts w:hint="eastAsia" w:cs="宋体"/>
          <w:kern w:val="0"/>
        </w:rPr>
        <w:t>符合下列条件之一的，即满足应急终止条件：</w:t>
      </w:r>
    </w:p>
    <w:p>
      <w:pPr>
        <w:ind w:firstLine="480"/>
      </w:pPr>
      <w:r>
        <w:rPr>
          <w:rFonts w:hint="eastAsia" w:cs="宋体"/>
        </w:rPr>
        <w:t>（</w:t>
      </w:r>
      <w:r>
        <w:t>1</w:t>
      </w:r>
      <w:r>
        <w:rPr>
          <w:rFonts w:hint="eastAsia" w:cs="宋体"/>
        </w:rPr>
        <w:t>）火源已得到控制、扑灭，现场检查确认无残余火种、热源，无物料泄漏；</w:t>
      </w:r>
    </w:p>
    <w:p>
      <w:pPr>
        <w:ind w:firstLine="480"/>
      </w:pPr>
      <w:r>
        <w:rPr>
          <w:rFonts w:hint="eastAsia" w:cs="宋体"/>
        </w:rPr>
        <w:t>（</w:t>
      </w:r>
      <w:r>
        <w:t>2</w:t>
      </w:r>
      <w:r>
        <w:rPr>
          <w:rFonts w:hint="eastAsia" w:cs="宋体"/>
        </w:rPr>
        <w:t>）受伤人员已得到有效的救治，失踪人员已确认查实；</w:t>
      </w:r>
    </w:p>
    <w:p>
      <w:pPr>
        <w:ind w:firstLine="480"/>
      </w:pPr>
      <w:r>
        <w:rPr>
          <w:rFonts w:hint="eastAsia" w:cs="宋体"/>
        </w:rPr>
        <w:t>（</w:t>
      </w:r>
      <w:r>
        <w:t>3</w:t>
      </w:r>
      <w:r>
        <w:rPr>
          <w:rFonts w:hint="eastAsia" w:cs="宋体"/>
        </w:rPr>
        <w:t>）现场事故设备、设施、建筑已检查确认无危险隐患或可能发生次生危害；</w:t>
      </w:r>
    </w:p>
    <w:p>
      <w:pPr>
        <w:ind w:firstLine="480"/>
      </w:pPr>
      <w:r>
        <w:rPr>
          <w:rFonts w:hint="eastAsia" w:cs="宋体"/>
        </w:rPr>
        <w:t>（</w:t>
      </w:r>
      <w:r>
        <w:t>4</w:t>
      </w:r>
      <w:r>
        <w:rPr>
          <w:rFonts w:hint="eastAsia" w:cs="宋体"/>
        </w:rPr>
        <w:t>）现场经检测无有毒有害气体。</w:t>
      </w:r>
    </w:p>
    <w:p>
      <w:pPr>
        <w:pStyle w:val="64"/>
        <w:outlineLvl w:val="1"/>
        <w:rPr>
          <w:color w:val="auto"/>
        </w:rPr>
      </w:pPr>
      <w:bookmarkStart w:id="444" w:name="_Toc12355"/>
      <w:bookmarkStart w:id="445" w:name="_Toc10529"/>
      <w:bookmarkStart w:id="446" w:name="_Toc26622"/>
      <w:bookmarkStart w:id="447" w:name="_Toc13728"/>
      <w:r>
        <w:rPr>
          <w:rFonts w:hint="eastAsia"/>
          <w:color w:val="auto"/>
        </w:rPr>
        <w:t>5</w:t>
      </w:r>
      <w:r>
        <w:rPr>
          <w:color w:val="auto"/>
        </w:rPr>
        <w:t>.6.2</w:t>
      </w:r>
      <w:r>
        <w:rPr>
          <w:rFonts w:hint="eastAsia"/>
          <w:color w:val="auto"/>
        </w:rPr>
        <w:t>终止程序</w:t>
      </w:r>
      <w:bookmarkEnd w:id="444"/>
      <w:bookmarkEnd w:id="445"/>
      <w:bookmarkEnd w:id="446"/>
      <w:bookmarkEnd w:id="447"/>
    </w:p>
    <w:p>
      <w:pPr>
        <w:ind w:firstLine="480"/>
        <w:rPr>
          <w:kern w:val="0"/>
        </w:rPr>
      </w:pPr>
      <w:r>
        <w:rPr>
          <w:rFonts w:hint="eastAsia" w:cs="宋体"/>
          <w:kern w:val="0"/>
        </w:rPr>
        <w:t>事故现场班组负责人根据应急终止条件，做出解除三级预警后，报告应急指挥部；</w:t>
      </w:r>
    </w:p>
    <w:p>
      <w:pPr>
        <w:ind w:firstLine="480"/>
        <w:rPr>
          <w:kern w:val="0"/>
        </w:rPr>
      </w:pPr>
      <w:r>
        <w:rPr>
          <w:rFonts w:hint="eastAsia" w:cs="宋体"/>
          <w:kern w:val="0"/>
        </w:rPr>
        <w:t>应急指挥部在接到事故现场负责人关于解除应急预警后，派人到现场确认，根据应急终止条件，做出解除二级事故预警；</w:t>
      </w:r>
    </w:p>
    <w:p>
      <w:pPr>
        <w:ind w:firstLine="480"/>
        <w:rPr>
          <w:kern w:val="0"/>
        </w:rPr>
      </w:pPr>
      <w:r>
        <w:rPr>
          <w:rFonts w:hint="eastAsia" w:cs="宋体"/>
          <w:kern w:val="0"/>
        </w:rPr>
        <w:t>若涉及到周边社区和单位的疏散时，根据应急终止条件，由上级主管部门或地方政府部门做出解除一级事故预警，由总指挥通知周边单位负责人或社区负责人解除预警。</w:t>
      </w:r>
    </w:p>
    <w:p>
      <w:pPr>
        <w:pStyle w:val="64"/>
        <w:outlineLvl w:val="1"/>
        <w:rPr>
          <w:color w:val="auto"/>
        </w:rPr>
      </w:pPr>
      <w:bookmarkStart w:id="448" w:name="_Toc20965"/>
      <w:bookmarkStart w:id="449" w:name="_Toc27548"/>
      <w:bookmarkStart w:id="450" w:name="_Toc12786"/>
      <w:bookmarkStart w:id="451" w:name="_Toc22417"/>
      <w:r>
        <w:rPr>
          <w:rFonts w:hint="eastAsia"/>
          <w:color w:val="auto"/>
        </w:rPr>
        <w:t>5</w:t>
      </w:r>
      <w:r>
        <w:rPr>
          <w:color w:val="auto"/>
        </w:rPr>
        <w:t>.6.3</w:t>
      </w:r>
      <w:r>
        <w:rPr>
          <w:rFonts w:hint="eastAsia"/>
          <w:color w:val="auto"/>
        </w:rPr>
        <w:t>应急终止后的行动</w:t>
      </w:r>
      <w:bookmarkEnd w:id="448"/>
      <w:bookmarkEnd w:id="449"/>
      <w:bookmarkEnd w:id="450"/>
      <w:bookmarkEnd w:id="451"/>
    </w:p>
    <w:p>
      <w:pPr>
        <w:ind w:firstLine="480"/>
      </w:pPr>
      <w:r>
        <w:t>1</w:t>
      </w:r>
      <w:r>
        <w:rPr>
          <w:rFonts w:hint="eastAsia" w:cs="宋体"/>
        </w:rPr>
        <w:t>．通知本单位相关部门、周边企业（或事业）单位、社区、社会关注区及人员事件危险已解除。</w:t>
      </w:r>
    </w:p>
    <w:p>
      <w:pPr>
        <w:ind w:firstLine="480"/>
      </w:pPr>
      <w:r>
        <w:t>2.</w:t>
      </w:r>
      <w:r>
        <w:rPr>
          <w:rFonts w:hint="eastAsia" w:cs="宋体"/>
        </w:rPr>
        <w:t>对现场暴露的工作人员、应急行动人员和受污染设备进行清洁净化。</w:t>
      </w:r>
    </w:p>
    <w:p>
      <w:pPr>
        <w:ind w:firstLine="480"/>
      </w:pPr>
      <w:r>
        <w:t>3.</w:t>
      </w:r>
      <w:r>
        <w:rPr>
          <w:rFonts w:hint="eastAsia" w:cs="宋体"/>
        </w:rPr>
        <w:t>应急指挥组配合有关部门查找事件原因，防止类似问题重复出现。</w:t>
      </w:r>
    </w:p>
    <w:p>
      <w:pPr>
        <w:ind w:firstLine="480"/>
      </w:pPr>
      <w:r>
        <w:t>4.</w:t>
      </w:r>
      <w:r>
        <w:rPr>
          <w:rFonts w:hint="eastAsia" w:cs="宋体"/>
        </w:rPr>
        <w:t>编制突发环境事件总结报告，于应急终止后上报。</w:t>
      </w:r>
    </w:p>
    <w:p>
      <w:pPr>
        <w:ind w:firstLine="464"/>
        <w:rPr>
          <w:spacing w:val="-4"/>
        </w:rPr>
      </w:pPr>
      <w:r>
        <w:rPr>
          <w:spacing w:val="-4"/>
        </w:rPr>
        <w:t>5.</w:t>
      </w:r>
      <w:r>
        <w:rPr>
          <w:rFonts w:hint="eastAsia" w:cs="宋体"/>
          <w:spacing w:val="-4"/>
        </w:rPr>
        <w:t>根据环境事件的类别，由相关专业主管部门组织对环境应急预案进行评估，并及时修订。</w:t>
      </w:r>
    </w:p>
    <w:p>
      <w:pPr>
        <w:ind w:firstLine="480"/>
      </w:pPr>
      <w:r>
        <w:t>6.</w:t>
      </w:r>
      <w:r>
        <w:rPr>
          <w:rFonts w:hint="eastAsia" w:cs="宋体"/>
        </w:rPr>
        <w:t>参加应急行动的部门分别组织、指导环境应急救援队伍维护、保养应急仪器设备，使之始终保持良好的技术状态。</w:t>
      </w:r>
    </w:p>
    <w:p>
      <w:pPr>
        <w:ind w:firstLine="480"/>
      </w:pPr>
      <w:r>
        <w:t>7.</w:t>
      </w:r>
      <w:r>
        <w:rPr>
          <w:rFonts w:hint="eastAsia" w:cs="宋体"/>
        </w:rPr>
        <w:t>对于由于本公司的环境事件而造成周边人员伤害的，统计伤害程度及范围，对其进行适当经济补偿。</w:t>
      </w:r>
    </w:p>
    <w:p>
      <w:pPr>
        <w:ind w:firstLine="480"/>
      </w:pPr>
      <w:r>
        <w:t>8.</w:t>
      </w:r>
      <w:r>
        <w:rPr>
          <w:rFonts w:hint="eastAsia" w:cs="宋体"/>
        </w:rPr>
        <w:t>根据事件调查结果，对公司现有的防范措施与应急预案做出评价，指出其有效性和不足之处，提出整改意见。</w:t>
      </w:r>
    </w:p>
    <w:p>
      <w:pPr>
        <w:ind w:firstLine="480"/>
        <w:rPr>
          <w:rFonts w:cs="宋体"/>
        </w:rPr>
      </w:pPr>
      <w:r>
        <w:t>9.</w:t>
      </w:r>
      <w:r>
        <w:rPr>
          <w:rFonts w:hint="eastAsia" w:cs="宋体"/>
        </w:rPr>
        <w:t>做出污染危害评估报告，设置应急事件专门记录人员，建立档案和专门报告制度，设专门部门负责管理，并上报当地政府。</w:t>
      </w: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p>
      <w:pPr>
        <w:pStyle w:val="2"/>
        <w:rPr>
          <w:color w:val="auto"/>
        </w:rPr>
      </w:pPr>
    </w:p>
    <w:bookmarkEnd w:id="143"/>
    <w:bookmarkEnd w:id="144"/>
    <w:bookmarkEnd w:id="145"/>
    <w:p>
      <w:pPr>
        <w:pStyle w:val="4"/>
        <w:adjustRightInd w:val="0"/>
        <w:snapToGrid w:val="0"/>
        <w:rPr>
          <w:kern w:val="21"/>
        </w:rPr>
      </w:pPr>
      <w:bookmarkStart w:id="452" w:name="_Toc20331"/>
      <w:bookmarkStart w:id="453" w:name="_Toc25685"/>
      <w:bookmarkStart w:id="454" w:name="_Toc6756"/>
      <w:bookmarkStart w:id="455" w:name="_Toc342395919"/>
      <w:bookmarkStart w:id="456" w:name="_Toc350376346"/>
      <w:bookmarkStart w:id="457" w:name="_Toc12635"/>
      <w:r>
        <w:rPr>
          <w:rFonts w:hint="eastAsia"/>
          <w:kern w:val="21"/>
        </w:rPr>
        <w:t>6、信息公开</w:t>
      </w:r>
      <w:bookmarkEnd w:id="452"/>
      <w:bookmarkEnd w:id="453"/>
      <w:bookmarkEnd w:id="454"/>
    </w:p>
    <w:p>
      <w:pPr>
        <w:ind w:firstLine="480"/>
      </w:pPr>
      <w:r>
        <w:rPr>
          <w:rFonts w:hint="eastAsia"/>
        </w:rPr>
        <w:t>突发环境事件发生后，企业编辑相关事故报告，此报告交由上级管理部门和上级安监部门，由管理部门和安监部门在官方网站和安监官方网站进行信息公开。</w:t>
      </w:r>
    </w:p>
    <w:p>
      <w:pPr>
        <w:pStyle w:val="4"/>
        <w:adjustRightInd w:val="0"/>
        <w:snapToGrid w:val="0"/>
        <w:rPr>
          <w:kern w:val="21"/>
        </w:rPr>
      </w:pPr>
      <w:r>
        <w:rPr>
          <w:kern w:val="21"/>
        </w:rPr>
        <w:t>7、后期处置</w:t>
      </w:r>
      <w:bookmarkEnd w:id="455"/>
      <w:bookmarkEnd w:id="456"/>
      <w:bookmarkEnd w:id="457"/>
    </w:p>
    <w:p>
      <w:pPr>
        <w:pStyle w:val="5"/>
        <w:adjustRightInd w:val="0"/>
        <w:spacing w:line="360" w:lineRule="auto"/>
        <w:rPr>
          <w:kern w:val="21"/>
        </w:rPr>
      </w:pPr>
      <w:bookmarkStart w:id="458" w:name="_Toc31189"/>
      <w:bookmarkStart w:id="459" w:name="_Toc32468"/>
      <w:bookmarkStart w:id="460" w:name="_Toc24872"/>
      <w:bookmarkStart w:id="461" w:name="_Toc17994"/>
      <w:bookmarkStart w:id="462" w:name="_Toc21574"/>
      <w:bookmarkStart w:id="463" w:name="_Toc6542"/>
      <w:bookmarkStart w:id="464" w:name="_Toc30620"/>
      <w:bookmarkStart w:id="465" w:name="_Toc29177"/>
      <w:bookmarkStart w:id="466" w:name="_Toc10204"/>
      <w:bookmarkStart w:id="467" w:name="_Toc26772"/>
      <w:bookmarkStart w:id="468" w:name="_Toc21325"/>
      <w:bookmarkStart w:id="469" w:name="_Toc11316"/>
      <w:bookmarkStart w:id="470" w:name="_Toc31379"/>
      <w:bookmarkStart w:id="471" w:name="_Toc32066"/>
      <w:r>
        <w:rPr>
          <w:rFonts w:hint="eastAsia"/>
        </w:rPr>
        <w:t>7</w:t>
      </w:r>
      <w:r>
        <w:t>.1</w:t>
      </w:r>
      <w:r>
        <w:rPr>
          <w:rFonts w:hint="eastAsia"/>
        </w:rPr>
        <w:t>善后处置</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p>
    <w:p>
      <w:pPr>
        <w:ind w:firstLine="480"/>
        <w:rPr>
          <w:kern w:val="0"/>
        </w:rPr>
      </w:pPr>
      <w:r>
        <w:rPr>
          <w:rFonts w:hint="eastAsia" w:cs="宋体"/>
          <w:kern w:val="0"/>
        </w:rPr>
        <w:t>财产损失由财务部进行统计，事故发生部门做好配合工作。发生人员伤亡的，由公司组织人员对受伤人员及家属进行安抚，商谈救治期间的费用问题。</w:t>
      </w:r>
    </w:p>
    <w:p>
      <w:pPr>
        <w:ind w:firstLine="480"/>
        <w:rPr>
          <w:kern w:val="0"/>
        </w:rPr>
      </w:pPr>
      <w:r>
        <w:rPr>
          <w:rFonts w:hint="eastAsia" w:cs="宋体"/>
          <w:kern w:val="0"/>
        </w:rPr>
        <w:t>后勤组负责灾后保险理赔工作。安全管理人员准备工伤认定材料，按照工伤上报程序进行上报。</w:t>
      </w:r>
    </w:p>
    <w:p>
      <w:pPr>
        <w:ind w:firstLine="480"/>
        <w:rPr>
          <w:kern w:val="0"/>
        </w:rPr>
      </w:pPr>
      <w:r>
        <w:rPr>
          <w:rFonts w:hint="eastAsia" w:cs="宋体"/>
          <w:kern w:val="0"/>
        </w:rPr>
        <w:t>上级主管部门或地方政府指导公司做好善后处置工作，包括伤亡救援人员、遇难人员补偿、亲属安置；受灾人员的安置；征用物资补偿，救援费用支付，灾后重建等事项。</w:t>
      </w:r>
    </w:p>
    <w:p>
      <w:pPr>
        <w:ind w:firstLine="480"/>
      </w:pPr>
      <w:r>
        <w:rPr>
          <w:rFonts w:hint="eastAsia" w:cs="宋体"/>
          <w:kern w:val="0"/>
        </w:rPr>
        <w:t>组织专家对突发环境事件中长期环境影响进行评估，对于事</w:t>
      </w:r>
      <w:r>
        <w:rPr>
          <w:rFonts w:hint="eastAsia" w:cs="宋体"/>
        </w:rPr>
        <w:t>故造成的环境影响，公司跟踪监测，持续积极采取相应处理措施尽量减少事故对环境造成的影响</w:t>
      </w:r>
      <w:r>
        <w:rPr>
          <w:rFonts w:hint="eastAsia" w:eastAsia="仿宋_GB2312" w:cs="仿宋_GB2312"/>
          <w:kern w:val="0"/>
        </w:rPr>
        <w:t>。</w:t>
      </w:r>
    </w:p>
    <w:p>
      <w:pPr>
        <w:pStyle w:val="5"/>
        <w:adjustRightInd w:val="0"/>
        <w:spacing w:line="360" w:lineRule="auto"/>
      </w:pPr>
      <w:bookmarkStart w:id="472" w:name="_Toc12804"/>
      <w:bookmarkStart w:id="473" w:name="_Toc28034"/>
      <w:bookmarkStart w:id="474" w:name="_Toc4885"/>
      <w:bookmarkStart w:id="475" w:name="_Toc18223"/>
      <w:bookmarkStart w:id="476" w:name="_Toc19673"/>
      <w:bookmarkStart w:id="477" w:name="_Toc4746"/>
      <w:bookmarkStart w:id="478" w:name="_Toc18842"/>
      <w:bookmarkStart w:id="479" w:name="_Toc7458"/>
      <w:bookmarkStart w:id="480" w:name="_Toc32354"/>
      <w:bookmarkStart w:id="481" w:name="_Toc8413"/>
      <w:bookmarkStart w:id="482" w:name="_Toc10525"/>
      <w:bookmarkStart w:id="483" w:name="_Toc19638"/>
      <w:bookmarkStart w:id="484" w:name="_Toc19052"/>
      <w:bookmarkStart w:id="485" w:name="_Toc8501"/>
      <w:r>
        <w:rPr>
          <w:rFonts w:hint="eastAsia"/>
        </w:rPr>
        <w:t>7</w:t>
      </w:r>
      <w:r>
        <w:t>.2</w:t>
      </w:r>
      <w:r>
        <w:rPr>
          <w:rFonts w:hint="eastAsia"/>
        </w:rPr>
        <w:t>现场保护</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p>
    <w:p>
      <w:pPr>
        <w:ind w:firstLine="480"/>
        <w:rPr>
          <w:kern w:val="0"/>
        </w:rPr>
      </w:pPr>
      <w:r>
        <w:rPr>
          <w:rFonts w:hint="eastAsia" w:cs="宋体"/>
          <w:kern w:val="0"/>
        </w:rPr>
        <w:t>突发事件发生后，现场救援的同时必须保护好事故现场保护工作，迅速采取必要措施，抢救人员和财产。因抢救伤员、防止事故扩大以及疏通交通等原因需要移动现场物件时，应当尽可能做出标志、拍照、详细记录和绘制事故现场图，妥善保存现场重要痕迹、物证等。</w:t>
      </w:r>
    </w:p>
    <w:p>
      <w:pPr>
        <w:ind w:firstLine="480"/>
      </w:pPr>
      <w:r>
        <w:rPr>
          <w:rFonts w:hint="eastAsia" w:cs="宋体"/>
          <w:kern w:val="0"/>
        </w:rPr>
        <w:t>抢险组人</w:t>
      </w:r>
      <w:r>
        <w:rPr>
          <w:rFonts w:hint="eastAsia" w:cs="宋体"/>
        </w:rPr>
        <w:t>员到达现场后，采取的措施也不同。一般情况下，</w:t>
      </w:r>
      <w:r>
        <w:rPr>
          <w:rFonts w:hint="eastAsia" w:cs="宋体"/>
          <w:kern w:val="0"/>
        </w:rPr>
        <w:t>抢险组人</w:t>
      </w:r>
      <w:r>
        <w:rPr>
          <w:rFonts w:hint="eastAsia" w:cs="宋体"/>
        </w:rPr>
        <w:t>员了解现场事故情况后要立即与应急指挥部取得联系，并根据事故的情节和现场态势，采取相应措施：</w:t>
      </w:r>
    </w:p>
    <w:p>
      <w:pPr>
        <w:ind w:firstLine="480"/>
        <w:rPr>
          <w:shd w:val="clear" w:color="auto" w:fill="FFFFFF"/>
        </w:rPr>
      </w:pPr>
      <w:r>
        <w:rPr>
          <w:shd w:val="clear" w:color="auto" w:fill="FFFFFF"/>
        </w:rPr>
        <w:t>1</w:t>
      </w:r>
      <w:r>
        <w:rPr>
          <w:rFonts w:hint="eastAsia" w:cs="宋体"/>
          <w:shd w:val="clear" w:color="auto" w:fill="FFFFFF"/>
        </w:rPr>
        <w:t>、划定好火场的保护范围，禁止无关人员进入火场，防止有关痕迹被破坏。</w:t>
      </w:r>
    </w:p>
    <w:p>
      <w:pPr>
        <w:ind w:firstLine="480"/>
      </w:pPr>
      <w:r>
        <w:rPr>
          <w:shd w:val="clear" w:color="auto" w:fill="FFFFFF"/>
        </w:rPr>
        <w:t>2</w:t>
      </w:r>
      <w:r>
        <w:rPr>
          <w:rFonts w:hint="eastAsia" w:cs="宋体"/>
          <w:shd w:val="clear" w:color="auto" w:fill="FFFFFF"/>
        </w:rPr>
        <w:t>、在抢救人员、物资，灭火排险等救险工作中，应力求做到使原始现场少受破坏，变动的范围越小越好，若有必要变动物品位置时，要记清变更前后的准确特征，并如实及时向事故调查人员反映。</w:t>
      </w:r>
    </w:p>
    <w:p>
      <w:pPr>
        <w:ind w:firstLine="480"/>
        <w:rPr>
          <w:shd w:val="clear" w:color="auto" w:fill="FFFFFF"/>
        </w:rPr>
      </w:pPr>
      <w:r>
        <w:rPr>
          <w:shd w:val="clear" w:color="auto" w:fill="FFFFFF"/>
        </w:rPr>
        <w:t>3</w:t>
      </w:r>
      <w:r>
        <w:rPr>
          <w:rFonts w:hint="eastAsia" w:cs="宋体"/>
          <w:shd w:val="clear" w:color="auto" w:fill="FFFFFF"/>
        </w:rPr>
        <w:t>、撤消现场保护、清扫火灾现场，必须征得总指挥的同意。</w:t>
      </w:r>
    </w:p>
    <w:p>
      <w:pPr>
        <w:ind w:firstLine="480"/>
        <w:rPr>
          <w:shd w:val="clear" w:color="auto" w:fill="FFFFFF"/>
        </w:rPr>
      </w:pPr>
      <w:r>
        <w:rPr>
          <w:rFonts w:hint="eastAsia" w:cs="宋体"/>
          <w:kern w:val="0"/>
        </w:rPr>
        <w:t>在现场救援的同时尽可能保护好生产设备和贵重物品，维护现场秩序，做好事故现场保护工作，上报公司应急救援中心事故有关材料，做好善后处理工作。</w:t>
      </w:r>
    </w:p>
    <w:p>
      <w:pPr>
        <w:pStyle w:val="5"/>
        <w:adjustRightInd w:val="0"/>
        <w:spacing w:line="360" w:lineRule="auto"/>
      </w:pPr>
      <w:bookmarkStart w:id="486" w:name="_Toc8916"/>
      <w:bookmarkStart w:id="487" w:name="_Toc3306"/>
      <w:bookmarkStart w:id="488" w:name="_Toc16014"/>
      <w:bookmarkStart w:id="489" w:name="_Toc25673"/>
      <w:bookmarkStart w:id="490" w:name="_Toc32169"/>
      <w:bookmarkStart w:id="491" w:name="_Toc2430"/>
      <w:bookmarkStart w:id="492" w:name="_Toc9649"/>
      <w:bookmarkStart w:id="493" w:name="_Toc18340"/>
      <w:bookmarkStart w:id="494" w:name="_Toc30928"/>
      <w:bookmarkStart w:id="495" w:name="_Toc17984"/>
      <w:bookmarkStart w:id="496" w:name="_Toc24620"/>
      <w:bookmarkStart w:id="497" w:name="_Toc32210"/>
      <w:bookmarkStart w:id="498" w:name="_Toc25573"/>
      <w:bookmarkStart w:id="499" w:name="_Toc2369"/>
      <w:r>
        <w:rPr>
          <w:rFonts w:hint="eastAsia"/>
        </w:rPr>
        <w:t>7</w:t>
      </w:r>
      <w:r>
        <w:t>.3</w:t>
      </w:r>
      <w:r>
        <w:rPr>
          <w:rFonts w:hint="eastAsia"/>
        </w:rPr>
        <w:t>现场净化方法</w:t>
      </w:r>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pPr>
        <w:ind w:firstLine="480"/>
        <w:rPr>
          <w:kern w:val="0"/>
        </w:rPr>
      </w:pPr>
      <w:r>
        <w:rPr>
          <w:rFonts w:hint="eastAsia" w:cs="宋体"/>
          <w:kern w:val="0"/>
        </w:rPr>
        <w:t>根据污染物质的类型与事件造成的影响程度提出相应的清洁净化和恢复方法。</w:t>
      </w:r>
    </w:p>
    <w:p>
      <w:pPr>
        <w:ind w:firstLine="480"/>
        <w:rPr>
          <w:kern w:val="0"/>
        </w:rPr>
      </w:pPr>
      <w:r>
        <w:rPr>
          <w:rFonts w:hint="eastAsia" w:cs="宋体"/>
          <w:kern w:val="0"/>
        </w:rPr>
        <w:t>清洁净化和恢复的方法通常有以下几种：</w:t>
      </w:r>
    </w:p>
    <w:p>
      <w:pPr>
        <w:ind w:firstLine="480"/>
        <w:rPr>
          <w:kern w:val="0"/>
        </w:rPr>
      </w:pPr>
      <w:bookmarkStart w:id="500" w:name="_Toc30276"/>
      <w:bookmarkStart w:id="501" w:name="_Toc13011"/>
      <w:bookmarkStart w:id="502" w:name="_Toc10144"/>
      <w:bookmarkStart w:id="503" w:name="_Toc29399"/>
      <w:bookmarkStart w:id="504" w:name="_Toc16239"/>
      <w:bookmarkStart w:id="505" w:name="_Toc22495"/>
      <w:bookmarkStart w:id="506" w:name="_Toc4311"/>
      <w:bookmarkStart w:id="507" w:name="_Toc9392"/>
      <w:bookmarkStart w:id="508" w:name="_Toc11471"/>
      <w:bookmarkStart w:id="509" w:name="_Toc19758"/>
      <w:bookmarkStart w:id="510" w:name="_Toc8217"/>
      <w:r>
        <w:rPr>
          <w:rFonts w:hint="eastAsia" w:cs="宋体"/>
          <w:kern w:val="0"/>
        </w:rPr>
        <w:t>（</w:t>
      </w:r>
      <w:r>
        <w:rPr>
          <w:kern w:val="0"/>
        </w:rPr>
        <w:t>1</w:t>
      </w:r>
      <w:r>
        <w:rPr>
          <w:rFonts w:hint="eastAsia" w:cs="宋体"/>
          <w:kern w:val="0"/>
        </w:rPr>
        <w:t>）稀释：用水、清洁剂、清洗液和稀释现场和环境中的污染物料。</w:t>
      </w:r>
    </w:p>
    <w:p>
      <w:pPr>
        <w:ind w:firstLine="480"/>
        <w:rPr>
          <w:kern w:val="0"/>
        </w:rPr>
      </w:pPr>
      <w:r>
        <w:rPr>
          <w:rFonts w:hint="eastAsia" w:cs="宋体"/>
          <w:kern w:val="0"/>
        </w:rPr>
        <w:t>（</w:t>
      </w:r>
      <w:r>
        <w:rPr>
          <w:kern w:val="0"/>
        </w:rPr>
        <w:t>2</w:t>
      </w:r>
      <w:r>
        <w:rPr>
          <w:rFonts w:hint="eastAsia" w:cs="宋体"/>
          <w:kern w:val="0"/>
        </w:rPr>
        <w:t>）处理：对应急行动工作人员使用过的衣服、工具、设备进行处理。当应急人员从受污染区撤出时，他们的衣物或其他物品应集中储藏，作为危险废物处理。</w:t>
      </w:r>
    </w:p>
    <w:p>
      <w:pPr>
        <w:ind w:firstLine="480"/>
        <w:rPr>
          <w:kern w:val="0"/>
        </w:rPr>
      </w:pPr>
      <w:r>
        <w:rPr>
          <w:rFonts w:hint="eastAsia" w:cs="宋体"/>
          <w:kern w:val="0"/>
        </w:rPr>
        <w:t>（</w:t>
      </w:r>
      <w:r>
        <w:rPr>
          <w:kern w:val="0"/>
        </w:rPr>
        <w:t>3</w:t>
      </w:r>
      <w:r>
        <w:rPr>
          <w:rFonts w:hint="eastAsia" w:cs="宋体"/>
          <w:kern w:val="0"/>
        </w:rPr>
        <w:t>）物理的去除：使用刷子或吸尘器除去一些颗粒性污染物。</w:t>
      </w:r>
    </w:p>
    <w:p>
      <w:pPr>
        <w:ind w:firstLine="480"/>
        <w:rPr>
          <w:kern w:val="0"/>
        </w:rPr>
      </w:pPr>
      <w:r>
        <w:rPr>
          <w:rFonts w:hint="eastAsia" w:cs="宋体"/>
          <w:kern w:val="0"/>
        </w:rPr>
        <w:t>（</w:t>
      </w:r>
      <w:r>
        <w:rPr>
          <w:kern w:val="0"/>
        </w:rPr>
        <w:t>4</w:t>
      </w:r>
      <w:r>
        <w:rPr>
          <w:rFonts w:hint="eastAsia" w:cs="宋体"/>
          <w:kern w:val="0"/>
        </w:rPr>
        <w:t>）中和：中和一般不直接用于人体，一般可用苏打粉、碳酸氢钠、醋、漂白剂等用于衣服、设备和受污染环境的清洗。</w:t>
      </w:r>
    </w:p>
    <w:p>
      <w:pPr>
        <w:ind w:firstLine="480"/>
        <w:rPr>
          <w:kern w:val="0"/>
        </w:rPr>
      </w:pPr>
      <w:r>
        <w:rPr>
          <w:rFonts w:hint="eastAsia" w:cs="宋体"/>
          <w:kern w:val="0"/>
        </w:rPr>
        <w:t>（</w:t>
      </w:r>
      <w:r>
        <w:rPr>
          <w:kern w:val="0"/>
        </w:rPr>
        <w:t>5</w:t>
      </w:r>
      <w:r>
        <w:rPr>
          <w:rFonts w:hint="eastAsia" w:cs="宋体"/>
          <w:kern w:val="0"/>
        </w:rPr>
        <w:t>）吸附：可用吸附剂吸收污染物，但吸附剂使用后要回收，处理。</w:t>
      </w:r>
    </w:p>
    <w:p>
      <w:pPr>
        <w:ind w:firstLine="480"/>
        <w:rPr>
          <w:rFonts w:cs="宋体"/>
        </w:rPr>
      </w:pPr>
      <w:r>
        <w:rPr>
          <w:rFonts w:hint="eastAsia" w:cs="宋体"/>
          <w:kern w:val="0"/>
        </w:rPr>
        <w:t>（</w:t>
      </w:r>
      <w:r>
        <w:rPr>
          <w:kern w:val="0"/>
        </w:rPr>
        <w:t>6</w:t>
      </w:r>
      <w:r>
        <w:rPr>
          <w:rFonts w:hint="eastAsia" w:cs="宋体"/>
          <w:kern w:val="0"/>
        </w:rPr>
        <w:t>）隔离：隔离需要全部隔离或把现场和受污染环境全部围起来以免污染扩散，污染物质要待以后处理</w:t>
      </w:r>
      <w:r>
        <w:rPr>
          <w:rFonts w:hint="eastAsia" w:cs="宋体"/>
        </w:rPr>
        <w:t>。</w:t>
      </w:r>
    </w:p>
    <w:p>
      <w:pPr>
        <w:ind w:firstLine="480"/>
        <w:rPr>
          <w:rFonts w:cs="宋体"/>
          <w:kern w:val="0"/>
        </w:rPr>
      </w:pPr>
      <w:r>
        <w:rPr>
          <w:rFonts w:hint="eastAsia" w:cs="宋体"/>
          <w:kern w:val="0"/>
        </w:rPr>
        <w:t>（7）清洗废水收集桶装、应急行动人员使用的衣服或其他物品集中收集、吸附污染物的吸附剂收集、以及现场受污染物质统一收集一并暂存危废库，交由危废处置单位统一处置。</w:t>
      </w:r>
    </w:p>
    <w:p>
      <w:pPr>
        <w:pStyle w:val="5"/>
        <w:adjustRightInd w:val="0"/>
        <w:spacing w:line="360" w:lineRule="auto"/>
      </w:pPr>
      <w:bookmarkStart w:id="511" w:name="_Toc11921"/>
      <w:bookmarkStart w:id="512" w:name="_Toc21847"/>
      <w:bookmarkStart w:id="513" w:name="_Toc16541"/>
      <w:r>
        <w:rPr>
          <w:rFonts w:hint="eastAsia"/>
        </w:rPr>
        <w:t>7</w:t>
      </w:r>
      <w:r>
        <w:t>.4</w:t>
      </w:r>
      <w:r>
        <w:rPr>
          <w:rFonts w:hint="eastAsia"/>
        </w:rPr>
        <w:t>事故后生态恢复措施</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pPr>
        <w:ind w:firstLine="480"/>
        <w:rPr>
          <w:kern w:val="0"/>
        </w:rPr>
      </w:pPr>
      <w:r>
        <w:rPr>
          <w:rFonts w:hint="eastAsia" w:cs="宋体"/>
          <w:kern w:val="0"/>
        </w:rPr>
        <w:t>对泄漏或水污染事故造成的地表植被破坏，组织进行植被恢复或采取绿化措施进行生态恢复。</w:t>
      </w:r>
    </w:p>
    <w:p>
      <w:pPr>
        <w:ind w:firstLine="480"/>
        <w:rPr>
          <w:kern w:val="0"/>
        </w:rPr>
      </w:pPr>
      <w:r>
        <w:rPr>
          <w:rFonts w:hint="eastAsia" w:cs="宋体"/>
          <w:kern w:val="0"/>
        </w:rPr>
        <w:t>对于水污染事故造成的信江生态破坏，应进行跟踪监测，监视水生生态恢复情况，并降低污染强度，促进生态恢复。</w:t>
      </w:r>
    </w:p>
    <w:p>
      <w:pPr>
        <w:pStyle w:val="5"/>
        <w:adjustRightInd w:val="0"/>
        <w:spacing w:line="360" w:lineRule="auto"/>
      </w:pPr>
      <w:bookmarkStart w:id="514" w:name="_Toc23864"/>
      <w:bookmarkStart w:id="515" w:name="_Toc18857"/>
      <w:bookmarkStart w:id="516" w:name="_Toc21525"/>
      <w:bookmarkStart w:id="517" w:name="_Toc23560"/>
      <w:bookmarkStart w:id="518" w:name="_Toc4291"/>
      <w:bookmarkStart w:id="519" w:name="_Toc603"/>
      <w:bookmarkStart w:id="520" w:name="_Toc6489"/>
      <w:bookmarkStart w:id="521" w:name="_Toc10071"/>
      <w:bookmarkStart w:id="522" w:name="_Toc29079"/>
      <w:bookmarkStart w:id="523" w:name="_Toc29792"/>
      <w:bookmarkStart w:id="524" w:name="_Toc7157"/>
      <w:bookmarkStart w:id="525" w:name="_Toc29844"/>
      <w:bookmarkStart w:id="526" w:name="_Toc6433"/>
      <w:bookmarkStart w:id="527" w:name="_Toc30472"/>
      <w:r>
        <w:rPr>
          <w:rFonts w:hint="eastAsia"/>
        </w:rPr>
        <w:t>7</w:t>
      </w:r>
      <w:r>
        <w:t>.5</w:t>
      </w:r>
      <w:r>
        <w:rPr>
          <w:rFonts w:hint="eastAsia"/>
        </w:rPr>
        <w:t>生产恢复</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pPr>
        <w:ind w:firstLine="480"/>
      </w:pPr>
      <w:r>
        <w:rPr>
          <w:rFonts w:hint="eastAsia" w:ascii="宋体" w:cs="宋体"/>
        </w:rPr>
        <w:t>三</w:t>
      </w:r>
      <w:r>
        <w:rPr>
          <w:rFonts w:hint="eastAsia" w:cs="宋体"/>
        </w:rPr>
        <w:t>级响应后的生产恢复工作由事故发生部门主导完成，</w:t>
      </w:r>
      <w:r>
        <w:rPr>
          <w:rFonts w:hint="eastAsia" w:ascii="宋体" w:cs="宋体"/>
        </w:rPr>
        <w:t>一</w:t>
      </w:r>
      <w:r>
        <w:rPr>
          <w:rFonts w:hint="eastAsia" w:cs="宋体"/>
        </w:rPr>
        <w:t>级和</w:t>
      </w:r>
      <w:r>
        <w:rPr>
          <w:rFonts w:hint="eastAsia" w:ascii="宋体" w:cs="宋体"/>
        </w:rPr>
        <w:t>二</w:t>
      </w:r>
      <w:r>
        <w:rPr>
          <w:rFonts w:hint="eastAsia" w:cs="宋体"/>
        </w:rPr>
        <w:t>级响应后的事故现场清理工作由公司总指挥主导完成。主要完成以下工作，方可恢复生产。</w:t>
      </w:r>
    </w:p>
    <w:p>
      <w:pPr>
        <w:ind w:firstLine="480"/>
      </w:pPr>
      <w:r>
        <w:rPr>
          <w:rFonts w:hint="eastAsia" w:cs="宋体"/>
        </w:rPr>
        <w:t>（</w:t>
      </w:r>
      <w:r>
        <w:t>1</w:t>
      </w:r>
      <w:r>
        <w:rPr>
          <w:rFonts w:hint="eastAsia" w:cs="宋体"/>
        </w:rPr>
        <w:t>）转移、处理、贮存或以合适方式处置废弃材料。</w:t>
      </w:r>
    </w:p>
    <w:p>
      <w:pPr>
        <w:ind w:firstLine="480"/>
      </w:pPr>
      <w:r>
        <w:rPr>
          <w:rFonts w:hint="eastAsia" w:cs="宋体"/>
        </w:rPr>
        <w:t>（</w:t>
      </w:r>
      <w:r>
        <w:t>2</w:t>
      </w:r>
      <w:r>
        <w:rPr>
          <w:rFonts w:hint="eastAsia" w:cs="宋体"/>
        </w:rPr>
        <w:t>）应急设备设施器材的消除污染、维护、更新等工作，足以应对下次紧急状态。</w:t>
      </w:r>
    </w:p>
    <w:p>
      <w:pPr>
        <w:ind w:firstLine="480"/>
      </w:pPr>
      <w:r>
        <w:rPr>
          <w:rFonts w:hint="eastAsia" w:cs="宋体"/>
        </w:rPr>
        <w:t>（</w:t>
      </w:r>
      <w:r>
        <w:t>3</w:t>
      </w:r>
      <w:r>
        <w:rPr>
          <w:rFonts w:hint="eastAsia" w:cs="宋体"/>
        </w:rPr>
        <w:t>）维修或更换有关生产设备。</w:t>
      </w:r>
    </w:p>
    <w:p>
      <w:pPr>
        <w:ind w:firstLine="480"/>
        <w:sectPr>
          <w:headerReference r:id="rId15" w:type="default"/>
          <w:footerReference r:id="rId16" w:type="default"/>
          <w:pgSz w:w="11906" w:h="16838"/>
          <w:pgMar w:top="1134" w:right="1134" w:bottom="1134" w:left="1247" w:header="851" w:footer="992" w:gutter="0"/>
          <w:cols w:space="720" w:num="1"/>
          <w:docGrid w:type="lines" w:linePitch="326" w:charSpace="0"/>
        </w:sectPr>
      </w:pPr>
      <w:r>
        <w:rPr>
          <w:rFonts w:hint="eastAsia" w:cs="宋体"/>
        </w:rPr>
        <w:t>（</w:t>
      </w:r>
      <w:r>
        <w:t>4</w:t>
      </w:r>
      <w:r>
        <w:rPr>
          <w:rFonts w:hint="eastAsia" w:cs="宋体"/>
        </w:rPr>
        <w:t>）清理或修复污染场地。</w:t>
      </w:r>
    </w:p>
    <w:p>
      <w:pPr>
        <w:pStyle w:val="4"/>
        <w:adjustRightInd w:val="0"/>
        <w:snapToGrid w:val="0"/>
        <w:rPr>
          <w:kern w:val="21"/>
        </w:rPr>
      </w:pPr>
      <w:bookmarkStart w:id="528" w:name="_Toc13982"/>
      <w:r>
        <w:rPr>
          <w:kern w:val="21"/>
        </w:rPr>
        <w:t>8、</w:t>
      </w:r>
      <w:bookmarkEnd w:id="528"/>
      <w:r>
        <w:rPr>
          <w:rFonts w:hint="eastAsia"/>
          <w:kern w:val="21"/>
        </w:rPr>
        <w:t>应急保障措施</w:t>
      </w:r>
    </w:p>
    <w:p>
      <w:pPr>
        <w:adjustRightInd w:val="0"/>
        <w:snapToGrid w:val="0"/>
        <w:ind w:firstLine="480"/>
        <w:rPr>
          <w:rFonts w:ascii="Times New Roman" w:hAnsi="Times New Roman"/>
          <w:kern w:val="21"/>
        </w:rPr>
      </w:pPr>
      <w:r>
        <w:rPr>
          <w:rFonts w:ascii="Times New Roman" w:hAnsi="Times New Roman"/>
          <w:kern w:val="21"/>
        </w:rPr>
        <w:t>应急抢险必须要有一定的资金、物资、人员、通讯顺畅等方方面面的保障。保障措施到位是抢险救援快速准确实现的基本条件。本企业的应急保障措施主要有：通讯与信息保障、资金保障、人力资源及技术保障和物资装备保障等四个方面。</w:t>
      </w:r>
    </w:p>
    <w:p>
      <w:pPr>
        <w:pStyle w:val="5"/>
        <w:adjustRightInd w:val="0"/>
        <w:spacing w:line="360" w:lineRule="auto"/>
        <w:rPr>
          <w:kern w:val="21"/>
        </w:rPr>
      </w:pPr>
      <w:bookmarkStart w:id="529" w:name="_Toc6178"/>
      <w:bookmarkStart w:id="530" w:name="_Toc393979468"/>
      <w:bookmarkStart w:id="531" w:name="_Toc400699387"/>
      <w:r>
        <w:rPr>
          <w:kern w:val="21"/>
        </w:rPr>
        <w:t>8.1 通讯与信息保障</w:t>
      </w:r>
      <w:bookmarkEnd w:id="529"/>
      <w:bookmarkEnd w:id="530"/>
      <w:bookmarkEnd w:id="531"/>
    </w:p>
    <w:p>
      <w:pPr>
        <w:adjustRightInd w:val="0"/>
        <w:snapToGrid w:val="0"/>
        <w:ind w:firstLine="480"/>
        <w:rPr>
          <w:rFonts w:ascii="Times New Roman" w:hAnsi="Times New Roman"/>
          <w:kern w:val="21"/>
        </w:rPr>
      </w:pPr>
      <w:r>
        <w:rPr>
          <w:rFonts w:ascii="Times New Roman" w:hAnsi="Times New Roman"/>
          <w:kern w:val="21"/>
        </w:rPr>
        <w:t>信息的及时传递对应急抢险顺利进行是非常必要的，因此，企业必须做好通信与信息的保障工作。</w:t>
      </w:r>
    </w:p>
    <w:p>
      <w:pPr>
        <w:adjustRightInd w:val="0"/>
        <w:snapToGrid w:val="0"/>
        <w:ind w:firstLine="480"/>
        <w:rPr>
          <w:rFonts w:ascii="Times New Roman" w:hAnsi="Times New Roman"/>
          <w:kern w:val="21"/>
        </w:rPr>
      </w:pPr>
      <w:r>
        <w:rPr>
          <w:rFonts w:ascii="Times New Roman" w:hAnsi="Times New Roman"/>
          <w:kern w:val="21"/>
        </w:rPr>
        <w:t>通讯与信息保障主要由安全保卫队负责，要建立通信系统维护以及信息采集等制度，明确参与应急活动的所有部门通讯方式，分级联系方式，并提供备用方案和通讯录，配备必要的有线、无线通信器材（如手机、有线电话等），确保本预案启动时各应急部门之间的联络畅通。各应急部门主管或主要应急负责人手机必须保持24小时开机，号码如有变更，应及时通知办公室。</w:t>
      </w:r>
    </w:p>
    <w:p>
      <w:pPr>
        <w:pStyle w:val="5"/>
        <w:adjustRightInd w:val="0"/>
        <w:spacing w:line="360" w:lineRule="auto"/>
        <w:rPr>
          <w:kern w:val="21"/>
        </w:rPr>
      </w:pPr>
      <w:bookmarkStart w:id="532" w:name="_Toc393979469"/>
      <w:bookmarkStart w:id="533" w:name="_Toc400699388"/>
      <w:bookmarkStart w:id="534" w:name="_Toc2684"/>
      <w:r>
        <w:rPr>
          <w:kern w:val="21"/>
        </w:rPr>
        <w:t>8.2 资金保障</w:t>
      </w:r>
      <w:bookmarkEnd w:id="532"/>
      <w:bookmarkEnd w:id="533"/>
      <w:bookmarkEnd w:id="534"/>
    </w:p>
    <w:p>
      <w:pPr>
        <w:adjustRightInd w:val="0"/>
        <w:snapToGrid w:val="0"/>
        <w:ind w:firstLine="480"/>
        <w:rPr>
          <w:rFonts w:ascii="Times New Roman" w:hAnsi="Times New Roman"/>
          <w:kern w:val="21"/>
        </w:rPr>
      </w:pPr>
      <w:r>
        <w:rPr>
          <w:rFonts w:ascii="Times New Roman" w:hAnsi="Times New Roman"/>
          <w:kern w:val="21"/>
        </w:rPr>
        <w:t>企业应做好事故预防预警及应急救援所必须的资金储备。主要由环境应急工作领导小组负责组织储备。应急经费按《财政应急保障预案》规定纳入每年的企业预算，装备量应严格按《财政应急保障预案》比例执行，确保应急预案启动之后，能够满足现场救援所需。（包括物资以及受灾人员的妥善安置等）。</w:t>
      </w:r>
    </w:p>
    <w:p>
      <w:pPr>
        <w:pStyle w:val="5"/>
        <w:adjustRightInd w:val="0"/>
        <w:spacing w:line="360" w:lineRule="auto"/>
        <w:rPr>
          <w:kern w:val="21"/>
        </w:rPr>
      </w:pPr>
      <w:bookmarkStart w:id="535" w:name="_Toc400699389"/>
      <w:bookmarkStart w:id="536" w:name="_Toc393979470"/>
      <w:bookmarkStart w:id="537" w:name="_Toc31149"/>
      <w:r>
        <w:rPr>
          <w:kern w:val="21"/>
        </w:rPr>
        <w:t>8.3 人力资源及技术保障</w:t>
      </w:r>
      <w:bookmarkEnd w:id="535"/>
      <w:bookmarkEnd w:id="536"/>
      <w:r>
        <w:rPr>
          <w:kern w:val="21"/>
        </w:rPr>
        <w:t> </w:t>
      </w:r>
      <w:bookmarkEnd w:id="537"/>
    </w:p>
    <w:p>
      <w:pPr>
        <w:pStyle w:val="6"/>
        <w:adjustRightInd w:val="0"/>
        <w:snapToGrid w:val="0"/>
        <w:rPr>
          <w:kern w:val="21"/>
        </w:rPr>
      </w:pPr>
      <w:bookmarkStart w:id="538" w:name="_Toc30862"/>
      <w:r>
        <w:rPr>
          <w:kern w:val="21"/>
        </w:rPr>
        <w:t>8.3.1 企业内部</w:t>
      </w:r>
      <w:bookmarkEnd w:id="538"/>
    </w:p>
    <w:p>
      <w:pPr>
        <w:adjustRightInd w:val="0"/>
        <w:snapToGrid w:val="0"/>
        <w:ind w:firstLine="480"/>
        <w:rPr>
          <w:rFonts w:ascii="Times New Roman" w:hAnsi="Times New Roman"/>
          <w:kern w:val="21"/>
        </w:rPr>
      </w:pPr>
      <w:r>
        <w:rPr>
          <w:rFonts w:ascii="Times New Roman" w:hAnsi="Times New Roman"/>
          <w:kern w:val="21"/>
        </w:rPr>
        <w:t>企业要依据自身条件和可能发生的突发环境事件的类型建立应急救援专业队伍。包括：</w:t>
      </w:r>
      <w:r>
        <w:rPr>
          <w:rFonts w:ascii="Times New Roman" w:hAnsi="Times New Roman"/>
          <w:kern w:val="21"/>
          <w:szCs w:val="24"/>
          <w:lang w:val="zh-CN"/>
        </w:rPr>
        <w:t>工程抢险队、后勤救护队、运行保障队、应急监测组</w:t>
      </w:r>
      <w:r>
        <w:rPr>
          <w:rFonts w:ascii="Times New Roman" w:hAnsi="Times New Roman"/>
          <w:kern w:val="21"/>
        </w:rPr>
        <w:t>等专业救援队伍，配备先进技术装备，并明确各专业救援队伍的具体职责和任务，定期对各救援队伍进行专业培训、演习。以便在发生环境污染事故时，在指挥部的统一指挥下，快速、有序、有效地开展应急救援行动以尽快处置事故，使事故的危害降到最低。结合企业实际情况本企业设置有工程抢险队、后勤救护队、运行保障队、应急监测组等专业救援队伍，并定期开展应急演习及演练活动。</w:t>
      </w:r>
    </w:p>
    <w:p>
      <w:pPr>
        <w:pStyle w:val="6"/>
        <w:adjustRightInd w:val="0"/>
        <w:snapToGrid w:val="0"/>
        <w:rPr>
          <w:kern w:val="21"/>
        </w:rPr>
      </w:pPr>
      <w:bookmarkStart w:id="539" w:name="_Toc30969"/>
      <w:r>
        <w:rPr>
          <w:kern w:val="21"/>
        </w:rPr>
        <w:t>8.3.2 依托政府协调救援保障</w:t>
      </w:r>
      <w:bookmarkEnd w:id="539"/>
    </w:p>
    <w:p>
      <w:pPr>
        <w:adjustRightInd w:val="0"/>
        <w:snapToGrid w:val="0"/>
        <w:ind w:firstLine="480"/>
        <w:rPr>
          <w:rFonts w:ascii="Times New Roman" w:hAnsi="Times New Roman"/>
          <w:kern w:val="21"/>
        </w:rPr>
      </w:pPr>
      <w:r>
        <w:rPr>
          <w:rFonts w:ascii="Times New Roman" w:hAnsi="Times New Roman"/>
          <w:kern w:val="21"/>
        </w:rPr>
        <w:t>当事故扩大化需要外部力量救援时，由</w:t>
      </w:r>
      <w:r>
        <w:rPr>
          <w:rFonts w:hint="eastAsia" w:ascii="Times New Roman" w:hAnsi="Times New Roman"/>
          <w:kern w:val="21"/>
        </w:rPr>
        <w:t>湖口县</w:t>
      </w:r>
      <w:r>
        <w:rPr>
          <w:rFonts w:ascii="Times New Roman" w:hAnsi="Times New Roman"/>
          <w:kern w:val="21"/>
        </w:rPr>
        <w:t>人民政府发布支援命令，调动相关政府部门进行全力支持和救护，主要参与部门有：</w:t>
      </w:r>
    </w:p>
    <w:p>
      <w:pPr>
        <w:adjustRightInd w:val="0"/>
        <w:snapToGrid w:val="0"/>
        <w:ind w:firstLine="480"/>
        <w:rPr>
          <w:rFonts w:ascii="Times New Roman" w:hAnsi="Times New Roman"/>
          <w:kern w:val="21"/>
        </w:rPr>
      </w:pPr>
      <w:r>
        <w:rPr>
          <w:rFonts w:ascii="Times New Roman" w:hAnsi="Times New Roman"/>
          <w:kern w:val="21"/>
        </w:rPr>
        <w:t>县生态环境局对辖区范围内的突发环境事件处理工作实施统一监督管理，负责危险化学品现场调查监测，提出污染处置方案。</w:t>
      </w:r>
    </w:p>
    <w:p>
      <w:pPr>
        <w:adjustRightInd w:val="0"/>
        <w:snapToGrid w:val="0"/>
        <w:ind w:firstLine="480"/>
        <w:rPr>
          <w:rFonts w:ascii="Times New Roman" w:hAnsi="Times New Roman"/>
          <w:kern w:val="21"/>
        </w:rPr>
      </w:pPr>
      <w:r>
        <w:rPr>
          <w:rFonts w:ascii="Times New Roman" w:hAnsi="Times New Roman"/>
          <w:kern w:val="21"/>
        </w:rPr>
        <w:t>县安全生产监督管理局负责组织协调危险化学品事故调查处理工作。</w:t>
      </w:r>
    </w:p>
    <w:p>
      <w:pPr>
        <w:adjustRightInd w:val="0"/>
        <w:snapToGrid w:val="0"/>
        <w:ind w:firstLine="480"/>
        <w:rPr>
          <w:rFonts w:ascii="Times New Roman" w:hAnsi="Times New Roman"/>
          <w:kern w:val="21"/>
        </w:rPr>
      </w:pPr>
      <w:r>
        <w:rPr>
          <w:rFonts w:ascii="Times New Roman" w:hAnsi="Times New Roman"/>
          <w:kern w:val="21"/>
        </w:rPr>
        <w:t>县公安局负责对陆上环境突发事件划定警戒区，维持现场秩序及提供其他警力配合，必要时对人员进行疏散、隔离以及对食物和水源采取控制措施。</w:t>
      </w:r>
    </w:p>
    <w:p>
      <w:pPr>
        <w:adjustRightInd w:val="0"/>
        <w:snapToGrid w:val="0"/>
        <w:ind w:firstLine="480"/>
        <w:rPr>
          <w:rFonts w:ascii="Times New Roman" w:hAnsi="Times New Roman"/>
          <w:kern w:val="21"/>
        </w:rPr>
      </w:pPr>
      <w:r>
        <w:rPr>
          <w:rFonts w:ascii="Times New Roman" w:hAnsi="Times New Roman"/>
          <w:kern w:val="21"/>
        </w:rPr>
        <w:t>县卫生局负责环境突发事件救援工作，保障人民群众和环境突发事件应急人员身体健康。</w:t>
      </w:r>
    </w:p>
    <w:p>
      <w:pPr>
        <w:adjustRightInd w:val="0"/>
        <w:snapToGrid w:val="0"/>
        <w:ind w:firstLine="480"/>
        <w:rPr>
          <w:rFonts w:ascii="Times New Roman" w:hAnsi="Times New Roman"/>
          <w:kern w:val="21"/>
        </w:rPr>
      </w:pPr>
      <w:r>
        <w:rPr>
          <w:rFonts w:ascii="Times New Roman" w:hAnsi="Times New Roman"/>
          <w:kern w:val="21"/>
        </w:rPr>
        <w:t>县消防大队负责控制易燃易爆物品造成的其他灾难。</w:t>
      </w:r>
    </w:p>
    <w:p>
      <w:pPr>
        <w:adjustRightInd w:val="0"/>
        <w:snapToGrid w:val="0"/>
        <w:ind w:firstLine="480"/>
        <w:rPr>
          <w:rFonts w:ascii="Times New Roman" w:hAnsi="Times New Roman"/>
          <w:kern w:val="21"/>
        </w:rPr>
      </w:pPr>
      <w:r>
        <w:rPr>
          <w:rFonts w:ascii="Times New Roman" w:hAnsi="Times New Roman"/>
          <w:kern w:val="21"/>
        </w:rPr>
        <w:t>县水务局负责水域水源应急控制工作。</w:t>
      </w:r>
    </w:p>
    <w:p>
      <w:pPr>
        <w:adjustRightInd w:val="0"/>
        <w:snapToGrid w:val="0"/>
        <w:ind w:firstLine="480"/>
        <w:rPr>
          <w:rFonts w:ascii="Times New Roman" w:hAnsi="Times New Roman"/>
          <w:kern w:val="21"/>
        </w:rPr>
      </w:pPr>
      <w:r>
        <w:rPr>
          <w:rFonts w:ascii="Times New Roman" w:hAnsi="Times New Roman"/>
          <w:kern w:val="21"/>
        </w:rPr>
        <w:t>县交通运输局负责危险化学品的运输控制工作。</w:t>
      </w:r>
    </w:p>
    <w:p>
      <w:pPr>
        <w:adjustRightInd w:val="0"/>
        <w:snapToGrid w:val="0"/>
        <w:ind w:firstLine="480"/>
        <w:rPr>
          <w:rFonts w:ascii="Times New Roman" w:hAnsi="Times New Roman"/>
          <w:kern w:val="21"/>
        </w:rPr>
      </w:pPr>
      <w:r>
        <w:rPr>
          <w:rFonts w:ascii="Times New Roman" w:hAnsi="Times New Roman"/>
          <w:kern w:val="21"/>
        </w:rPr>
        <w:t>县气象局负责应急救援所需的天气实况资料和天气预报。</w:t>
      </w:r>
    </w:p>
    <w:p>
      <w:pPr>
        <w:adjustRightInd w:val="0"/>
        <w:snapToGrid w:val="0"/>
        <w:ind w:firstLine="480"/>
        <w:rPr>
          <w:rFonts w:ascii="Times New Roman" w:hAnsi="Times New Roman"/>
          <w:kern w:val="21"/>
        </w:rPr>
      </w:pPr>
      <w:r>
        <w:rPr>
          <w:rFonts w:ascii="Times New Roman" w:hAnsi="Times New Roman"/>
          <w:kern w:val="21"/>
        </w:rPr>
        <w:t>环境突发事件发生地的区人民政府负责提供物资保障，组织协调街道、社区、市民对环境污染进行控制。</w:t>
      </w:r>
    </w:p>
    <w:p>
      <w:pPr>
        <w:adjustRightInd w:val="0"/>
        <w:snapToGrid w:val="0"/>
        <w:ind w:firstLine="480"/>
        <w:rPr>
          <w:rFonts w:ascii="Times New Roman" w:hAnsi="Times New Roman"/>
          <w:kern w:val="21"/>
        </w:rPr>
      </w:pPr>
      <w:r>
        <w:rPr>
          <w:rFonts w:ascii="Times New Roman" w:hAnsi="Times New Roman"/>
          <w:kern w:val="21"/>
        </w:rPr>
        <w:t>县突发环境应急工作指挥部负责提供专家咨询组，为应急管理提供咨询意见和决策建议，并在必要时参加、指导突发环境事件的应急处置工作。</w:t>
      </w:r>
    </w:p>
    <w:p>
      <w:pPr>
        <w:pStyle w:val="5"/>
        <w:adjustRightInd w:val="0"/>
        <w:spacing w:line="360" w:lineRule="auto"/>
        <w:rPr>
          <w:kern w:val="21"/>
        </w:rPr>
      </w:pPr>
      <w:bookmarkStart w:id="540" w:name="_Toc393979471"/>
      <w:bookmarkStart w:id="541" w:name="_Toc6462"/>
      <w:bookmarkStart w:id="542" w:name="_Toc400699390"/>
      <w:r>
        <w:rPr>
          <w:kern w:val="21"/>
        </w:rPr>
        <w:t>8.4 物资装备保障</w:t>
      </w:r>
      <w:bookmarkEnd w:id="540"/>
      <w:bookmarkEnd w:id="541"/>
      <w:bookmarkEnd w:id="542"/>
    </w:p>
    <w:p>
      <w:pPr>
        <w:adjustRightInd w:val="0"/>
        <w:snapToGrid w:val="0"/>
        <w:ind w:firstLine="480"/>
        <w:rPr>
          <w:rFonts w:ascii="Times New Roman" w:hAnsi="Times New Roman"/>
          <w:kern w:val="21"/>
        </w:rPr>
      </w:pPr>
      <w:r>
        <w:rPr>
          <w:rFonts w:ascii="Times New Roman" w:hAnsi="Times New Roman"/>
          <w:kern w:val="21"/>
        </w:rPr>
        <w:t>应急物资装备保质保量的储备和供应是应急抢险顺利进行的基础保障，本企业主要由生产办公室及物资保障队负责该项工作，企业应设应急专业物资装备储备，设专门的应急物资储备仓库，建立应急物资装备管理条例，做好物资装备储备工作。</w:t>
      </w:r>
    </w:p>
    <w:p>
      <w:pPr>
        <w:adjustRightInd w:val="0"/>
        <w:snapToGrid w:val="0"/>
        <w:ind w:firstLine="480"/>
        <w:rPr>
          <w:rFonts w:ascii="Times New Roman" w:hAnsi="Times New Roman"/>
          <w:kern w:val="21"/>
        </w:rPr>
      </w:pPr>
      <w:r>
        <w:rPr>
          <w:rFonts w:ascii="Times New Roman" w:hAnsi="Times New Roman"/>
          <w:kern w:val="21"/>
        </w:rPr>
        <w:t>根据企业可能发生的突发环境污染事件及其相应的抢险方案进行必要的物资装备储备，需要储备的主要物资装备及企业储存现状见表8.4-1。</w:t>
      </w: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ind w:firstLine="0" w:firstLineChars="0"/>
        <w:jc w:val="center"/>
        <w:rPr>
          <w:rFonts w:ascii="Times New Roman" w:hAnsi="Times New Roman"/>
          <w:b/>
          <w:bCs/>
          <w:kern w:val="21"/>
        </w:rPr>
      </w:pPr>
      <w:r>
        <w:rPr>
          <w:rFonts w:ascii="Times New Roman" w:hAnsi="Times New Roman"/>
          <w:b/>
          <w:bCs/>
          <w:kern w:val="21"/>
        </w:rPr>
        <w:t>表8.4-1   应急物资装备一览表</w:t>
      </w:r>
    </w:p>
    <w:tbl>
      <w:tblPr>
        <w:tblStyle w:val="48"/>
        <w:tblW w:w="4998"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autofit"/>
        <w:tblCellMar>
          <w:top w:w="0" w:type="dxa"/>
          <w:left w:w="108" w:type="dxa"/>
          <w:bottom w:w="0" w:type="dxa"/>
          <w:right w:w="108" w:type="dxa"/>
        </w:tblCellMar>
      </w:tblPr>
      <w:tblGrid>
        <w:gridCol w:w="950"/>
        <w:gridCol w:w="1901"/>
        <w:gridCol w:w="1060"/>
        <w:gridCol w:w="1012"/>
        <w:gridCol w:w="2479"/>
        <w:gridCol w:w="2556"/>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Align w:val="center"/>
          </w:tcPr>
          <w:p>
            <w:pPr>
              <w:spacing w:line="240" w:lineRule="auto"/>
              <w:ind w:firstLine="0" w:firstLineChars="0"/>
              <w:jc w:val="center"/>
              <w:rPr>
                <w:color w:val="000000"/>
                <w:sz w:val="21"/>
              </w:rPr>
            </w:pPr>
            <w:r>
              <w:rPr>
                <w:rFonts w:hint="eastAsia" w:hAnsi="宋体"/>
                <w:b/>
                <w:bCs/>
                <w:color w:val="000000"/>
                <w:sz w:val="21"/>
              </w:rPr>
              <w:t>类别</w:t>
            </w:r>
          </w:p>
        </w:tc>
        <w:tc>
          <w:tcPr>
            <w:tcW w:w="954" w:type="pct"/>
            <w:vAlign w:val="center"/>
          </w:tcPr>
          <w:p>
            <w:pPr>
              <w:spacing w:line="240" w:lineRule="auto"/>
              <w:ind w:firstLine="0" w:firstLineChars="0"/>
              <w:jc w:val="center"/>
              <w:rPr>
                <w:color w:val="000000"/>
                <w:sz w:val="21"/>
              </w:rPr>
            </w:pPr>
            <w:r>
              <w:rPr>
                <w:rFonts w:hAnsi="宋体"/>
                <w:b/>
                <w:bCs/>
                <w:color w:val="000000"/>
                <w:sz w:val="21"/>
              </w:rPr>
              <w:t>物品名称</w:t>
            </w:r>
          </w:p>
        </w:tc>
        <w:tc>
          <w:tcPr>
            <w:tcW w:w="532" w:type="pct"/>
            <w:vAlign w:val="center"/>
          </w:tcPr>
          <w:p>
            <w:pPr>
              <w:spacing w:line="240" w:lineRule="auto"/>
              <w:ind w:firstLine="0" w:firstLineChars="0"/>
              <w:jc w:val="center"/>
              <w:rPr>
                <w:color w:val="000000"/>
                <w:sz w:val="21"/>
              </w:rPr>
            </w:pPr>
            <w:r>
              <w:rPr>
                <w:rFonts w:hint="eastAsia" w:hAnsi="宋体"/>
                <w:b/>
                <w:bCs/>
                <w:color w:val="000000"/>
                <w:sz w:val="21"/>
              </w:rPr>
              <w:t>单位</w:t>
            </w:r>
          </w:p>
        </w:tc>
        <w:tc>
          <w:tcPr>
            <w:tcW w:w="508" w:type="pct"/>
            <w:vAlign w:val="center"/>
          </w:tcPr>
          <w:p>
            <w:pPr>
              <w:spacing w:line="240" w:lineRule="auto"/>
              <w:ind w:firstLine="0" w:firstLineChars="0"/>
              <w:jc w:val="center"/>
              <w:rPr>
                <w:color w:val="000000"/>
                <w:sz w:val="21"/>
              </w:rPr>
            </w:pPr>
            <w:r>
              <w:rPr>
                <w:rFonts w:hint="eastAsia" w:ascii="Times New Roman" w:hAnsi="宋体"/>
                <w:b/>
                <w:bCs/>
                <w:color w:val="000000"/>
                <w:sz w:val="21"/>
              </w:rPr>
              <w:t>数量</w:t>
            </w:r>
          </w:p>
        </w:tc>
        <w:tc>
          <w:tcPr>
            <w:tcW w:w="1244" w:type="pct"/>
            <w:vAlign w:val="center"/>
          </w:tcPr>
          <w:p>
            <w:pPr>
              <w:spacing w:line="240" w:lineRule="auto"/>
              <w:ind w:firstLine="0" w:firstLineChars="0"/>
              <w:jc w:val="center"/>
              <w:rPr>
                <w:color w:val="000000"/>
                <w:sz w:val="21"/>
              </w:rPr>
            </w:pPr>
            <w:r>
              <w:rPr>
                <w:rFonts w:hint="eastAsia" w:ascii="Times New Roman" w:hAnsi="宋体"/>
                <w:b/>
                <w:bCs/>
                <w:color w:val="000000"/>
                <w:sz w:val="21"/>
              </w:rPr>
              <w:t>存放地点</w:t>
            </w:r>
          </w:p>
        </w:tc>
        <w:tc>
          <w:tcPr>
            <w:tcW w:w="1283" w:type="pct"/>
            <w:vAlign w:val="center"/>
          </w:tcPr>
          <w:p>
            <w:pPr>
              <w:spacing w:line="240" w:lineRule="auto"/>
              <w:ind w:firstLine="0" w:firstLineChars="0"/>
              <w:jc w:val="center"/>
              <w:rPr>
                <w:color w:val="000000"/>
                <w:sz w:val="21"/>
              </w:rPr>
            </w:pPr>
            <w:r>
              <w:rPr>
                <w:rFonts w:hint="eastAsia" w:ascii="Times New Roman" w:hAnsi="宋体"/>
                <w:b/>
                <w:bCs/>
                <w:color w:val="000000"/>
                <w:sz w:val="21"/>
              </w:rPr>
              <w:t>保管人员、联系电话</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pPr>
              <w:spacing w:line="240" w:lineRule="auto"/>
              <w:ind w:firstLine="0" w:firstLineChars="0"/>
              <w:jc w:val="center"/>
              <w:rPr>
                <w:color w:val="000000"/>
                <w:sz w:val="21"/>
              </w:rPr>
            </w:pPr>
          </w:p>
          <w:p>
            <w:pPr>
              <w:spacing w:line="240" w:lineRule="auto"/>
              <w:ind w:firstLine="0" w:firstLineChars="0"/>
              <w:jc w:val="center"/>
              <w:rPr>
                <w:color w:val="000000"/>
                <w:sz w:val="21"/>
              </w:rPr>
            </w:pPr>
          </w:p>
          <w:p>
            <w:pPr>
              <w:spacing w:line="240" w:lineRule="auto"/>
              <w:ind w:firstLine="0" w:firstLineChars="0"/>
              <w:jc w:val="center"/>
              <w:rPr>
                <w:color w:val="000000"/>
                <w:sz w:val="21"/>
              </w:rPr>
            </w:pPr>
            <w:r>
              <w:rPr>
                <w:rFonts w:hint="eastAsia"/>
                <w:color w:val="000000"/>
                <w:sz w:val="21"/>
              </w:rPr>
              <w:t>事故处置物资</w:t>
            </w:r>
          </w:p>
        </w:tc>
        <w:tc>
          <w:tcPr>
            <w:tcW w:w="954" w:type="pct"/>
            <w:vAlign w:val="center"/>
          </w:tcPr>
          <w:p>
            <w:pPr>
              <w:spacing w:line="240" w:lineRule="auto"/>
              <w:ind w:firstLine="0" w:firstLineChars="0"/>
              <w:jc w:val="center"/>
              <w:rPr>
                <w:color w:val="000000"/>
                <w:sz w:val="21"/>
              </w:rPr>
            </w:pPr>
            <w:r>
              <w:rPr>
                <w:rFonts w:hint="eastAsia"/>
                <w:color w:val="000000"/>
                <w:sz w:val="21"/>
              </w:rPr>
              <w:t>干粉灭火器</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6</w:t>
            </w:r>
          </w:p>
        </w:tc>
        <w:tc>
          <w:tcPr>
            <w:tcW w:w="1244" w:type="pct"/>
            <w:vAlign w:val="center"/>
          </w:tcPr>
          <w:p>
            <w:pPr>
              <w:spacing w:line="240" w:lineRule="auto"/>
              <w:ind w:firstLine="0" w:firstLineChars="0"/>
              <w:jc w:val="center"/>
              <w:rPr>
                <w:color w:val="000000"/>
                <w:sz w:val="21"/>
              </w:rPr>
            </w:pPr>
            <w:r>
              <w:rPr>
                <w:rFonts w:hint="eastAsia"/>
                <w:color w:val="000000"/>
                <w:sz w:val="21"/>
              </w:rPr>
              <w:t>化验室、辅助房</w:t>
            </w:r>
          </w:p>
        </w:tc>
        <w:tc>
          <w:tcPr>
            <w:tcW w:w="1283" w:type="pct"/>
            <w:vMerge w:val="restart"/>
            <w:vAlign w:val="center"/>
          </w:tcPr>
          <w:p>
            <w:pPr>
              <w:spacing w:line="240" w:lineRule="auto"/>
              <w:ind w:firstLine="0" w:firstLineChars="0"/>
              <w:jc w:val="center"/>
              <w:rPr>
                <w:color w:val="000000"/>
                <w:sz w:val="21"/>
              </w:rPr>
            </w:pPr>
            <w:r>
              <w:rPr>
                <w:rFonts w:hint="eastAsia"/>
                <w:color w:val="000000"/>
                <w:sz w:val="21"/>
              </w:rPr>
              <w:t>朱金波 1587926</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消防栓</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7</w:t>
            </w:r>
          </w:p>
        </w:tc>
        <w:tc>
          <w:tcPr>
            <w:tcW w:w="1244" w:type="pct"/>
            <w:vAlign w:val="center"/>
          </w:tcPr>
          <w:p>
            <w:pPr>
              <w:spacing w:line="240" w:lineRule="auto"/>
              <w:ind w:firstLine="0" w:firstLineChars="0"/>
              <w:jc w:val="center"/>
              <w:rPr>
                <w:color w:val="000000"/>
                <w:sz w:val="21"/>
              </w:rPr>
            </w:pPr>
            <w:r>
              <w:rPr>
                <w:rFonts w:hint="eastAsia"/>
                <w:color w:val="000000"/>
                <w:sz w:val="21"/>
              </w:rPr>
              <w:t>综合楼各楼层</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消防泵</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4</w:t>
            </w:r>
          </w:p>
        </w:tc>
        <w:tc>
          <w:tcPr>
            <w:tcW w:w="1244" w:type="pct"/>
            <w:vAlign w:val="center"/>
          </w:tcPr>
          <w:p>
            <w:pPr>
              <w:spacing w:line="240" w:lineRule="auto"/>
              <w:ind w:firstLine="0" w:firstLineChars="0"/>
              <w:jc w:val="center"/>
              <w:rPr>
                <w:color w:val="000000"/>
                <w:sz w:val="21"/>
              </w:rPr>
            </w:pPr>
            <w:r>
              <w:rPr>
                <w:rFonts w:hint="eastAsia"/>
                <w:color w:val="000000"/>
                <w:sz w:val="21"/>
              </w:rPr>
              <w:t>消防水池旁</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砂桶</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10</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值班车</w:t>
            </w:r>
          </w:p>
        </w:tc>
        <w:tc>
          <w:tcPr>
            <w:tcW w:w="532" w:type="pct"/>
            <w:vAlign w:val="center"/>
          </w:tcPr>
          <w:p>
            <w:pPr>
              <w:spacing w:line="240" w:lineRule="auto"/>
              <w:ind w:firstLine="0" w:firstLineChars="0"/>
              <w:jc w:val="center"/>
              <w:rPr>
                <w:color w:val="000000"/>
                <w:sz w:val="21"/>
              </w:rPr>
            </w:pPr>
            <w:r>
              <w:rPr>
                <w:rFonts w:hint="eastAsia"/>
                <w:color w:val="000000"/>
                <w:sz w:val="21"/>
              </w:rPr>
              <w:t>辆</w:t>
            </w:r>
          </w:p>
        </w:tc>
        <w:tc>
          <w:tcPr>
            <w:tcW w:w="508" w:type="pct"/>
            <w:vAlign w:val="center"/>
          </w:tcPr>
          <w:p>
            <w:pPr>
              <w:spacing w:line="240" w:lineRule="auto"/>
              <w:ind w:firstLine="0" w:firstLineChars="0"/>
              <w:jc w:val="center"/>
              <w:rPr>
                <w:color w:val="000000"/>
                <w:sz w:val="21"/>
              </w:rPr>
            </w:pPr>
            <w:r>
              <w:rPr>
                <w:rFonts w:hint="eastAsia"/>
                <w:color w:val="000000"/>
                <w:sz w:val="21"/>
              </w:rPr>
              <w:t>2</w:t>
            </w:r>
          </w:p>
        </w:tc>
        <w:tc>
          <w:tcPr>
            <w:tcW w:w="1244" w:type="pct"/>
            <w:vAlign w:val="center"/>
          </w:tcPr>
          <w:p>
            <w:pPr>
              <w:spacing w:line="240" w:lineRule="auto"/>
              <w:ind w:firstLine="0" w:firstLineChars="0"/>
              <w:jc w:val="center"/>
              <w:rPr>
                <w:color w:val="000000"/>
                <w:sz w:val="21"/>
              </w:rPr>
            </w:pPr>
            <w:r>
              <w:rPr>
                <w:rFonts w:hint="eastAsia"/>
                <w:color w:val="000000"/>
                <w:sz w:val="21"/>
              </w:rPr>
              <w:t>厂区内</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pPr>
              <w:spacing w:line="240" w:lineRule="auto"/>
              <w:ind w:firstLine="0" w:firstLineChars="0"/>
              <w:jc w:val="center"/>
              <w:rPr>
                <w:color w:val="000000"/>
                <w:sz w:val="21"/>
              </w:rPr>
            </w:pPr>
            <w:r>
              <w:rPr>
                <w:rFonts w:hint="eastAsia"/>
                <w:color w:val="000000"/>
                <w:sz w:val="21"/>
              </w:rPr>
              <w:t>人员防护物资</w:t>
            </w:r>
          </w:p>
        </w:tc>
        <w:tc>
          <w:tcPr>
            <w:tcW w:w="954" w:type="pct"/>
            <w:vAlign w:val="center"/>
          </w:tcPr>
          <w:p>
            <w:pPr>
              <w:spacing w:line="240" w:lineRule="auto"/>
              <w:ind w:firstLine="0" w:firstLineChars="0"/>
              <w:jc w:val="center"/>
              <w:rPr>
                <w:color w:val="000000"/>
                <w:sz w:val="21"/>
              </w:rPr>
            </w:pPr>
            <w:r>
              <w:rPr>
                <w:rFonts w:hint="eastAsia"/>
                <w:color w:val="000000"/>
                <w:sz w:val="21"/>
              </w:rPr>
              <w:t>防酸碱手套</w:t>
            </w:r>
          </w:p>
        </w:tc>
        <w:tc>
          <w:tcPr>
            <w:tcW w:w="532" w:type="pct"/>
            <w:vAlign w:val="center"/>
          </w:tcPr>
          <w:p>
            <w:pPr>
              <w:spacing w:line="240" w:lineRule="auto"/>
              <w:ind w:firstLine="0" w:firstLineChars="0"/>
              <w:jc w:val="center"/>
              <w:rPr>
                <w:color w:val="000000"/>
                <w:sz w:val="21"/>
              </w:rPr>
            </w:pPr>
            <w:r>
              <w:rPr>
                <w:rFonts w:hint="eastAsia"/>
                <w:color w:val="000000"/>
                <w:sz w:val="21"/>
              </w:rPr>
              <w:t>双</w:t>
            </w:r>
          </w:p>
        </w:tc>
        <w:tc>
          <w:tcPr>
            <w:tcW w:w="508" w:type="pct"/>
            <w:vAlign w:val="center"/>
          </w:tcPr>
          <w:p>
            <w:pPr>
              <w:spacing w:line="240" w:lineRule="auto"/>
              <w:ind w:firstLine="0" w:firstLineChars="0"/>
              <w:jc w:val="center"/>
              <w:rPr>
                <w:color w:val="000000"/>
                <w:sz w:val="21"/>
              </w:rPr>
            </w:pPr>
            <w:r>
              <w:rPr>
                <w:rFonts w:hint="eastAsia"/>
                <w:color w:val="000000"/>
                <w:sz w:val="21"/>
              </w:rPr>
              <w:t>若干</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restart"/>
            <w:vAlign w:val="center"/>
          </w:tcPr>
          <w:p>
            <w:pPr>
              <w:spacing w:line="240" w:lineRule="auto"/>
              <w:ind w:firstLine="0" w:firstLineChars="0"/>
              <w:jc w:val="center"/>
              <w:rPr>
                <w:color w:val="000000"/>
                <w:sz w:val="21"/>
              </w:rPr>
            </w:pPr>
            <w:r>
              <w:rPr>
                <w:rFonts w:hint="eastAsia"/>
                <w:color w:val="000000"/>
                <w:sz w:val="21"/>
              </w:rPr>
              <w:t>邓云雁 18160792648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防尘口罩</w:t>
            </w:r>
          </w:p>
        </w:tc>
        <w:tc>
          <w:tcPr>
            <w:tcW w:w="532" w:type="pct"/>
            <w:vAlign w:val="center"/>
          </w:tcPr>
          <w:p>
            <w:pPr>
              <w:spacing w:line="240" w:lineRule="auto"/>
              <w:ind w:firstLine="0" w:firstLineChars="0"/>
              <w:jc w:val="center"/>
              <w:rPr>
                <w:color w:val="000000"/>
                <w:sz w:val="21"/>
              </w:rPr>
            </w:pPr>
            <w:r>
              <w:rPr>
                <w:rFonts w:hint="eastAsia"/>
                <w:color w:val="000000"/>
                <w:sz w:val="21"/>
              </w:rPr>
              <w:t>套</w:t>
            </w:r>
          </w:p>
        </w:tc>
        <w:tc>
          <w:tcPr>
            <w:tcW w:w="508" w:type="pct"/>
            <w:vAlign w:val="center"/>
          </w:tcPr>
          <w:p>
            <w:pPr>
              <w:spacing w:line="240" w:lineRule="auto"/>
              <w:ind w:firstLine="0" w:firstLineChars="0"/>
              <w:jc w:val="center"/>
              <w:rPr>
                <w:color w:val="000000"/>
                <w:sz w:val="21"/>
              </w:rPr>
            </w:pPr>
            <w:r>
              <w:rPr>
                <w:rFonts w:hint="eastAsia"/>
                <w:color w:val="000000"/>
                <w:sz w:val="21"/>
              </w:rPr>
              <w:t>若干</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急救箱</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2</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纱布</w:t>
            </w:r>
          </w:p>
        </w:tc>
        <w:tc>
          <w:tcPr>
            <w:tcW w:w="532" w:type="pct"/>
            <w:vAlign w:val="center"/>
          </w:tcPr>
          <w:p>
            <w:pPr>
              <w:spacing w:line="240" w:lineRule="auto"/>
              <w:ind w:firstLine="0" w:firstLineChars="0"/>
              <w:jc w:val="center"/>
              <w:rPr>
                <w:color w:val="000000"/>
                <w:sz w:val="21"/>
              </w:rPr>
            </w:pPr>
            <w:r>
              <w:rPr>
                <w:rFonts w:hint="eastAsia"/>
                <w:color w:val="000000"/>
                <w:sz w:val="21"/>
              </w:rPr>
              <w:t>卷</w:t>
            </w:r>
          </w:p>
        </w:tc>
        <w:tc>
          <w:tcPr>
            <w:tcW w:w="508" w:type="pct"/>
            <w:vAlign w:val="center"/>
          </w:tcPr>
          <w:p>
            <w:pPr>
              <w:spacing w:line="240" w:lineRule="auto"/>
              <w:ind w:firstLine="0" w:firstLineChars="0"/>
              <w:jc w:val="center"/>
              <w:rPr>
                <w:rFonts w:ascii="Times New Roman" w:hAnsi="Times New Roman" w:cs="宋体"/>
                <w:smallCaps/>
                <w:color w:val="000000"/>
                <w:sz w:val="21"/>
              </w:rPr>
            </w:pPr>
            <w:r>
              <w:rPr>
                <w:rFonts w:hint="eastAsia"/>
                <w:color w:val="000000"/>
                <w:sz w:val="21"/>
              </w:rPr>
              <w:t>若干</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绷带</w:t>
            </w:r>
          </w:p>
        </w:tc>
        <w:tc>
          <w:tcPr>
            <w:tcW w:w="532" w:type="pct"/>
            <w:vAlign w:val="center"/>
          </w:tcPr>
          <w:p>
            <w:pPr>
              <w:spacing w:line="240" w:lineRule="auto"/>
              <w:ind w:firstLine="0" w:firstLineChars="0"/>
              <w:jc w:val="center"/>
              <w:rPr>
                <w:color w:val="000000"/>
                <w:sz w:val="21"/>
              </w:rPr>
            </w:pPr>
            <w:r>
              <w:rPr>
                <w:rFonts w:hint="eastAsia"/>
                <w:color w:val="000000"/>
                <w:sz w:val="21"/>
              </w:rPr>
              <w:t>卷</w:t>
            </w:r>
          </w:p>
        </w:tc>
        <w:tc>
          <w:tcPr>
            <w:tcW w:w="508" w:type="pct"/>
            <w:vAlign w:val="center"/>
          </w:tcPr>
          <w:p>
            <w:pPr>
              <w:spacing w:line="240" w:lineRule="auto"/>
              <w:ind w:firstLine="0" w:firstLineChars="0"/>
              <w:jc w:val="center"/>
              <w:rPr>
                <w:rFonts w:ascii="Times New Roman" w:hAnsi="Times New Roman" w:cs="宋体"/>
                <w:smallCaps/>
                <w:color w:val="000000"/>
                <w:sz w:val="21"/>
              </w:rPr>
            </w:pPr>
            <w:r>
              <w:rPr>
                <w:rFonts w:hint="eastAsia"/>
                <w:color w:val="000000"/>
                <w:sz w:val="21"/>
              </w:rPr>
              <w:t>若干</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pPr>
              <w:spacing w:line="240" w:lineRule="auto"/>
              <w:ind w:firstLine="0" w:firstLineChars="0"/>
              <w:jc w:val="center"/>
              <w:rPr>
                <w:color w:val="000000"/>
                <w:sz w:val="21"/>
              </w:rPr>
            </w:pPr>
            <w:r>
              <w:rPr>
                <w:rFonts w:hint="eastAsia"/>
                <w:color w:val="000000"/>
                <w:sz w:val="21"/>
              </w:rPr>
              <w:t>救援保障物资</w:t>
            </w:r>
          </w:p>
        </w:tc>
        <w:tc>
          <w:tcPr>
            <w:tcW w:w="954" w:type="pct"/>
            <w:vAlign w:val="center"/>
          </w:tcPr>
          <w:p>
            <w:pPr>
              <w:spacing w:line="240" w:lineRule="auto"/>
              <w:ind w:firstLine="0" w:firstLineChars="0"/>
              <w:jc w:val="center"/>
              <w:rPr>
                <w:color w:val="000000"/>
                <w:sz w:val="21"/>
              </w:rPr>
            </w:pPr>
            <w:r>
              <w:rPr>
                <w:rFonts w:hint="eastAsia"/>
                <w:color w:val="000000"/>
                <w:sz w:val="21"/>
              </w:rPr>
              <w:t>警戒线</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30</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restart"/>
            <w:vAlign w:val="center"/>
          </w:tcPr>
          <w:p>
            <w:pPr>
              <w:spacing w:line="240" w:lineRule="auto"/>
              <w:ind w:firstLine="0" w:firstLineChars="0"/>
              <w:jc w:val="center"/>
              <w:rPr>
                <w:color w:val="000000"/>
                <w:sz w:val="21"/>
              </w:rPr>
            </w:pPr>
            <w:r>
              <w:rPr>
                <w:rFonts w:hint="eastAsia"/>
                <w:color w:val="000000"/>
                <w:sz w:val="21"/>
              </w:rPr>
              <w:t>李忠元 18307062338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对讲机</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6</w:t>
            </w:r>
          </w:p>
        </w:tc>
        <w:tc>
          <w:tcPr>
            <w:tcW w:w="1244" w:type="pct"/>
            <w:vAlign w:val="center"/>
          </w:tcPr>
          <w:p>
            <w:pPr>
              <w:spacing w:line="240" w:lineRule="auto"/>
              <w:ind w:firstLine="0" w:firstLineChars="0"/>
              <w:jc w:val="center"/>
              <w:rPr>
                <w:color w:val="000000"/>
                <w:sz w:val="21"/>
              </w:rPr>
            </w:pPr>
            <w:r>
              <w:rPr>
                <w:rFonts w:hint="eastAsia"/>
                <w:color w:val="000000"/>
                <w:sz w:val="21"/>
              </w:rPr>
              <w:t>车间</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restart"/>
            <w:vAlign w:val="center"/>
          </w:tcPr>
          <w:p>
            <w:pPr>
              <w:spacing w:line="240" w:lineRule="auto"/>
              <w:ind w:firstLine="0" w:firstLineChars="0"/>
              <w:jc w:val="center"/>
              <w:rPr>
                <w:color w:val="000000"/>
                <w:sz w:val="21"/>
              </w:rPr>
            </w:pPr>
            <w:r>
              <w:rPr>
                <w:rFonts w:hint="eastAsia"/>
                <w:color w:val="000000"/>
                <w:sz w:val="21"/>
              </w:rPr>
              <w:t>应急措施</w:t>
            </w:r>
          </w:p>
        </w:tc>
        <w:tc>
          <w:tcPr>
            <w:tcW w:w="954" w:type="pct"/>
            <w:vAlign w:val="center"/>
          </w:tcPr>
          <w:p>
            <w:pPr>
              <w:spacing w:line="240" w:lineRule="auto"/>
              <w:ind w:firstLine="0" w:firstLineChars="0"/>
              <w:jc w:val="center"/>
              <w:rPr>
                <w:color w:val="000000"/>
                <w:sz w:val="21"/>
              </w:rPr>
            </w:pPr>
            <w:r>
              <w:rPr>
                <w:rFonts w:hint="eastAsia"/>
                <w:color w:val="000000"/>
                <w:sz w:val="21"/>
              </w:rPr>
              <w:t>应急泵</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2</w:t>
            </w:r>
          </w:p>
        </w:tc>
        <w:tc>
          <w:tcPr>
            <w:tcW w:w="1244" w:type="pct"/>
            <w:vAlign w:val="center"/>
          </w:tcPr>
          <w:p>
            <w:pPr>
              <w:spacing w:line="240" w:lineRule="auto"/>
              <w:ind w:firstLine="0" w:firstLineChars="0"/>
              <w:jc w:val="center"/>
              <w:rPr>
                <w:color w:val="000000"/>
                <w:sz w:val="21"/>
              </w:rPr>
            </w:pPr>
            <w:r>
              <w:rPr>
                <w:rFonts w:hint="eastAsia"/>
                <w:color w:val="000000"/>
                <w:sz w:val="21"/>
              </w:rPr>
              <w:t>各池体</w:t>
            </w:r>
          </w:p>
        </w:tc>
        <w:tc>
          <w:tcPr>
            <w:tcW w:w="1283" w:type="pct"/>
            <w:vMerge w:val="restart"/>
            <w:vAlign w:val="center"/>
          </w:tcPr>
          <w:p>
            <w:pPr>
              <w:spacing w:line="240" w:lineRule="auto"/>
              <w:ind w:firstLine="0" w:firstLineChars="0"/>
              <w:jc w:val="center"/>
              <w:rPr>
                <w:rFonts w:hint="eastAsia"/>
                <w:color w:val="FF0000"/>
                <w:sz w:val="21"/>
              </w:rPr>
            </w:pPr>
            <w:r>
              <w:rPr>
                <w:rFonts w:hint="eastAsia"/>
                <w:color w:val="FF0000"/>
                <w:sz w:val="21"/>
              </w:rPr>
              <w:t>A岗：石禄 18779255256</w:t>
            </w:r>
          </w:p>
          <w:p>
            <w:pPr>
              <w:pStyle w:val="2"/>
            </w:pPr>
            <w:r>
              <w:rPr>
                <w:rFonts w:hint="eastAsia"/>
                <w:color w:val="FF0000"/>
              </w:rPr>
              <w:t>B岗：</w:t>
            </w:r>
            <w:r>
              <w:rPr>
                <w:rFonts w:hint="eastAsia"/>
                <w:color w:val="FF0000"/>
                <w:sz w:val="21"/>
                <w:szCs w:val="21"/>
              </w:rPr>
              <w:t>李忠元18307062338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事故应急柜</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1</w:t>
            </w:r>
          </w:p>
        </w:tc>
        <w:tc>
          <w:tcPr>
            <w:tcW w:w="1244" w:type="pct"/>
            <w:vAlign w:val="center"/>
          </w:tcPr>
          <w:p>
            <w:pPr>
              <w:spacing w:line="240" w:lineRule="auto"/>
              <w:ind w:firstLine="0" w:firstLineChars="0"/>
              <w:jc w:val="center"/>
              <w:rPr>
                <w:color w:val="000000"/>
                <w:sz w:val="21"/>
              </w:rPr>
            </w:pPr>
            <w:r>
              <w:rPr>
                <w:rFonts w:hint="eastAsia"/>
                <w:color w:val="000000"/>
                <w:sz w:val="21"/>
              </w:rPr>
              <w:t>综合楼</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应急灯</w:t>
            </w:r>
          </w:p>
        </w:tc>
        <w:tc>
          <w:tcPr>
            <w:tcW w:w="532" w:type="pct"/>
            <w:vAlign w:val="center"/>
          </w:tcPr>
          <w:p>
            <w:pPr>
              <w:spacing w:line="240" w:lineRule="auto"/>
              <w:ind w:firstLine="0" w:firstLineChars="0"/>
              <w:jc w:val="center"/>
              <w:rPr>
                <w:color w:val="000000"/>
                <w:sz w:val="21"/>
              </w:rPr>
            </w:pPr>
            <w:r>
              <w:rPr>
                <w:rFonts w:hint="eastAsia"/>
                <w:color w:val="000000"/>
                <w:sz w:val="21"/>
              </w:rPr>
              <w:t>个</w:t>
            </w:r>
          </w:p>
        </w:tc>
        <w:tc>
          <w:tcPr>
            <w:tcW w:w="508" w:type="pct"/>
            <w:vAlign w:val="center"/>
          </w:tcPr>
          <w:p>
            <w:pPr>
              <w:spacing w:line="240" w:lineRule="auto"/>
              <w:ind w:firstLine="0" w:firstLineChars="0"/>
              <w:jc w:val="center"/>
              <w:rPr>
                <w:color w:val="000000"/>
                <w:sz w:val="21"/>
              </w:rPr>
            </w:pPr>
            <w:r>
              <w:rPr>
                <w:rFonts w:hint="eastAsia"/>
                <w:color w:val="000000"/>
                <w:sz w:val="21"/>
              </w:rPr>
              <w:t>1</w:t>
            </w:r>
          </w:p>
        </w:tc>
        <w:tc>
          <w:tcPr>
            <w:tcW w:w="1244" w:type="pct"/>
            <w:vAlign w:val="center"/>
          </w:tcPr>
          <w:p>
            <w:pPr>
              <w:spacing w:line="240" w:lineRule="auto"/>
              <w:ind w:firstLine="0" w:firstLineChars="0"/>
              <w:jc w:val="center"/>
              <w:rPr>
                <w:color w:val="000000"/>
                <w:sz w:val="21"/>
              </w:rPr>
            </w:pPr>
            <w:r>
              <w:rPr>
                <w:rFonts w:hint="eastAsia"/>
                <w:color w:val="000000"/>
                <w:sz w:val="21"/>
              </w:rPr>
              <w:t>辅助房</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应急事故池</w:t>
            </w:r>
          </w:p>
        </w:tc>
        <w:tc>
          <w:tcPr>
            <w:tcW w:w="532" w:type="pct"/>
            <w:vAlign w:val="center"/>
          </w:tcPr>
          <w:p>
            <w:pPr>
              <w:spacing w:line="240" w:lineRule="auto"/>
              <w:ind w:firstLine="0" w:firstLineChars="0"/>
              <w:jc w:val="center"/>
              <w:rPr>
                <w:color w:val="000000"/>
                <w:sz w:val="21"/>
              </w:rPr>
            </w:pPr>
            <w:r>
              <w:rPr>
                <w:rFonts w:hint="eastAsia"/>
                <w:color w:val="000000"/>
                <w:sz w:val="21"/>
              </w:rPr>
              <w:t>座</w:t>
            </w:r>
          </w:p>
        </w:tc>
        <w:tc>
          <w:tcPr>
            <w:tcW w:w="508" w:type="pct"/>
            <w:vAlign w:val="center"/>
          </w:tcPr>
          <w:p>
            <w:pPr>
              <w:spacing w:line="240" w:lineRule="auto"/>
              <w:ind w:firstLine="0" w:firstLineChars="0"/>
              <w:jc w:val="center"/>
              <w:rPr>
                <w:color w:val="000000"/>
                <w:sz w:val="21"/>
              </w:rPr>
            </w:pPr>
            <w:r>
              <w:rPr>
                <w:rFonts w:hint="eastAsia"/>
                <w:color w:val="000000"/>
                <w:sz w:val="21"/>
              </w:rPr>
              <w:t>1</w:t>
            </w:r>
          </w:p>
        </w:tc>
        <w:tc>
          <w:tcPr>
            <w:tcW w:w="1244" w:type="pct"/>
            <w:vAlign w:val="center"/>
          </w:tcPr>
          <w:p>
            <w:pPr>
              <w:spacing w:line="240" w:lineRule="auto"/>
              <w:ind w:firstLine="0" w:firstLineChars="0"/>
              <w:jc w:val="center"/>
              <w:rPr>
                <w:color w:val="000000"/>
                <w:sz w:val="21"/>
              </w:rPr>
            </w:pPr>
            <w:r>
              <w:rPr>
                <w:rFonts w:hint="eastAsia"/>
                <w:color w:val="000000"/>
                <w:sz w:val="21"/>
              </w:rPr>
              <w:t>厂区西南角</w:t>
            </w:r>
          </w:p>
        </w:tc>
        <w:tc>
          <w:tcPr>
            <w:tcW w:w="1283" w:type="pct"/>
            <w:vMerge w:val="continue"/>
            <w:vAlign w:val="center"/>
          </w:tcPr>
          <w:p>
            <w:pPr>
              <w:spacing w:line="240" w:lineRule="auto"/>
              <w:ind w:firstLine="0" w:firstLineChars="0"/>
              <w:jc w:val="center"/>
              <w:rPr>
                <w:color w:val="000000"/>
                <w:sz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4" w:hRule="exact"/>
          <w:jc w:val="center"/>
        </w:trPr>
        <w:tc>
          <w:tcPr>
            <w:tcW w:w="477" w:type="pct"/>
            <w:vMerge w:val="continue"/>
            <w:vAlign w:val="center"/>
          </w:tcPr>
          <w:p>
            <w:pPr>
              <w:spacing w:line="240" w:lineRule="auto"/>
              <w:ind w:firstLine="0" w:firstLineChars="0"/>
              <w:jc w:val="center"/>
              <w:rPr>
                <w:color w:val="000000"/>
                <w:sz w:val="21"/>
              </w:rPr>
            </w:pPr>
          </w:p>
        </w:tc>
        <w:tc>
          <w:tcPr>
            <w:tcW w:w="954" w:type="pct"/>
            <w:vAlign w:val="center"/>
          </w:tcPr>
          <w:p>
            <w:pPr>
              <w:spacing w:line="240" w:lineRule="auto"/>
              <w:ind w:firstLine="0" w:firstLineChars="0"/>
              <w:jc w:val="center"/>
              <w:rPr>
                <w:color w:val="000000"/>
                <w:sz w:val="21"/>
              </w:rPr>
            </w:pPr>
            <w:r>
              <w:rPr>
                <w:rFonts w:hint="eastAsia"/>
                <w:color w:val="000000"/>
                <w:sz w:val="21"/>
              </w:rPr>
              <w:t>消防水池</w:t>
            </w:r>
          </w:p>
        </w:tc>
        <w:tc>
          <w:tcPr>
            <w:tcW w:w="532" w:type="pct"/>
            <w:vAlign w:val="center"/>
          </w:tcPr>
          <w:p>
            <w:pPr>
              <w:spacing w:line="240" w:lineRule="auto"/>
              <w:ind w:firstLine="0" w:firstLineChars="0"/>
              <w:jc w:val="center"/>
              <w:rPr>
                <w:color w:val="000000"/>
                <w:sz w:val="21"/>
              </w:rPr>
            </w:pPr>
            <w:r>
              <w:rPr>
                <w:rFonts w:hint="eastAsia"/>
                <w:color w:val="000000"/>
                <w:sz w:val="21"/>
              </w:rPr>
              <w:t>座</w:t>
            </w:r>
          </w:p>
        </w:tc>
        <w:tc>
          <w:tcPr>
            <w:tcW w:w="508" w:type="pct"/>
            <w:vAlign w:val="center"/>
          </w:tcPr>
          <w:p>
            <w:pPr>
              <w:spacing w:line="240" w:lineRule="auto"/>
              <w:ind w:firstLine="0" w:firstLineChars="0"/>
              <w:jc w:val="center"/>
              <w:rPr>
                <w:color w:val="000000"/>
                <w:sz w:val="21"/>
              </w:rPr>
            </w:pPr>
            <w:r>
              <w:rPr>
                <w:rFonts w:hint="eastAsia"/>
                <w:color w:val="000000"/>
                <w:sz w:val="21"/>
              </w:rPr>
              <w:t>1</w:t>
            </w:r>
          </w:p>
        </w:tc>
        <w:tc>
          <w:tcPr>
            <w:tcW w:w="1244" w:type="pct"/>
            <w:vAlign w:val="center"/>
          </w:tcPr>
          <w:p>
            <w:pPr>
              <w:spacing w:line="240" w:lineRule="auto"/>
              <w:ind w:firstLine="0" w:firstLineChars="0"/>
              <w:jc w:val="center"/>
              <w:rPr>
                <w:color w:val="000000"/>
                <w:sz w:val="21"/>
              </w:rPr>
            </w:pPr>
            <w:r>
              <w:rPr>
                <w:rFonts w:hint="eastAsia"/>
                <w:color w:val="000000"/>
                <w:sz w:val="21"/>
              </w:rPr>
              <w:t>厂区西南角</w:t>
            </w:r>
          </w:p>
        </w:tc>
        <w:tc>
          <w:tcPr>
            <w:tcW w:w="1283" w:type="pct"/>
            <w:vMerge w:val="continue"/>
            <w:vAlign w:val="center"/>
          </w:tcPr>
          <w:p>
            <w:pPr>
              <w:spacing w:line="240" w:lineRule="auto"/>
              <w:ind w:firstLine="0" w:firstLineChars="0"/>
              <w:jc w:val="center"/>
              <w:rPr>
                <w:color w:val="000000"/>
                <w:sz w:val="21"/>
              </w:rPr>
            </w:pPr>
          </w:p>
        </w:tc>
      </w:tr>
    </w:tbl>
    <w:p>
      <w:pPr>
        <w:adjustRightInd w:val="0"/>
        <w:snapToGrid w:val="0"/>
        <w:ind w:firstLine="480"/>
        <w:rPr>
          <w:rFonts w:ascii="Times New Roman" w:hAnsi="Times New Roman"/>
          <w:kern w:val="21"/>
        </w:rPr>
      </w:pPr>
      <w:r>
        <w:rPr>
          <w:rFonts w:ascii="Times New Roman" w:hAnsi="Times New Roman"/>
          <w:kern w:val="21"/>
        </w:rPr>
        <w:t>由上表可知，本污水厂应急物资储备情况</w:t>
      </w:r>
      <w:r>
        <w:rPr>
          <w:rFonts w:hint="eastAsia" w:ascii="Times New Roman" w:hAnsi="Times New Roman"/>
          <w:kern w:val="21"/>
        </w:rPr>
        <w:t>仍需要补充</w:t>
      </w:r>
      <w:r>
        <w:rPr>
          <w:rFonts w:ascii="Times New Roman" w:hAnsi="Times New Roman"/>
          <w:kern w:val="21"/>
        </w:rPr>
        <w:t>。另外目前企业备用物资基本上都储存于仓库，介于突发环境事故抢险过程应迅速、便于操作等特点，建议企业设置专门的应急物资储备仓库，设置应遵循保证应急抢险迅速、安全、高效进行的原则。应急物资仓库应设置专人负责，定期检查补充物资，以保证应急需要。</w:t>
      </w:r>
    </w:p>
    <w:p>
      <w:pPr>
        <w:pStyle w:val="5"/>
        <w:adjustRightInd w:val="0"/>
        <w:spacing w:line="360" w:lineRule="auto"/>
        <w:jc w:val="both"/>
        <w:rPr>
          <w:kern w:val="21"/>
        </w:rPr>
      </w:pPr>
      <w:bookmarkStart w:id="543" w:name="_Toc286324580"/>
      <w:bookmarkStart w:id="544" w:name="_Toc18898"/>
      <w:bookmarkStart w:id="545" w:name="_Toc400699391"/>
      <w:bookmarkStart w:id="546" w:name="_Toc393979472"/>
      <w:r>
        <w:rPr>
          <w:kern w:val="21"/>
        </w:rPr>
        <w:t>8.5 宣传、培训和演习</w:t>
      </w:r>
      <w:bookmarkEnd w:id="543"/>
      <w:bookmarkEnd w:id="544"/>
      <w:bookmarkEnd w:id="545"/>
      <w:bookmarkEnd w:id="546"/>
    </w:p>
    <w:p>
      <w:pPr>
        <w:adjustRightInd w:val="0"/>
        <w:snapToGrid w:val="0"/>
        <w:ind w:firstLine="480"/>
        <w:rPr>
          <w:rFonts w:ascii="Times New Roman" w:hAnsi="Times New Roman"/>
          <w:kern w:val="21"/>
        </w:rPr>
      </w:pPr>
      <w:r>
        <w:rPr>
          <w:rFonts w:ascii="Times New Roman" w:hAnsi="Times New Roman"/>
          <w:kern w:val="21"/>
        </w:rPr>
        <w:t>宣传、培训和演习工作主要由环境应急领导小组和工作小组负责，其主要工作内容如下：</w:t>
      </w:r>
    </w:p>
    <w:p>
      <w:pPr>
        <w:adjustRightInd w:val="0"/>
        <w:snapToGrid w:val="0"/>
        <w:ind w:firstLine="480"/>
        <w:rPr>
          <w:rFonts w:ascii="Times New Roman" w:hAnsi="Times New Roman"/>
          <w:kern w:val="21"/>
        </w:rPr>
      </w:pPr>
      <w:r>
        <w:rPr>
          <w:rFonts w:ascii="Times New Roman" w:hAnsi="Times New Roman"/>
          <w:kern w:val="21"/>
        </w:rPr>
        <w:t>（1）加强环境保护科普宣传教育工作，在企业宣传栏等醒目处进行宣传，扩大应急管理科普宣教工作覆盖面，普及环境污染事件的预防常识，增强职工的防范意识和相关心理准备，提高公众对事故的防范意识；</w:t>
      </w:r>
    </w:p>
    <w:p>
      <w:pPr>
        <w:adjustRightInd w:val="0"/>
        <w:snapToGrid w:val="0"/>
        <w:ind w:firstLine="480"/>
        <w:rPr>
          <w:rFonts w:ascii="Times New Roman" w:hAnsi="Times New Roman"/>
          <w:kern w:val="21"/>
        </w:rPr>
      </w:pPr>
      <w:r>
        <w:rPr>
          <w:rFonts w:ascii="Times New Roman" w:hAnsi="Times New Roman"/>
          <w:kern w:val="21"/>
        </w:rPr>
        <w:t>（2）加强环境事故专业技术人员日常培训和事故源工作人员的培训管理，培养一批训练有素的环境应急处置、检验、监测和救护队伍；</w:t>
      </w:r>
    </w:p>
    <w:p>
      <w:pPr>
        <w:adjustRightInd w:val="0"/>
        <w:snapToGrid w:val="0"/>
        <w:ind w:firstLine="480"/>
        <w:rPr>
          <w:rFonts w:ascii="Times New Roman" w:hAnsi="Times New Roman"/>
          <w:kern w:val="21"/>
        </w:rPr>
      </w:pPr>
      <w:r>
        <w:rPr>
          <w:rFonts w:ascii="Times New Roman" w:hAnsi="Times New Roman"/>
          <w:kern w:val="21"/>
        </w:rPr>
        <w:t>（3）定期组织环境应急实战演习，（具体的实战演习见第9章）提高防范和处置突发性环境污染事故的技能，增强实战能力，全面提高公众预防、避险、自救、互救、减灾等知识和技能。</w:t>
      </w:r>
    </w:p>
    <w:p>
      <w:pPr>
        <w:pStyle w:val="5"/>
        <w:adjustRightInd w:val="0"/>
        <w:spacing w:line="360" w:lineRule="auto"/>
        <w:jc w:val="both"/>
        <w:rPr>
          <w:kern w:val="21"/>
        </w:rPr>
      </w:pPr>
      <w:bookmarkStart w:id="547" w:name="_Toc286324581"/>
      <w:bookmarkStart w:id="548" w:name="_Toc246062344"/>
      <w:bookmarkStart w:id="549" w:name="_Toc393979473"/>
      <w:bookmarkStart w:id="550" w:name="_Toc400699392"/>
      <w:bookmarkStart w:id="551" w:name="_Toc25119"/>
      <w:r>
        <w:rPr>
          <w:kern w:val="21"/>
        </w:rPr>
        <w:t xml:space="preserve">8.6 </w:t>
      </w:r>
      <w:bookmarkEnd w:id="547"/>
      <w:bookmarkEnd w:id="548"/>
      <w:bookmarkEnd w:id="549"/>
      <w:bookmarkEnd w:id="550"/>
      <w:r>
        <w:rPr>
          <w:kern w:val="21"/>
        </w:rPr>
        <w:t>企业应急能力评估</w:t>
      </w:r>
      <w:bookmarkEnd w:id="551"/>
    </w:p>
    <w:p>
      <w:pPr>
        <w:pStyle w:val="6"/>
        <w:adjustRightInd w:val="0"/>
        <w:snapToGrid w:val="0"/>
        <w:jc w:val="both"/>
        <w:rPr>
          <w:kern w:val="21"/>
        </w:rPr>
      </w:pPr>
      <w:bookmarkStart w:id="552" w:name="_Toc16520"/>
      <w:r>
        <w:rPr>
          <w:kern w:val="21"/>
        </w:rPr>
        <w:t>8.6.1应急装备能力评估</w:t>
      </w:r>
      <w:bookmarkEnd w:id="552"/>
    </w:p>
    <w:p>
      <w:pPr>
        <w:adjustRightInd w:val="0"/>
        <w:snapToGrid w:val="0"/>
        <w:ind w:firstLine="480"/>
        <w:rPr>
          <w:rFonts w:ascii="Times New Roman" w:hAnsi="Times New Roman"/>
          <w:kern w:val="21"/>
        </w:rPr>
      </w:pPr>
      <w:r>
        <w:rPr>
          <w:rFonts w:ascii="Times New Roman" w:hAnsi="Times New Roman"/>
          <w:kern w:val="21"/>
        </w:rPr>
        <w:t>从企业应急装备现状来看，企业应急物资相对完善，但是缺少应急抢险过程中必须的疏散隔离及设置警戒线需要的相关物资，应急物资的布置较为集中，应在其他环境风险单元配备相应急救物资；另外个别风险单元如初沉池无明显危险标识 ，企业应尽快补充完善重要物资及警示标识。</w:t>
      </w:r>
    </w:p>
    <w:p>
      <w:pPr>
        <w:pStyle w:val="6"/>
        <w:adjustRightInd w:val="0"/>
        <w:snapToGrid w:val="0"/>
        <w:jc w:val="both"/>
        <w:rPr>
          <w:kern w:val="21"/>
        </w:rPr>
      </w:pPr>
      <w:bookmarkStart w:id="553" w:name="_Toc32527"/>
      <w:r>
        <w:rPr>
          <w:kern w:val="21"/>
        </w:rPr>
        <w:t>8.6.2应急指挥能力评估</w:t>
      </w:r>
      <w:bookmarkEnd w:id="553"/>
    </w:p>
    <w:p>
      <w:pPr>
        <w:adjustRightInd w:val="0"/>
        <w:snapToGrid w:val="0"/>
        <w:ind w:firstLine="480"/>
        <w:rPr>
          <w:rFonts w:ascii="Times New Roman" w:hAnsi="Times New Roman"/>
          <w:kern w:val="21"/>
        </w:rPr>
      </w:pPr>
      <w:r>
        <w:rPr>
          <w:rFonts w:ascii="Times New Roman" w:hAnsi="Times New Roman"/>
          <w:kern w:val="21"/>
        </w:rPr>
        <w:t>公司成立事故应急救援指挥部，由董事长任总指挥，负责应急救援工作的组织和调度，董事长不在时，副指挥为临时总指挥，事故应急处理期间，全公司范围内一切救援力量与物资必须服从调派。事故发生时可及时预警和反应，将事故控制在初期阶段。</w:t>
      </w:r>
    </w:p>
    <w:p>
      <w:pPr>
        <w:adjustRightInd w:val="0"/>
        <w:snapToGrid w:val="0"/>
        <w:ind w:firstLine="480"/>
        <w:rPr>
          <w:rFonts w:ascii="Times New Roman" w:hAnsi="Times New Roman"/>
          <w:kern w:val="21"/>
        </w:rPr>
      </w:pPr>
      <w:r>
        <w:rPr>
          <w:rFonts w:ascii="Times New Roman" w:hAnsi="Times New Roman"/>
          <w:kern w:val="21"/>
        </w:rPr>
        <w:t>应急救援指挥部成员全部经过相关培训并考核合格。</w:t>
      </w:r>
    </w:p>
    <w:p>
      <w:pPr>
        <w:pStyle w:val="6"/>
        <w:adjustRightInd w:val="0"/>
        <w:snapToGrid w:val="0"/>
        <w:jc w:val="both"/>
        <w:rPr>
          <w:kern w:val="21"/>
        </w:rPr>
      </w:pPr>
      <w:bookmarkStart w:id="554" w:name="_Toc1835"/>
      <w:r>
        <w:rPr>
          <w:kern w:val="21"/>
        </w:rPr>
        <w:t>8.6.3应急救援能力评估</w:t>
      </w:r>
      <w:bookmarkEnd w:id="554"/>
    </w:p>
    <w:p>
      <w:pPr>
        <w:adjustRightInd w:val="0"/>
        <w:snapToGrid w:val="0"/>
        <w:ind w:firstLine="480"/>
        <w:rPr>
          <w:rFonts w:ascii="Times New Roman" w:hAnsi="Times New Roman"/>
          <w:kern w:val="21"/>
        </w:rPr>
      </w:pPr>
      <w:r>
        <w:rPr>
          <w:rFonts w:ascii="Times New Roman" w:hAnsi="Times New Roman"/>
          <w:kern w:val="21"/>
        </w:rPr>
        <w:t>在</w:t>
      </w:r>
      <w:r>
        <w:rPr>
          <w:rFonts w:hint="eastAsia" w:ascii="Times New Roman" w:hAnsi="Times New Roman"/>
          <w:kern w:val="21"/>
        </w:rPr>
        <w:t>本厂</w:t>
      </w:r>
      <w:r>
        <w:rPr>
          <w:rFonts w:ascii="Times New Roman" w:hAnsi="Times New Roman"/>
          <w:kern w:val="21"/>
        </w:rPr>
        <w:t>内部救援资源应急救援指挥部下设应急处置组、后勤联络组、应急监测组、警戒疏散组4个应急功能组，各小组设组长一名，并明确了各级人员和各专业处置队伍的具体职责和任务。公司定期进行突发应急培训、演练，事故发生时基本能及时进行处理。</w:t>
      </w:r>
    </w:p>
    <w:p>
      <w:pPr>
        <w:adjustRightInd w:val="0"/>
        <w:snapToGrid w:val="0"/>
        <w:ind w:firstLine="480"/>
        <w:rPr>
          <w:rFonts w:ascii="Times New Roman" w:hAnsi="Times New Roman"/>
          <w:kern w:val="21"/>
        </w:rPr>
      </w:pPr>
      <w:r>
        <w:rPr>
          <w:rFonts w:ascii="Times New Roman" w:hAnsi="Times New Roman"/>
          <w:kern w:val="21"/>
        </w:rPr>
        <w:t>外部救援资源可以依托环保部门（</w:t>
      </w:r>
      <w:r>
        <w:rPr>
          <w:rFonts w:hint="eastAsia" w:ascii="Times New Roman" w:hAnsi="Times New Roman"/>
          <w:kern w:val="21"/>
        </w:rPr>
        <w:t>湖口县</w:t>
      </w:r>
      <w:r>
        <w:rPr>
          <w:rFonts w:ascii="Times New Roman" w:hAnsi="Times New Roman"/>
          <w:kern w:val="21"/>
        </w:rPr>
        <w:t>生态环境局）、公安部门（110）、消防部门（119）报警，请求救援。</w:t>
      </w:r>
      <w:r>
        <w:rPr>
          <w:rFonts w:hint="eastAsia" w:ascii="Times New Roman" w:hAnsi="Times New Roman"/>
          <w:kern w:val="21"/>
        </w:rPr>
        <w:t>本厂</w:t>
      </w:r>
      <w:r>
        <w:rPr>
          <w:rFonts w:ascii="Times New Roman" w:hAnsi="Times New Roman"/>
          <w:kern w:val="21"/>
        </w:rPr>
        <w:t>突发环境事件应急处置专家组依托于江西省环境保护厅专家库。在应急状态下，企业可就近选择应急救援专家库专家组。</w:t>
      </w:r>
    </w:p>
    <w:p>
      <w:pPr>
        <w:adjustRightInd w:val="0"/>
        <w:snapToGrid w:val="0"/>
        <w:ind w:firstLine="480"/>
        <w:rPr>
          <w:rFonts w:ascii="Times New Roman" w:hAnsi="Times New Roman"/>
          <w:kern w:val="21"/>
        </w:rPr>
      </w:pPr>
      <w:r>
        <w:rPr>
          <w:rFonts w:ascii="Times New Roman" w:hAnsi="Times New Roman"/>
          <w:kern w:val="21"/>
        </w:rPr>
        <w:t>应加强与外部企业以及居民区的应急联动响应机制，熟悉外部应急资源条件及位置，发生事故时可及时向外部请求救援。</w:t>
      </w:r>
    </w:p>
    <w:p>
      <w:pPr>
        <w:pStyle w:val="6"/>
        <w:adjustRightInd w:val="0"/>
        <w:snapToGrid w:val="0"/>
        <w:jc w:val="both"/>
        <w:rPr>
          <w:kern w:val="21"/>
        </w:rPr>
      </w:pPr>
      <w:bookmarkStart w:id="555" w:name="_Toc28915"/>
      <w:r>
        <w:rPr>
          <w:kern w:val="21"/>
        </w:rPr>
        <w:t>8.6.4应急能力评估结论</w:t>
      </w:r>
      <w:bookmarkEnd w:id="555"/>
    </w:p>
    <w:p>
      <w:pPr>
        <w:adjustRightInd w:val="0"/>
        <w:snapToGrid w:val="0"/>
        <w:ind w:firstLine="480"/>
        <w:rPr>
          <w:rFonts w:ascii="Times New Roman" w:hAnsi="Times New Roman"/>
          <w:kern w:val="21"/>
        </w:rPr>
      </w:pPr>
      <w:r>
        <w:rPr>
          <w:rFonts w:ascii="Times New Roman" w:hAnsi="Times New Roman"/>
          <w:kern w:val="21"/>
        </w:rPr>
        <w:t>为保障环境应急体系始终处于良好的备战状态，企业要对各个抢险救援小组的制度设置情况和工作程序的建立与执行情况、人员培训与考核情况、应急装备和经费储备的管理与使用情况等方面，在环境应急能力评价体系中建立定期的、自上而下的监督、检查和考核机制。</w:t>
      </w:r>
    </w:p>
    <w:p>
      <w:pPr>
        <w:adjustRightInd w:val="0"/>
        <w:snapToGrid w:val="0"/>
        <w:ind w:firstLine="480"/>
        <w:rPr>
          <w:rFonts w:ascii="Times New Roman" w:hAnsi="Times New Roman"/>
          <w:kern w:val="21"/>
        </w:rPr>
      </w:pPr>
      <w:r>
        <w:rPr>
          <w:rFonts w:ascii="Times New Roman" w:hAnsi="Times New Roman"/>
          <w:kern w:val="21"/>
        </w:rPr>
        <w:t>该企业制定了一系列的环保管理规程，且在日常生产中应设有环保领导小组，负责该企业生产中涉及的环境保护工作，切实把环境保护制度落到实处。树立“预防为主，防胜于治”的风险事故防范思想，把环保指标纳入考核内容，明确指标、奖惩分明，力求做到防患于未然。</w:t>
      </w:r>
      <w:bookmarkStart w:id="556" w:name="_Toc342395931"/>
      <w:bookmarkStart w:id="557" w:name="_Toc350376367"/>
    </w:p>
    <w:bookmarkEnd w:id="556"/>
    <w:bookmarkEnd w:id="557"/>
    <w:p>
      <w:pPr>
        <w:pStyle w:val="4"/>
        <w:adjustRightInd w:val="0"/>
        <w:snapToGrid w:val="0"/>
        <w:rPr>
          <w:kern w:val="21"/>
        </w:rPr>
      </w:pPr>
      <w:bookmarkStart w:id="558" w:name="_Toc24407"/>
      <w:bookmarkStart w:id="559" w:name="_Toc9952"/>
      <w:bookmarkStart w:id="560" w:name="_Toc9391"/>
      <w:bookmarkStart w:id="561" w:name="_Toc26888"/>
      <w:bookmarkStart w:id="562" w:name="_Toc350376376"/>
      <w:bookmarkStart w:id="563" w:name="_Toc342395934"/>
      <w:r>
        <w:rPr>
          <w:rFonts w:hint="eastAsia"/>
        </w:rPr>
        <w:t>9预案管理</w:t>
      </w:r>
      <w:bookmarkEnd w:id="558"/>
      <w:bookmarkEnd w:id="559"/>
      <w:bookmarkEnd w:id="560"/>
    </w:p>
    <w:p>
      <w:pPr>
        <w:pStyle w:val="5"/>
        <w:adjustRightInd w:val="0"/>
        <w:spacing w:line="360" w:lineRule="auto"/>
        <w:rPr>
          <w:kern w:val="21"/>
        </w:rPr>
      </w:pPr>
      <w:bookmarkStart w:id="564" w:name="_Toc32699"/>
      <w:bookmarkStart w:id="565" w:name="_Toc9125"/>
      <w:bookmarkStart w:id="566" w:name="_Toc15440"/>
      <w:bookmarkStart w:id="567" w:name="_Toc9944"/>
      <w:bookmarkStart w:id="568" w:name="_Toc26057"/>
      <w:bookmarkStart w:id="569" w:name="_Toc14279"/>
      <w:bookmarkStart w:id="570" w:name="_Toc17876"/>
      <w:bookmarkStart w:id="571" w:name="_Toc19840"/>
      <w:bookmarkStart w:id="572" w:name="_Toc8293"/>
      <w:bookmarkStart w:id="573" w:name="_Toc1446"/>
      <w:bookmarkStart w:id="574" w:name="_Toc13693"/>
      <w:bookmarkStart w:id="575" w:name="_Toc5010"/>
      <w:bookmarkStart w:id="576" w:name="_Toc20964"/>
      <w:bookmarkStart w:id="577" w:name="_Toc11607"/>
      <w:r>
        <w:rPr>
          <w:rFonts w:hint="eastAsia"/>
        </w:rPr>
        <w:t>9.1预案评估</w:t>
      </w:r>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p>
    <w:p>
      <w:pPr>
        <w:ind w:firstLine="480"/>
      </w:pPr>
      <w:r>
        <w:rPr>
          <w:rFonts w:hint="eastAsia" w:cs="宋体"/>
        </w:rPr>
        <w:t>在环境应急预案草案编制完成后，应急预案后勤保障组应当组织评估小组对本单位编制的环境应急预案进行评估。</w:t>
      </w:r>
    </w:p>
    <w:p>
      <w:pPr>
        <w:ind w:firstLine="480"/>
      </w:pPr>
      <w:r>
        <w:rPr>
          <w:rFonts w:hint="eastAsia" w:cs="宋体"/>
        </w:rPr>
        <w:t>环境应急预案评估小组的组成人员应当包括环境应急预案涉及的相关部门应急管理人员、相关行业协会、相邻重点风险源单位代表、周边社区（乡、镇）代表以及应急管理和专业技术方面的专家。</w:t>
      </w:r>
    </w:p>
    <w:p>
      <w:pPr>
        <w:ind w:firstLine="480"/>
      </w:pPr>
      <w:r>
        <w:rPr>
          <w:rFonts w:hint="eastAsia" w:cs="宋体"/>
        </w:rPr>
        <w:t>环境应急预案评估小组应当重点评估环境应急预案的实用性、基本要素的完整性、内容格式的规范性、应急保障措施的可行性以及与其他相关预案的衔接性等内容。</w:t>
      </w:r>
    </w:p>
    <w:p>
      <w:pPr>
        <w:ind w:firstLine="480"/>
      </w:pPr>
      <w:r>
        <w:rPr>
          <w:rFonts w:hint="eastAsia" w:cs="宋体"/>
        </w:rPr>
        <w:t>突发环境事件应急预案编制人员应当根据评估结果，对应急预案草案进行修改。</w:t>
      </w:r>
    </w:p>
    <w:p>
      <w:pPr>
        <w:pStyle w:val="5"/>
        <w:adjustRightInd w:val="0"/>
        <w:spacing w:line="360" w:lineRule="auto"/>
      </w:pPr>
      <w:bookmarkStart w:id="578" w:name="_Toc23273"/>
      <w:bookmarkStart w:id="579" w:name="_Toc24811"/>
      <w:bookmarkStart w:id="580" w:name="_Toc16022"/>
      <w:bookmarkStart w:id="581" w:name="_Toc10642"/>
      <w:bookmarkStart w:id="582" w:name="_Toc6297"/>
      <w:bookmarkStart w:id="583" w:name="_Toc9189"/>
      <w:bookmarkStart w:id="584" w:name="_Toc24587"/>
      <w:bookmarkStart w:id="585" w:name="_Toc32149"/>
      <w:bookmarkStart w:id="586" w:name="_Toc10357"/>
      <w:bookmarkStart w:id="587" w:name="_Toc29843"/>
      <w:bookmarkStart w:id="588" w:name="_Toc26901"/>
      <w:bookmarkStart w:id="589" w:name="_Toc7867"/>
      <w:bookmarkStart w:id="590" w:name="_Toc18573"/>
      <w:bookmarkStart w:id="591" w:name="_Toc1937"/>
      <w:r>
        <w:rPr>
          <w:rFonts w:hint="eastAsia"/>
        </w:rPr>
        <w:t>9</w:t>
      </w:r>
      <w:r>
        <w:t>.</w:t>
      </w:r>
      <w:r>
        <w:rPr>
          <w:rFonts w:hint="eastAsia"/>
        </w:rPr>
        <w:t>2预案备案</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p>
    <w:p>
      <w:pPr>
        <w:ind w:firstLine="480"/>
      </w:pPr>
      <w:r>
        <w:rPr>
          <w:rFonts w:hint="eastAsia" w:cs="宋体"/>
        </w:rPr>
        <w:t>企业编制的环境应急预案，应当在本单位主要负责人签署实施之日起</w:t>
      </w:r>
      <w:r>
        <w:t>20</w:t>
      </w:r>
      <w:r>
        <w:rPr>
          <w:rFonts w:hint="eastAsia" w:cs="宋体"/>
        </w:rPr>
        <w:t>个工作日内报所在地环境保护主管部门备案。</w:t>
      </w:r>
    </w:p>
    <w:p>
      <w:pPr>
        <w:pStyle w:val="5"/>
        <w:adjustRightInd w:val="0"/>
        <w:spacing w:line="360" w:lineRule="auto"/>
      </w:pPr>
      <w:bookmarkStart w:id="592" w:name="_Toc26810"/>
      <w:bookmarkStart w:id="593" w:name="_Toc26060"/>
      <w:bookmarkStart w:id="594" w:name="_Toc2962"/>
      <w:bookmarkStart w:id="595" w:name="_Toc25674"/>
      <w:bookmarkStart w:id="596" w:name="_Toc14110"/>
      <w:bookmarkStart w:id="597" w:name="_Toc19718"/>
      <w:bookmarkStart w:id="598" w:name="_Toc28960"/>
      <w:bookmarkStart w:id="599" w:name="_Toc4245"/>
      <w:bookmarkStart w:id="600" w:name="_Toc32119"/>
      <w:bookmarkStart w:id="601" w:name="_Toc6549"/>
      <w:bookmarkStart w:id="602" w:name="_Toc15377"/>
      <w:bookmarkStart w:id="603" w:name="_Toc24284"/>
      <w:bookmarkStart w:id="604" w:name="_Toc4775"/>
      <w:bookmarkStart w:id="605" w:name="_Toc23525"/>
      <w:r>
        <w:rPr>
          <w:rFonts w:hint="eastAsia"/>
        </w:rPr>
        <w:t>9</w:t>
      </w:r>
      <w:r>
        <w:t>.</w:t>
      </w:r>
      <w:r>
        <w:rPr>
          <w:rFonts w:hint="eastAsia"/>
        </w:rPr>
        <w:t>3预案发布与发放</w:t>
      </w:r>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pPr>
        <w:ind w:firstLine="480"/>
      </w:pPr>
      <w:r>
        <w:rPr>
          <w:rFonts w:hint="eastAsia" w:cs="宋体"/>
        </w:rPr>
        <w:t>公司应急预案经评估后，由总经理签署发布。</w:t>
      </w:r>
    </w:p>
    <w:p>
      <w:pPr>
        <w:ind w:firstLine="480"/>
      </w:pPr>
      <w:r>
        <w:rPr>
          <w:rFonts w:hint="eastAsia" w:cs="宋体"/>
        </w:rPr>
        <w:t>后勤组负责对应急预案的统一管理；</w:t>
      </w:r>
    </w:p>
    <w:p>
      <w:pPr>
        <w:ind w:firstLine="480"/>
      </w:pPr>
      <w:r>
        <w:rPr>
          <w:rFonts w:hint="eastAsia" w:cs="宋体"/>
        </w:rPr>
        <w:t>后勤组负责预案的管理发放，发放应建立发放记录，并及时对已发放预案进行更新，确保各部门获得最新版本的应急预案；</w:t>
      </w:r>
    </w:p>
    <w:p>
      <w:pPr>
        <w:ind w:firstLine="480"/>
      </w:pPr>
      <w:r>
        <w:rPr>
          <w:rFonts w:hint="eastAsia" w:cs="宋体"/>
        </w:rPr>
        <w:t>应发放给应急组织机构各成员和各部门主要负责人、岗位。</w:t>
      </w:r>
    </w:p>
    <w:p>
      <w:pPr>
        <w:pStyle w:val="5"/>
        <w:adjustRightInd w:val="0"/>
        <w:spacing w:line="360" w:lineRule="auto"/>
      </w:pPr>
      <w:bookmarkStart w:id="606" w:name="_Toc8676"/>
      <w:bookmarkStart w:id="607" w:name="_Toc13200"/>
      <w:bookmarkStart w:id="608" w:name="_Toc15679"/>
      <w:bookmarkStart w:id="609" w:name="_Toc17698"/>
      <w:bookmarkStart w:id="610" w:name="_Toc825"/>
      <w:bookmarkStart w:id="611" w:name="_Toc3678"/>
      <w:bookmarkStart w:id="612" w:name="_Toc15316"/>
      <w:bookmarkStart w:id="613" w:name="_Toc18091"/>
      <w:bookmarkStart w:id="614" w:name="_Toc28067"/>
      <w:bookmarkStart w:id="615" w:name="_Toc4450"/>
      <w:bookmarkStart w:id="616" w:name="_Toc23046"/>
      <w:bookmarkStart w:id="617" w:name="_Toc1764"/>
      <w:bookmarkStart w:id="618" w:name="_Toc31582"/>
      <w:bookmarkStart w:id="619" w:name="_Toc10241"/>
      <w:r>
        <w:rPr>
          <w:rFonts w:hint="eastAsia"/>
        </w:rPr>
        <w:t>9</w:t>
      </w:r>
      <w:r>
        <w:t>.</w:t>
      </w:r>
      <w:r>
        <w:rPr>
          <w:rFonts w:hint="eastAsia"/>
        </w:rPr>
        <w:t>4应急预案的实施</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p>
    <w:p>
      <w:pPr>
        <w:ind w:firstLine="480"/>
        <w:rPr>
          <w:rFonts w:cs="宋体"/>
        </w:rPr>
      </w:pPr>
      <w:r>
        <w:rPr>
          <w:rFonts w:hint="eastAsia" w:cs="宋体"/>
        </w:rPr>
        <w:t>本预案自发布之日起施行。</w:t>
      </w:r>
    </w:p>
    <w:p>
      <w:pPr>
        <w:pStyle w:val="5"/>
        <w:adjustRightInd w:val="0"/>
        <w:spacing w:line="360" w:lineRule="auto"/>
      </w:pPr>
      <w:bookmarkStart w:id="620" w:name="_Toc25849"/>
      <w:bookmarkStart w:id="621" w:name="_Toc14171"/>
      <w:bookmarkStart w:id="622" w:name="_Toc19567"/>
      <w:bookmarkStart w:id="623" w:name="_Toc5217"/>
      <w:bookmarkStart w:id="624" w:name="_Toc19008"/>
      <w:bookmarkStart w:id="625" w:name="_Toc10798"/>
      <w:bookmarkStart w:id="626" w:name="_Toc1024"/>
      <w:r>
        <w:rPr>
          <w:rFonts w:hint="eastAsia"/>
        </w:rPr>
        <w:t>9.5环境应急预案和演练</w:t>
      </w:r>
      <w:bookmarkEnd w:id="620"/>
      <w:bookmarkEnd w:id="621"/>
      <w:bookmarkEnd w:id="622"/>
      <w:bookmarkEnd w:id="623"/>
      <w:bookmarkEnd w:id="624"/>
      <w:bookmarkEnd w:id="625"/>
      <w:bookmarkEnd w:id="626"/>
    </w:p>
    <w:p>
      <w:pPr>
        <w:numPr>
          <w:ilvl w:val="0"/>
          <w:numId w:val="7"/>
        </w:numPr>
        <w:ind w:firstLine="720" w:firstLineChars="300"/>
      </w:pPr>
      <w:r>
        <w:rPr>
          <w:rFonts w:hint="eastAsia"/>
        </w:rPr>
        <w:t>环境应急预案的目的是健全突发环境事件应对工作机制，科学有序高效应对突发环境事件，保障人民群众生命财产安全和环境安全，促进社会全面、协调、可持续发展；</w:t>
      </w:r>
    </w:p>
    <w:p>
      <w:pPr>
        <w:numPr>
          <w:ilvl w:val="0"/>
          <w:numId w:val="7"/>
        </w:numPr>
        <w:ind w:firstLine="720" w:firstLineChars="300"/>
      </w:pPr>
      <w:r>
        <w:rPr>
          <w:rFonts w:hint="eastAsia"/>
        </w:rPr>
        <w:t>环境应急预案演练</w:t>
      </w:r>
    </w:p>
    <w:p>
      <w:pPr>
        <w:ind w:firstLine="480"/>
        <w:outlineLvl w:val="1"/>
      </w:pPr>
      <w:bookmarkStart w:id="627" w:name="_Toc18272"/>
      <w:bookmarkStart w:id="628" w:name="_Toc24649"/>
      <w:r>
        <w:rPr>
          <w:rFonts w:hint="eastAsia"/>
        </w:rPr>
        <w:t>一、演练分类及内容</w:t>
      </w:r>
      <w:bookmarkEnd w:id="627"/>
      <w:bookmarkEnd w:id="628"/>
    </w:p>
    <w:p>
      <w:pPr>
        <w:ind w:firstLine="480"/>
      </w:pPr>
      <w:r>
        <w:rPr>
          <w:rFonts w:hint="eastAsia" w:cs="宋体"/>
        </w:rPr>
        <w:t>（</w:t>
      </w:r>
      <w:r>
        <w:t>1</w:t>
      </w:r>
      <w:r>
        <w:rPr>
          <w:rFonts w:hint="eastAsia" w:cs="宋体"/>
        </w:rPr>
        <w:t>）演练分类</w:t>
      </w:r>
    </w:p>
    <w:p>
      <w:pPr>
        <w:ind w:firstLine="480"/>
      </w:pPr>
      <w:r>
        <w:rPr>
          <w:rFonts w:hint="eastAsia" w:cs="宋体"/>
        </w:rPr>
        <w:t>组织指挥演练：由指挥领导小组组长和各专业小组负责人分别按应急救援预案要求，以组织指挥的形式组织实施应急救援任务的演练；</w:t>
      </w:r>
    </w:p>
    <w:p>
      <w:pPr>
        <w:ind w:firstLine="480"/>
      </w:pPr>
      <w:r>
        <w:rPr>
          <w:rFonts w:hint="eastAsia" w:cs="宋体"/>
        </w:rPr>
        <w:t>单项演练：由各专业小组各自开展的应急救援任务中的单项科目的演练；</w:t>
      </w:r>
    </w:p>
    <w:p>
      <w:pPr>
        <w:ind w:firstLine="480"/>
      </w:pPr>
      <w:r>
        <w:rPr>
          <w:rFonts w:hint="eastAsia" w:cs="宋体"/>
        </w:rPr>
        <w:t>综合演练：由应急救援部按应急救援预案要求，开展的全面演练。</w:t>
      </w:r>
    </w:p>
    <w:p>
      <w:pPr>
        <w:ind w:firstLine="480"/>
      </w:pPr>
      <w:r>
        <w:rPr>
          <w:rFonts w:hint="eastAsia" w:cs="宋体"/>
        </w:rPr>
        <w:t>（</w:t>
      </w:r>
      <w:r>
        <w:t>2</w:t>
      </w:r>
      <w:r>
        <w:rPr>
          <w:rFonts w:hint="eastAsia" w:cs="宋体"/>
        </w:rPr>
        <w:t>）演练内容</w:t>
      </w:r>
    </w:p>
    <w:p>
      <w:pPr>
        <w:ind w:firstLine="480"/>
      </w:pPr>
      <w:r>
        <w:rPr>
          <w:rFonts w:hint="eastAsia" w:ascii="宋体" w:cs="宋体"/>
        </w:rPr>
        <w:t>⊙</w:t>
      </w:r>
      <w:r>
        <w:rPr>
          <w:rFonts w:hint="eastAsia" w:cs="宋体"/>
        </w:rPr>
        <w:t>车间、仓库发生火灾，化学品、危险废物临时存放点泄漏的应急处置抢险；</w:t>
      </w:r>
    </w:p>
    <w:p>
      <w:pPr>
        <w:ind w:firstLine="480"/>
      </w:pPr>
      <w:r>
        <w:rPr>
          <w:rFonts w:hint="eastAsia" w:ascii="宋体" w:cs="宋体"/>
        </w:rPr>
        <w:t>⊙</w:t>
      </w:r>
      <w:r>
        <w:rPr>
          <w:rFonts w:hint="eastAsia" w:cs="宋体"/>
        </w:rPr>
        <w:t>通信及报警信号的联络；</w:t>
      </w:r>
    </w:p>
    <w:p>
      <w:pPr>
        <w:ind w:firstLine="480"/>
      </w:pPr>
      <w:r>
        <w:rPr>
          <w:rFonts w:hint="eastAsia" w:ascii="宋体" w:cs="宋体"/>
        </w:rPr>
        <w:t>⊙</w:t>
      </w:r>
      <w:r>
        <w:rPr>
          <w:rFonts w:hint="eastAsia" w:cs="宋体"/>
        </w:rPr>
        <w:t>急救及医疗；</w:t>
      </w:r>
    </w:p>
    <w:p>
      <w:pPr>
        <w:ind w:firstLine="480"/>
      </w:pPr>
      <w:r>
        <w:rPr>
          <w:rFonts w:hint="eastAsia" w:ascii="宋体" w:cs="宋体"/>
        </w:rPr>
        <w:t>⊙</w:t>
      </w:r>
      <w:r>
        <w:rPr>
          <w:rFonts w:hint="eastAsia" w:cs="宋体"/>
        </w:rPr>
        <w:t>应急抢救处理；</w:t>
      </w:r>
    </w:p>
    <w:p>
      <w:pPr>
        <w:ind w:firstLine="480"/>
      </w:pPr>
      <w:r>
        <w:rPr>
          <w:rFonts w:hint="eastAsia" w:ascii="宋体" w:cs="宋体"/>
        </w:rPr>
        <w:t>⊙</w:t>
      </w:r>
      <w:r>
        <w:rPr>
          <w:rFonts w:hint="eastAsia" w:cs="宋体"/>
        </w:rPr>
        <w:t>防护指导，包括专业人员的个人防护及员工的自我防护；</w:t>
      </w:r>
    </w:p>
    <w:p>
      <w:pPr>
        <w:ind w:firstLine="480"/>
      </w:pPr>
      <w:r>
        <w:rPr>
          <w:rFonts w:hint="eastAsia" w:ascii="宋体" w:cs="宋体"/>
        </w:rPr>
        <w:t>⊙</w:t>
      </w:r>
      <w:r>
        <w:rPr>
          <w:rFonts w:hint="eastAsia" w:cs="宋体"/>
        </w:rPr>
        <w:t>各种标志、设置警戒范围及人员控制；</w:t>
      </w:r>
    </w:p>
    <w:p>
      <w:pPr>
        <w:ind w:firstLine="480"/>
      </w:pPr>
      <w:r>
        <w:rPr>
          <w:rFonts w:hint="eastAsia" w:ascii="宋体" w:cs="宋体"/>
        </w:rPr>
        <w:t>⊙</w:t>
      </w:r>
      <w:r>
        <w:rPr>
          <w:rFonts w:hint="eastAsia" w:cs="宋体"/>
        </w:rPr>
        <w:t>厂内交通控制及管理；</w:t>
      </w:r>
    </w:p>
    <w:p>
      <w:pPr>
        <w:ind w:firstLine="480"/>
      </w:pPr>
      <w:r>
        <w:rPr>
          <w:rFonts w:hint="eastAsia" w:ascii="宋体" w:cs="宋体"/>
        </w:rPr>
        <w:t>⊙</w:t>
      </w:r>
      <w:r>
        <w:rPr>
          <w:rFonts w:hint="eastAsia" w:cs="宋体"/>
        </w:rPr>
        <w:t>泄漏污染区域内人员的疏散撤离及人员清查；</w:t>
      </w:r>
    </w:p>
    <w:p>
      <w:pPr>
        <w:ind w:firstLine="480"/>
      </w:pPr>
      <w:r>
        <w:rPr>
          <w:rFonts w:hint="eastAsia" w:ascii="宋体" w:cs="宋体"/>
        </w:rPr>
        <w:t>⊙</w:t>
      </w:r>
      <w:r>
        <w:rPr>
          <w:rFonts w:hint="eastAsia" w:cs="宋体"/>
        </w:rPr>
        <w:t>向上级报告情况及向友邻单位通报情况；</w:t>
      </w:r>
    </w:p>
    <w:p>
      <w:pPr>
        <w:ind w:firstLine="480"/>
      </w:pPr>
      <w:r>
        <w:rPr>
          <w:rFonts w:hint="eastAsia" w:ascii="宋体" w:cs="宋体"/>
        </w:rPr>
        <w:t>⊙</w:t>
      </w:r>
      <w:r>
        <w:rPr>
          <w:rFonts w:hint="eastAsia" w:cs="宋体"/>
        </w:rPr>
        <w:t>事故的善后工作。</w:t>
      </w:r>
    </w:p>
    <w:p>
      <w:pPr>
        <w:ind w:firstLine="480"/>
        <w:outlineLvl w:val="1"/>
      </w:pPr>
      <w:bookmarkStart w:id="629" w:name="_Toc23826"/>
      <w:bookmarkStart w:id="630" w:name="_Toc9570"/>
      <w:r>
        <w:rPr>
          <w:rFonts w:hint="eastAsia"/>
        </w:rPr>
        <w:t>二、演练组织与级别</w:t>
      </w:r>
      <w:bookmarkEnd w:id="629"/>
      <w:bookmarkEnd w:id="630"/>
    </w:p>
    <w:p>
      <w:pPr>
        <w:ind w:firstLine="480"/>
      </w:pPr>
      <w:r>
        <w:rPr>
          <w:rFonts w:hint="eastAsia" w:cs="宋体"/>
        </w:rPr>
        <w:t>应急演练分为部门、公司级演练和配合政府部门演练三级；</w:t>
      </w:r>
    </w:p>
    <w:p>
      <w:pPr>
        <w:ind w:firstLine="480"/>
      </w:pPr>
      <w:r>
        <w:rPr>
          <w:rFonts w:hint="eastAsia" w:cs="宋体"/>
        </w:rPr>
        <w:t>部门级的演练由部门负责人（现场指挥）组织进行，公司安全、环保、技术及相关部门派员观摩指导；</w:t>
      </w:r>
    </w:p>
    <w:p>
      <w:pPr>
        <w:ind w:firstLine="480"/>
      </w:pPr>
      <w:r>
        <w:rPr>
          <w:rFonts w:hint="eastAsia" w:cs="宋体"/>
        </w:rPr>
        <w:t>公司级演练由公司应急小组组织进行，各相关部门参加；</w:t>
      </w:r>
    </w:p>
    <w:p>
      <w:pPr>
        <w:ind w:firstLine="480"/>
      </w:pPr>
      <w:r>
        <w:rPr>
          <w:rFonts w:hint="eastAsia" w:cs="宋体"/>
        </w:rPr>
        <w:t>与政府有关部门的联合演练，由政府有关部门组织进行，公司应急小组成员参加，相关部门人员参加配合。</w:t>
      </w:r>
    </w:p>
    <w:p>
      <w:pPr>
        <w:ind w:firstLine="480"/>
        <w:outlineLvl w:val="1"/>
      </w:pPr>
      <w:bookmarkStart w:id="631" w:name="_Toc2027"/>
      <w:bookmarkStart w:id="632" w:name="_Toc17133"/>
      <w:r>
        <w:rPr>
          <w:rFonts w:hint="eastAsia"/>
        </w:rPr>
        <w:t>三、演练准备</w:t>
      </w:r>
      <w:bookmarkEnd w:id="631"/>
      <w:bookmarkEnd w:id="632"/>
    </w:p>
    <w:p>
      <w:pPr>
        <w:ind w:firstLine="480"/>
      </w:pPr>
      <w:r>
        <w:rPr>
          <w:rFonts w:hint="eastAsia" w:cs="宋体"/>
        </w:rPr>
        <w:t>演练确定年度工作计划时，制订演练方案，按演练级别报应急总指挥审批；</w:t>
      </w:r>
    </w:p>
    <w:p>
      <w:pPr>
        <w:ind w:firstLine="480"/>
      </w:pPr>
      <w:r>
        <w:rPr>
          <w:rFonts w:hint="eastAsia" w:cs="宋体"/>
        </w:rPr>
        <w:t>演练前应落实所需的各种器材装备与物资、交通车辆、防护器材的准备，以确保演练顺利进行；</w:t>
      </w:r>
    </w:p>
    <w:p>
      <w:pPr>
        <w:ind w:firstLine="480"/>
      </w:pPr>
      <w:r>
        <w:rPr>
          <w:rFonts w:hint="eastAsia" w:cs="宋体"/>
        </w:rPr>
        <w:t>演练前应通知周边社区、企业人员，必要时与新闻媒体沟通，以避免造成不必要的影响。</w:t>
      </w:r>
    </w:p>
    <w:p>
      <w:pPr>
        <w:ind w:firstLine="480"/>
        <w:outlineLvl w:val="1"/>
      </w:pPr>
      <w:bookmarkStart w:id="633" w:name="_Toc1538"/>
      <w:bookmarkStart w:id="634" w:name="_Toc29694"/>
      <w:r>
        <w:rPr>
          <w:rFonts w:hint="eastAsia"/>
        </w:rPr>
        <w:t>四、演练频次与范围</w:t>
      </w:r>
      <w:bookmarkEnd w:id="633"/>
      <w:bookmarkEnd w:id="634"/>
    </w:p>
    <w:p>
      <w:pPr>
        <w:ind w:firstLine="480"/>
      </w:pPr>
      <w:r>
        <w:rPr>
          <w:rFonts w:hint="eastAsia" w:cs="宋体"/>
        </w:rPr>
        <w:t>车间部门演练（或训练）以报警、报告程序、现场应急处置、紧急疏散等熟悉应急响应和某项应急功能的单项演练，演练频次每年</w:t>
      </w:r>
      <w:r>
        <w:t>2</w:t>
      </w:r>
      <w:r>
        <w:rPr>
          <w:rFonts w:hint="eastAsia" w:cs="宋体"/>
        </w:rPr>
        <w:t>次以上；</w:t>
      </w:r>
    </w:p>
    <w:p>
      <w:pPr>
        <w:ind w:firstLine="480"/>
      </w:pPr>
      <w:r>
        <w:rPr>
          <w:rFonts w:hint="eastAsia" w:cs="宋体"/>
        </w:rPr>
        <w:t>公司级演练以多个应急小组之间或某些外部应急组织之间相互协调进行的演练与公司级预案全部或部分功能的综合演练，演练频次每年</w:t>
      </w:r>
      <w:r>
        <w:t>1</w:t>
      </w:r>
      <w:r>
        <w:rPr>
          <w:rFonts w:hint="eastAsia" w:cs="宋体"/>
        </w:rPr>
        <w:t>次以上。政府有关部门的演练，公司积极组织参加。</w:t>
      </w:r>
    </w:p>
    <w:p>
      <w:pPr>
        <w:pStyle w:val="5"/>
        <w:adjustRightInd w:val="0"/>
        <w:spacing w:line="360" w:lineRule="auto"/>
      </w:pPr>
      <w:bookmarkStart w:id="635" w:name="_Toc390869105"/>
      <w:bookmarkStart w:id="636" w:name="_Toc386980304"/>
      <w:bookmarkStart w:id="637" w:name="_Toc387409168"/>
      <w:bookmarkStart w:id="638" w:name="_Toc390868972"/>
      <w:bookmarkStart w:id="639" w:name="_Toc391374728"/>
      <w:bookmarkStart w:id="640" w:name="_Toc18462"/>
      <w:bookmarkStart w:id="641" w:name="_Toc4764"/>
      <w:bookmarkStart w:id="642" w:name="_Toc10522"/>
      <w:bookmarkStart w:id="643" w:name="_Toc29330"/>
      <w:bookmarkStart w:id="644" w:name="_Toc21092"/>
      <w:bookmarkStart w:id="645" w:name="_Toc21876"/>
      <w:bookmarkStart w:id="646" w:name="_Toc26402"/>
      <w:bookmarkStart w:id="647" w:name="_Toc26109"/>
      <w:bookmarkStart w:id="648" w:name="_Toc26860"/>
      <w:bookmarkStart w:id="649" w:name="_Toc11160"/>
      <w:bookmarkStart w:id="650" w:name="_Toc18382"/>
      <w:r>
        <w:rPr>
          <w:rFonts w:hint="eastAsia"/>
        </w:rPr>
        <w:t>9.6</w:t>
      </w:r>
      <w:r>
        <w:rPr>
          <w:rFonts w:hint="eastAsia" w:cs="宋体"/>
        </w:rPr>
        <w:t>应急培训</w:t>
      </w:r>
      <w:bookmarkEnd w:id="635"/>
      <w:bookmarkEnd w:id="636"/>
      <w:bookmarkEnd w:id="637"/>
      <w:bookmarkEnd w:id="638"/>
      <w:bookmarkEnd w:id="639"/>
      <w:r>
        <w:rPr>
          <w:rFonts w:hint="eastAsia" w:cs="宋体"/>
        </w:rPr>
        <w:t>与频次</w:t>
      </w:r>
      <w:bookmarkEnd w:id="640"/>
      <w:bookmarkEnd w:id="641"/>
      <w:bookmarkEnd w:id="642"/>
      <w:bookmarkEnd w:id="643"/>
      <w:bookmarkEnd w:id="644"/>
    </w:p>
    <w:p>
      <w:pPr>
        <w:ind w:firstLine="480"/>
      </w:pPr>
      <w:r>
        <w:rPr>
          <w:rFonts w:hint="eastAsia" w:cs="宋体"/>
        </w:rPr>
        <w:t>后勤组负责组织、指导应急预案的培训工作，各相关部门负责人做好日常预案的学习培训，根据预案实施情况制定相应的培训计划，采取多种形式对应急人员进行应急知识和技能的培训，培训应做好记录和培训评估。</w:t>
      </w:r>
    </w:p>
    <w:p>
      <w:pPr>
        <w:pStyle w:val="64"/>
        <w:outlineLvl w:val="1"/>
        <w:rPr>
          <w:color w:val="auto"/>
        </w:rPr>
      </w:pPr>
      <w:bookmarkStart w:id="651" w:name="_Toc31849"/>
      <w:bookmarkStart w:id="652" w:name="_Toc390868973"/>
      <w:bookmarkStart w:id="653" w:name="_Toc21615"/>
      <w:r>
        <w:rPr>
          <w:rFonts w:hint="eastAsia"/>
          <w:color w:val="auto"/>
        </w:rPr>
        <w:t>9.6</w:t>
      </w:r>
      <w:r>
        <w:rPr>
          <w:color w:val="auto"/>
        </w:rPr>
        <w:t>.1</w:t>
      </w:r>
      <w:r>
        <w:rPr>
          <w:rFonts w:hint="eastAsia" w:cs="宋体"/>
          <w:color w:val="auto"/>
        </w:rPr>
        <w:t>生产区操作人员的培训</w:t>
      </w:r>
      <w:bookmarkEnd w:id="651"/>
      <w:bookmarkEnd w:id="652"/>
      <w:bookmarkEnd w:id="653"/>
    </w:p>
    <w:p>
      <w:pPr>
        <w:ind w:firstLine="480"/>
      </w:pPr>
      <w:r>
        <w:rPr>
          <w:rFonts w:hint="eastAsia" w:cs="宋体"/>
        </w:rPr>
        <w:t>针对应急救援的基本要求，系统培训厂区操作人员，发生各级危险物事故时报警、紧急处置、逃生、个体防护、急救、紧急疏散等程序的基本要求。培训主要内容：</w:t>
      </w:r>
    </w:p>
    <w:p>
      <w:pPr>
        <w:ind w:firstLine="480"/>
      </w:pPr>
      <w:r>
        <w:t>a.</w:t>
      </w:r>
      <w:r>
        <w:rPr>
          <w:rFonts w:hint="eastAsia" w:cs="宋体"/>
        </w:rPr>
        <w:t>企业安全生产规章制度、安全操作规程；</w:t>
      </w:r>
    </w:p>
    <w:p>
      <w:pPr>
        <w:ind w:firstLine="480"/>
      </w:pPr>
      <w:r>
        <w:t>b.</w:t>
      </w:r>
      <w:r>
        <w:rPr>
          <w:rFonts w:hint="eastAsia" w:cs="宋体"/>
        </w:rPr>
        <w:t>防火、防爆、防毒的基本知识；</w:t>
      </w:r>
    </w:p>
    <w:p>
      <w:pPr>
        <w:ind w:firstLine="480"/>
      </w:pPr>
      <w:r>
        <w:t>c.</w:t>
      </w:r>
      <w:r>
        <w:rPr>
          <w:rFonts w:hint="eastAsia" w:cs="宋体"/>
        </w:rPr>
        <w:t>生产过程中异常情况的排除、处理方法；</w:t>
      </w:r>
    </w:p>
    <w:p>
      <w:pPr>
        <w:ind w:firstLine="480"/>
      </w:pPr>
      <w:r>
        <w:t>d.</w:t>
      </w:r>
      <w:r>
        <w:rPr>
          <w:rFonts w:hint="eastAsia" w:cs="宋体"/>
        </w:rPr>
        <w:t>事故发生后如何开展自救和互救；</w:t>
      </w:r>
    </w:p>
    <w:p>
      <w:pPr>
        <w:ind w:firstLine="480"/>
      </w:pPr>
      <w:r>
        <w:t>e.</w:t>
      </w:r>
      <w:r>
        <w:rPr>
          <w:rFonts w:hint="eastAsia" w:cs="宋体"/>
        </w:rPr>
        <w:t>事故发生后的撤离和疏散方法。</w:t>
      </w:r>
    </w:p>
    <w:p>
      <w:pPr>
        <w:ind w:firstLine="480"/>
      </w:pPr>
      <w:r>
        <w:rPr>
          <w:rFonts w:hint="eastAsia" w:cs="宋体"/>
        </w:rPr>
        <w:t>采取的方式：课堂教学、综合讨论、现场讲解等。</w:t>
      </w:r>
    </w:p>
    <w:p>
      <w:pPr>
        <w:pStyle w:val="64"/>
        <w:outlineLvl w:val="1"/>
        <w:rPr>
          <w:color w:val="auto"/>
        </w:rPr>
      </w:pPr>
      <w:bookmarkStart w:id="654" w:name="_Toc7487"/>
      <w:bookmarkStart w:id="655" w:name="_Toc390868974"/>
      <w:bookmarkStart w:id="656" w:name="_Toc11684"/>
      <w:bookmarkStart w:id="657" w:name="_Toc386210827"/>
      <w:r>
        <w:rPr>
          <w:rFonts w:hint="eastAsia"/>
          <w:color w:val="auto"/>
        </w:rPr>
        <w:t>9.6</w:t>
      </w:r>
      <w:r>
        <w:rPr>
          <w:color w:val="auto"/>
        </w:rPr>
        <w:t>.2</w:t>
      </w:r>
      <w:r>
        <w:rPr>
          <w:rFonts w:hint="eastAsia" w:cs="宋体"/>
          <w:color w:val="auto"/>
        </w:rPr>
        <w:t>应急救援队伍的培训</w:t>
      </w:r>
      <w:bookmarkEnd w:id="654"/>
      <w:bookmarkEnd w:id="655"/>
      <w:bookmarkEnd w:id="656"/>
      <w:bookmarkEnd w:id="657"/>
    </w:p>
    <w:p>
      <w:pPr>
        <w:ind w:firstLine="480"/>
      </w:pPr>
      <w:r>
        <w:rPr>
          <w:rFonts w:hint="eastAsia" w:cs="宋体"/>
        </w:rPr>
        <w:t>对厂区应急救援队伍的队员进行应急救援专业培训。培训主要内容：</w:t>
      </w:r>
    </w:p>
    <w:p>
      <w:pPr>
        <w:ind w:firstLine="480"/>
      </w:pPr>
      <w:r>
        <w:t>a.</w:t>
      </w:r>
      <w:r>
        <w:rPr>
          <w:rFonts w:hint="eastAsia" w:cs="宋体"/>
        </w:rPr>
        <w:t>了解、掌握事故应急救援预案内容；</w:t>
      </w:r>
    </w:p>
    <w:p>
      <w:pPr>
        <w:ind w:firstLine="480"/>
      </w:pPr>
      <w:r>
        <w:t>b.</w:t>
      </w:r>
      <w:r>
        <w:rPr>
          <w:rFonts w:hint="eastAsia" w:cs="宋体"/>
        </w:rPr>
        <w:t>熟悉使用各类防护器具；</w:t>
      </w:r>
    </w:p>
    <w:p>
      <w:pPr>
        <w:ind w:firstLine="480"/>
      </w:pPr>
      <w:r>
        <w:t>c,</w:t>
      </w:r>
      <w:r>
        <w:rPr>
          <w:rFonts w:hint="eastAsia" w:cs="宋体"/>
        </w:rPr>
        <w:t>如何展开事故现场抢救、救援及事故处置；</w:t>
      </w:r>
    </w:p>
    <w:p>
      <w:pPr>
        <w:ind w:firstLine="480"/>
      </w:pPr>
      <w:r>
        <w:t>d.</w:t>
      </w:r>
      <w:r>
        <w:rPr>
          <w:rFonts w:hint="eastAsia" w:cs="宋体"/>
        </w:rPr>
        <w:t>事故现场自我防护及监护措施。</w:t>
      </w:r>
    </w:p>
    <w:p>
      <w:pPr>
        <w:ind w:firstLine="480"/>
      </w:pPr>
      <w:r>
        <w:rPr>
          <w:rFonts w:hint="eastAsia" w:cs="宋体"/>
        </w:rPr>
        <w:t>采取的方式：课堂教学、综合讨论、现场讲解、模拟事故发生等。</w:t>
      </w:r>
    </w:p>
    <w:p>
      <w:pPr>
        <w:pStyle w:val="64"/>
        <w:outlineLvl w:val="1"/>
        <w:rPr>
          <w:color w:val="auto"/>
        </w:rPr>
      </w:pPr>
      <w:bookmarkStart w:id="658" w:name="_Toc8442"/>
      <w:bookmarkStart w:id="659" w:name="_Toc8712"/>
      <w:r>
        <w:rPr>
          <w:rFonts w:hint="eastAsia"/>
          <w:color w:val="auto"/>
        </w:rPr>
        <w:t>9.6</w:t>
      </w:r>
      <w:r>
        <w:rPr>
          <w:color w:val="auto"/>
        </w:rPr>
        <w:t>.3</w:t>
      </w:r>
      <w:r>
        <w:rPr>
          <w:rFonts w:hint="eastAsia" w:cs="宋体"/>
          <w:color w:val="auto"/>
        </w:rPr>
        <w:t>频次</w:t>
      </w:r>
      <w:bookmarkEnd w:id="658"/>
      <w:bookmarkEnd w:id="659"/>
    </w:p>
    <w:p>
      <w:pPr>
        <w:ind w:firstLine="480"/>
        <w:rPr>
          <w:rFonts w:cs="宋体"/>
        </w:rPr>
      </w:pPr>
      <w:r>
        <w:rPr>
          <w:rFonts w:hint="eastAsia" w:cs="宋体"/>
        </w:rPr>
        <w:t>本预案制订后实施后，所有应急指挥部成员，各专业救援组成员应认真学习本预案内容，明确在救援现场所担负的责任和义务。由应急指挥部对救援专业组成员每半年组织一次应急培训。</w:t>
      </w:r>
    </w:p>
    <w:p>
      <w:pPr>
        <w:pStyle w:val="5"/>
        <w:adjustRightInd w:val="0"/>
        <w:spacing w:line="360" w:lineRule="auto"/>
      </w:pPr>
      <w:bookmarkStart w:id="660" w:name="_Toc14003"/>
      <w:bookmarkStart w:id="661" w:name="_Toc15383"/>
      <w:bookmarkStart w:id="662" w:name="_Toc15202"/>
      <w:bookmarkStart w:id="663" w:name="_Toc8633"/>
      <w:r>
        <w:rPr>
          <w:rFonts w:hint="eastAsia"/>
        </w:rPr>
        <w:t>9</w:t>
      </w:r>
      <w:r>
        <w:t>.</w:t>
      </w:r>
      <w:r>
        <w:rPr>
          <w:rFonts w:hint="eastAsia"/>
        </w:rPr>
        <w:t>7预案维护与更新</w:t>
      </w:r>
      <w:bookmarkEnd w:id="645"/>
      <w:bookmarkEnd w:id="646"/>
      <w:bookmarkEnd w:id="647"/>
      <w:bookmarkEnd w:id="648"/>
      <w:bookmarkEnd w:id="649"/>
      <w:bookmarkEnd w:id="650"/>
      <w:bookmarkEnd w:id="660"/>
      <w:bookmarkEnd w:id="661"/>
      <w:bookmarkEnd w:id="662"/>
      <w:bookmarkEnd w:id="663"/>
    </w:p>
    <w:p>
      <w:pPr>
        <w:ind w:firstLine="480"/>
      </w:pPr>
      <w:r>
        <w:rPr>
          <w:rFonts w:hint="eastAsia" w:cs="宋体"/>
        </w:rPr>
        <w:t>环境应急预案演练结束后，企业应当对环境应急预案演练结果进行评估，撰写演练评估报告，分析存在问题，对环境应急预案提出修改意见。</w:t>
      </w:r>
    </w:p>
    <w:p>
      <w:pPr>
        <w:ind w:firstLine="480"/>
      </w:pPr>
      <w:r>
        <w:rPr>
          <w:rFonts w:hint="eastAsia" w:cs="宋体"/>
        </w:rPr>
        <w:t>企业应当按照有关法律法规和本办法的规定，根据实际需要和情势变化，依据有关预案编制指南或者编制修订框架指南修订环境应急预案。</w:t>
      </w:r>
    </w:p>
    <w:p>
      <w:pPr>
        <w:ind w:firstLine="480"/>
      </w:pPr>
      <w:r>
        <w:rPr>
          <w:rFonts w:hint="eastAsia" w:cs="宋体"/>
        </w:rPr>
        <w:t>企业结合环境应急预案实施情况，至少每三年对环境应急预案进行一次回顾性评估。有下列情形之一的，及时修订：</w:t>
      </w:r>
    </w:p>
    <w:p>
      <w:pPr>
        <w:ind w:firstLine="480"/>
      </w:pPr>
      <w:r>
        <w:rPr>
          <w:rFonts w:hint="eastAsia" w:cs="宋体"/>
        </w:rPr>
        <w:t>（一）面临的环境风险发生重大变化，需要重新进行环境风险评估的；</w:t>
      </w:r>
    </w:p>
    <w:p>
      <w:pPr>
        <w:ind w:firstLine="480"/>
      </w:pPr>
      <w:r>
        <w:rPr>
          <w:rFonts w:hint="eastAsia" w:cs="宋体"/>
        </w:rPr>
        <w:t>（二）应急管理组织指挥体系与职责发生重大变化的；</w:t>
      </w:r>
    </w:p>
    <w:p>
      <w:pPr>
        <w:ind w:firstLine="480"/>
      </w:pPr>
      <w:r>
        <w:rPr>
          <w:rFonts w:hint="eastAsia" w:cs="宋体"/>
        </w:rPr>
        <w:t>（三）环境应急监测预警及报告机制、应对流程和措施、应急保障措施发生重大变化的；</w:t>
      </w:r>
    </w:p>
    <w:p>
      <w:pPr>
        <w:ind w:firstLine="480"/>
      </w:pPr>
      <w:r>
        <w:rPr>
          <w:rFonts w:hint="eastAsia" w:cs="宋体"/>
        </w:rPr>
        <w:t>（四）重要应急资源发生重大变化的；</w:t>
      </w:r>
    </w:p>
    <w:p>
      <w:pPr>
        <w:ind w:firstLine="480"/>
      </w:pPr>
      <w:r>
        <w:rPr>
          <w:rFonts w:hint="eastAsia" w:cs="宋体"/>
        </w:rPr>
        <w:t>（五）在突发事件实际应对和应急演练中发现问题，需要对环境应急预案作出重大调整的；</w:t>
      </w:r>
    </w:p>
    <w:p>
      <w:pPr>
        <w:ind w:firstLine="480"/>
      </w:pPr>
      <w:r>
        <w:rPr>
          <w:rFonts w:hint="eastAsia" w:cs="宋体"/>
        </w:rPr>
        <w:t>（六）其他需要修订的情况。</w:t>
      </w:r>
    </w:p>
    <w:p>
      <w:pPr>
        <w:ind w:firstLine="480"/>
        <w:rPr>
          <w:kern w:val="21"/>
        </w:rPr>
      </w:pPr>
      <w:r>
        <w:rPr>
          <w:rFonts w:hint="eastAsia" w:cs="宋体"/>
        </w:rPr>
        <w:t>对环境应急预案进行重大修订的，修订工作参照环境应急预案制定步骤进行。对环境应急预案个别内容进行调整的，修订工作可适当简化。企业应当于环境应急预案修订后</w:t>
      </w:r>
      <w:r>
        <w:t>20</w:t>
      </w:r>
      <w:r>
        <w:rPr>
          <w:rFonts w:hint="eastAsia" w:cs="宋体"/>
        </w:rPr>
        <w:t>个工作日内将新修订的预案报原预案备案管理部门重新备案；预案备案部门可以根据预案修订的具体情况要求修订预案的环境保护主管部门或者企业事业单位对修订后的预案进行评估。</w:t>
      </w:r>
    </w:p>
    <w:p>
      <w:pPr>
        <w:pStyle w:val="4"/>
        <w:adjustRightInd w:val="0"/>
        <w:snapToGrid w:val="0"/>
        <w:jc w:val="both"/>
        <w:rPr>
          <w:kern w:val="21"/>
        </w:rPr>
      </w:pPr>
      <w:r>
        <w:rPr>
          <w:kern w:val="21"/>
        </w:rPr>
        <w:t>10、奖惩</w:t>
      </w:r>
      <w:bookmarkEnd w:id="561"/>
      <w:bookmarkEnd w:id="562"/>
      <w:bookmarkEnd w:id="563"/>
    </w:p>
    <w:p>
      <w:pPr>
        <w:pStyle w:val="5"/>
        <w:adjustRightInd w:val="0"/>
        <w:spacing w:line="360" w:lineRule="auto"/>
        <w:jc w:val="both"/>
        <w:rPr>
          <w:kern w:val="21"/>
        </w:rPr>
      </w:pPr>
      <w:bookmarkStart w:id="664" w:name="_Toc30911"/>
      <w:bookmarkStart w:id="665" w:name="_Toc342395935"/>
      <w:bookmarkStart w:id="666" w:name="_Toc350376377"/>
      <w:r>
        <w:rPr>
          <w:kern w:val="21"/>
        </w:rPr>
        <w:t>10.1 奖励</w:t>
      </w:r>
      <w:bookmarkEnd w:id="664"/>
      <w:bookmarkEnd w:id="665"/>
      <w:bookmarkEnd w:id="666"/>
    </w:p>
    <w:p>
      <w:pPr>
        <w:adjustRightInd w:val="0"/>
        <w:snapToGrid w:val="0"/>
        <w:ind w:firstLine="480"/>
        <w:rPr>
          <w:rFonts w:ascii="Times New Roman" w:hAnsi="Times New Roman"/>
          <w:kern w:val="21"/>
        </w:rPr>
      </w:pPr>
      <w:r>
        <w:rPr>
          <w:rFonts w:ascii="Times New Roman" w:hAnsi="Times New Roman"/>
          <w:kern w:val="21"/>
        </w:rPr>
        <w:t>在事故应急救援行动中，有下列表现的部门和个人，根据公司规定予以奖励：</w:t>
      </w:r>
    </w:p>
    <w:p>
      <w:pPr>
        <w:adjustRightInd w:val="0"/>
        <w:snapToGrid w:val="0"/>
        <w:ind w:firstLine="480"/>
        <w:rPr>
          <w:rFonts w:ascii="Times New Roman" w:hAnsi="Times New Roman"/>
          <w:kern w:val="21"/>
        </w:rPr>
      </w:pPr>
      <w:r>
        <w:rPr>
          <w:rFonts w:ascii="Times New Roman" w:hAnsi="Times New Roman"/>
          <w:kern w:val="21"/>
        </w:rPr>
        <w:t>（1）出色完成应急处置任务，成绩显著；</w:t>
      </w:r>
    </w:p>
    <w:p>
      <w:pPr>
        <w:adjustRightInd w:val="0"/>
        <w:snapToGrid w:val="0"/>
        <w:ind w:firstLine="480"/>
        <w:rPr>
          <w:rFonts w:ascii="Times New Roman" w:hAnsi="Times New Roman"/>
          <w:kern w:val="21"/>
        </w:rPr>
      </w:pPr>
      <w:r>
        <w:rPr>
          <w:rFonts w:ascii="Times New Roman" w:hAnsi="Times New Roman"/>
          <w:kern w:val="21"/>
        </w:rPr>
        <w:t>（2）防止或抢救事故有功，使公司财产免受损失或减少损失；</w:t>
      </w:r>
    </w:p>
    <w:p>
      <w:pPr>
        <w:adjustRightInd w:val="0"/>
        <w:snapToGrid w:val="0"/>
        <w:ind w:firstLine="480"/>
        <w:rPr>
          <w:rFonts w:ascii="Times New Roman" w:hAnsi="Times New Roman"/>
          <w:kern w:val="21"/>
        </w:rPr>
      </w:pPr>
      <w:r>
        <w:rPr>
          <w:rFonts w:ascii="Times New Roman" w:hAnsi="Times New Roman"/>
          <w:kern w:val="21"/>
        </w:rPr>
        <w:t>（3）对应急工作提出重大建议，实施后效果显著的；</w:t>
      </w:r>
    </w:p>
    <w:p>
      <w:pPr>
        <w:adjustRightInd w:val="0"/>
        <w:snapToGrid w:val="0"/>
        <w:ind w:firstLine="480"/>
        <w:rPr>
          <w:rFonts w:ascii="Times New Roman" w:hAnsi="Times New Roman"/>
          <w:kern w:val="21"/>
        </w:rPr>
      </w:pPr>
      <w:r>
        <w:rPr>
          <w:rFonts w:ascii="Times New Roman" w:hAnsi="Times New Roman"/>
          <w:kern w:val="21"/>
        </w:rPr>
        <w:t>（4）对事故反应迅速，避免员工损伤、公司财产受损的；</w:t>
      </w:r>
    </w:p>
    <w:p>
      <w:pPr>
        <w:adjustRightInd w:val="0"/>
        <w:snapToGrid w:val="0"/>
        <w:ind w:firstLine="480"/>
        <w:rPr>
          <w:rFonts w:ascii="Times New Roman" w:hAnsi="Times New Roman"/>
          <w:kern w:val="21"/>
        </w:rPr>
      </w:pPr>
      <w:r>
        <w:rPr>
          <w:rFonts w:ascii="Times New Roman" w:hAnsi="Times New Roman"/>
          <w:kern w:val="21"/>
        </w:rPr>
        <w:t>（5）其他符合嘉奖的情形。</w:t>
      </w:r>
    </w:p>
    <w:p>
      <w:pPr>
        <w:pStyle w:val="5"/>
        <w:adjustRightInd w:val="0"/>
        <w:spacing w:line="360" w:lineRule="auto"/>
        <w:jc w:val="both"/>
        <w:rPr>
          <w:kern w:val="21"/>
        </w:rPr>
      </w:pPr>
      <w:bookmarkStart w:id="667" w:name="_Toc342395936"/>
      <w:bookmarkStart w:id="668" w:name="_Toc28904"/>
      <w:bookmarkStart w:id="669" w:name="_Toc350376378"/>
      <w:r>
        <w:rPr>
          <w:kern w:val="21"/>
        </w:rPr>
        <w:t>10.2处罚</w:t>
      </w:r>
      <w:bookmarkEnd w:id="667"/>
      <w:bookmarkEnd w:id="668"/>
      <w:bookmarkEnd w:id="669"/>
    </w:p>
    <w:p>
      <w:pPr>
        <w:adjustRightInd w:val="0"/>
        <w:snapToGrid w:val="0"/>
        <w:ind w:firstLine="480"/>
        <w:rPr>
          <w:rFonts w:ascii="Times New Roman" w:hAnsi="Times New Roman"/>
          <w:kern w:val="21"/>
        </w:rPr>
      </w:pPr>
      <w:r>
        <w:rPr>
          <w:rFonts w:ascii="Times New Roman" w:hAnsi="Times New Roman"/>
          <w:kern w:val="21"/>
        </w:rPr>
        <w:t>在事故应急救援行动中，有下列行为的部门和个人，根据公司规定予以处罚，涉及民事或刑事责任的，送交司法机关处置：</w:t>
      </w:r>
    </w:p>
    <w:p>
      <w:pPr>
        <w:adjustRightInd w:val="0"/>
        <w:snapToGrid w:val="0"/>
        <w:ind w:firstLine="480"/>
        <w:rPr>
          <w:rFonts w:ascii="Times New Roman" w:hAnsi="Times New Roman"/>
          <w:kern w:val="21"/>
        </w:rPr>
      </w:pPr>
      <w:r>
        <w:rPr>
          <w:rFonts w:ascii="Times New Roman" w:hAnsi="Times New Roman"/>
          <w:kern w:val="21"/>
        </w:rPr>
        <w:t>（1）发现事故后不及时报告或隐瞒不报；</w:t>
      </w:r>
    </w:p>
    <w:p>
      <w:pPr>
        <w:adjustRightInd w:val="0"/>
        <w:snapToGrid w:val="0"/>
        <w:ind w:firstLine="480"/>
        <w:rPr>
          <w:rFonts w:ascii="Times New Roman" w:hAnsi="Times New Roman"/>
          <w:kern w:val="21"/>
        </w:rPr>
      </w:pPr>
      <w:r>
        <w:rPr>
          <w:rFonts w:ascii="Times New Roman" w:hAnsi="Times New Roman"/>
          <w:kern w:val="21"/>
        </w:rPr>
        <w:t>（2）不服从应急总指挥或主管的命令，不配合其他救援人员执行应急救援工作的；</w:t>
      </w:r>
    </w:p>
    <w:p>
      <w:pPr>
        <w:adjustRightInd w:val="0"/>
        <w:snapToGrid w:val="0"/>
        <w:ind w:firstLine="480"/>
        <w:rPr>
          <w:rFonts w:ascii="Times New Roman" w:hAnsi="Times New Roman"/>
          <w:kern w:val="21"/>
        </w:rPr>
      </w:pPr>
      <w:r>
        <w:rPr>
          <w:rFonts w:ascii="Times New Roman" w:hAnsi="Times New Roman"/>
          <w:kern w:val="21"/>
        </w:rPr>
        <w:t>（3）盗窃、挪用、贪污应急救援资金或物质的；</w:t>
      </w:r>
    </w:p>
    <w:p>
      <w:pPr>
        <w:adjustRightInd w:val="0"/>
        <w:snapToGrid w:val="0"/>
        <w:ind w:firstLine="480"/>
        <w:rPr>
          <w:rFonts w:ascii="Times New Roman" w:hAnsi="Times New Roman"/>
          <w:kern w:val="21"/>
        </w:rPr>
      </w:pPr>
      <w:r>
        <w:rPr>
          <w:rFonts w:ascii="Times New Roman" w:hAnsi="Times New Roman"/>
          <w:kern w:val="21"/>
        </w:rPr>
        <w:t>（4）散布谣言，扰乱社会和公司秩序，导致公司形象受损的；</w:t>
      </w:r>
    </w:p>
    <w:p>
      <w:pPr>
        <w:adjustRightInd w:val="0"/>
        <w:snapToGrid w:val="0"/>
        <w:ind w:firstLine="480"/>
        <w:rPr>
          <w:rFonts w:ascii="Times New Roman" w:hAnsi="Times New Roman"/>
          <w:kern w:val="21"/>
        </w:rPr>
      </w:pPr>
      <w:r>
        <w:rPr>
          <w:rFonts w:ascii="Times New Roman" w:hAnsi="Times New Roman"/>
          <w:kern w:val="21"/>
        </w:rPr>
        <w:t>（5）其他符合处罚的情形。</w:t>
      </w:r>
      <w:bookmarkStart w:id="670" w:name="_Toc342395937"/>
      <w:bookmarkStart w:id="671" w:name="_Toc350376379"/>
    </w:p>
    <w:p>
      <w:pPr>
        <w:pStyle w:val="4"/>
        <w:adjustRightInd w:val="0"/>
        <w:snapToGrid w:val="0"/>
        <w:jc w:val="both"/>
        <w:rPr>
          <w:kern w:val="21"/>
        </w:rPr>
      </w:pPr>
      <w:bookmarkStart w:id="672" w:name="_Toc11665"/>
      <w:r>
        <w:rPr>
          <w:kern w:val="21"/>
        </w:rPr>
        <w:t>1</w:t>
      </w:r>
      <w:r>
        <w:rPr>
          <w:rFonts w:hint="eastAsia"/>
          <w:kern w:val="21"/>
        </w:rPr>
        <w:t>1</w:t>
      </w:r>
      <w:r>
        <w:rPr>
          <w:kern w:val="21"/>
        </w:rPr>
        <w:t>、附则</w:t>
      </w:r>
      <w:bookmarkEnd w:id="670"/>
      <w:bookmarkEnd w:id="671"/>
      <w:bookmarkEnd w:id="672"/>
    </w:p>
    <w:p>
      <w:pPr>
        <w:pStyle w:val="5"/>
        <w:adjustRightInd w:val="0"/>
        <w:spacing w:line="360" w:lineRule="auto"/>
        <w:jc w:val="both"/>
        <w:rPr>
          <w:kern w:val="21"/>
        </w:rPr>
      </w:pPr>
      <w:bookmarkStart w:id="673" w:name="_Toc323306268"/>
      <w:bookmarkStart w:id="674" w:name="_Toc342395938"/>
      <w:bookmarkStart w:id="675" w:name="_Toc432084256"/>
      <w:bookmarkStart w:id="676" w:name="_Toc350376380"/>
      <w:bookmarkStart w:id="677" w:name="_Toc20786"/>
      <w:bookmarkStart w:id="678" w:name="_Toc436860642"/>
      <w:r>
        <w:rPr>
          <w:kern w:val="21"/>
        </w:rPr>
        <w:t>1</w:t>
      </w:r>
      <w:r>
        <w:rPr>
          <w:rFonts w:hint="eastAsia"/>
          <w:kern w:val="21"/>
        </w:rPr>
        <w:t>1</w:t>
      </w:r>
      <w:r>
        <w:rPr>
          <w:kern w:val="21"/>
        </w:rPr>
        <w:t xml:space="preserve">.1 </w:t>
      </w:r>
      <w:bookmarkEnd w:id="673"/>
      <w:r>
        <w:rPr>
          <w:kern w:val="21"/>
        </w:rPr>
        <w:t>术语和定义</w:t>
      </w:r>
      <w:bookmarkEnd w:id="674"/>
      <w:bookmarkEnd w:id="675"/>
      <w:bookmarkEnd w:id="676"/>
      <w:bookmarkEnd w:id="677"/>
      <w:bookmarkEnd w:id="678"/>
    </w:p>
    <w:p>
      <w:pPr>
        <w:adjustRightInd w:val="0"/>
        <w:snapToGrid w:val="0"/>
        <w:ind w:firstLine="480"/>
        <w:rPr>
          <w:rFonts w:ascii="Times New Roman" w:hAnsi="Times New Roman"/>
          <w:kern w:val="21"/>
        </w:rPr>
      </w:pPr>
      <w:bookmarkStart w:id="679" w:name="_Toc181001557"/>
      <w:bookmarkStart w:id="680" w:name="_Toc178529332"/>
      <w:bookmarkStart w:id="681" w:name="_Toc178528924"/>
      <w:r>
        <w:rPr>
          <w:rFonts w:ascii="Times New Roman" w:hAnsi="Times New Roman"/>
          <w:kern w:val="21"/>
        </w:rPr>
        <w:t xml:space="preserve">1、危险废物  </w:t>
      </w:r>
    </w:p>
    <w:p>
      <w:pPr>
        <w:adjustRightInd w:val="0"/>
        <w:snapToGrid w:val="0"/>
        <w:ind w:firstLine="480"/>
        <w:rPr>
          <w:rFonts w:ascii="Times New Roman" w:hAnsi="Times New Roman"/>
          <w:kern w:val="21"/>
        </w:rPr>
      </w:pPr>
      <w:r>
        <w:rPr>
          <w:rFonts w:ascii="Times New Roman" w:hAnsi="Times New Roman"/>
          <w:kern w:val="21"/>
        </w:rPr>
        <w:t>指列入《国家危险废物名录》或者根据危险废物鉴别标准和危险废物鉴别技术规范（HJ/T298）认定的具有危险特性的固体废物。</w:t>
      </w:r>
    </w:p>
    <w:p>
      <w:pPr>
        <w:adjustRightInd w:val="0"/>
        <w:snapToGrid w:val="0"/>
        <w:ind w:firstLine="480"/>
        <w:rPr>
          <w:rFonts w:ascii="Times New Roman" w:hAnsi="Times New Roman"/>
          <w:kern w:val="21"/>
        </w:rPr>
      </w:pPr>
      <w:r>
        <w:rPr>
          <w:rFonts w:ascii="Times New Roman" w:hAnsi="Times New Roman"/>
          <w:kern w:val="21"/>
        </w:rPr>
        <w:t>2、危险源</w:t>
      </w:r>
    </w:p>
    <w:p>
      <w:pPr>
        <w:adjustRightInd w:val="0"/>
        <w:snapToGrid w:val="0"/>
        <w:ind w:firstLine="480"/>
        <w:rPr>
          <w:rFonts w:ascii="Times New Roman" w:hAnsi="Times New Roman"/>
          <w:kern w:val="21"/>
        </w:rPr>
      </w:pPr>
      <w:r>
        <w:rPr>
          <w:rFonts w:ascii="Times New Roman" w:hAnsi="Times New Roman"/>
          <w:kern w:val="21"/>
        </w:rPr>
        <w:t>危险源是指一个系统中具有潜在能量和物质释放危险的、可造成人员伤害、财产损失或环境破坏的、在一定的触发因素作用下可转化为事故的部位、区域、场所、空间、岗位、设备及其位置。</w:t>
      </w:r>
    </w:p>
    <w:p>
      <w:pPr>
        <w:adjustRightInd w:val="0"/>
        <w:snapToGrid w:val="0"/>
        <w:ind w:firstLine="480"/>
        <w:rPr>
          <w:rFonts w:ascii="Times New Roman" w:hAnsi="Times New Roman"/>
          <w:kern w:val="21"/>
        </w:rPr>
      </w:pPr>
      <w:r>
        <w:rPr>
          <w:rFonts w:ascii="Times New Roman" w:hAnsi="Times New Roman"/>
          <w:kern w:val="21"/>
        </w:rPr>
        <w:t>3、危险化学品重大危险源</w:t>
      </w:r>
    </w:p>
    <w:p>
      <w:pPr>
        <w:adjustRightInd w:val="0"/>
        <w:snapToGrid w:val="0"/>
        <w:ind w:firstLine="480"/>
        <w:rPr>
          <w:rFonts w:ascii="Times New Roman" w:hAnsi="Times New Roman"/>
          <w:kern w:val="21"/>
        </w:rPr>
      </w:pPr>
      <w:r>
        <w:rPr>
          <w:rFonts w:ascii="Times New Roman" w:hAnsi="Times New Roman"/>
          <w:kern w:val="21"/>
        </w:rPr>
        <w:t>危险化学品重大危险源是指长期地或临时地生产、加工、使用或储存危险化学品，且危险化学品的数量等于或超过临界量的单元。</w:t>
      </w:r>
    </w:p>
    <w:p>
      <w:pPr>
        <w:adjustRightInd w:val="0"/>
        <w:snapToGrid w:val="0"/>
        <w:ind w:firstLine="480"/>
        <w:rPr>
          <w:rFonts w:ascii="Times New Roman" w:hAnsi="Times New Roman"/>
          <w:kern w:val="21"/>
        </w:rPr>
      </w:pPr>
      <w:r>
        <w:rPr>
          <w:rFonts w:ascii="Times New Roman" w:hAnsi="Times New Roman"/>
          <w:kern w:val="21"/>
        </w:rPr>
        <w:t>4、环境风险源</w:t>
      </w:r>
    </w:p>
    <w:p>
      <w:pPr>
        <w:adjustRightInd w:val="0"/>
        <w:snapToGrid w:val="0"/>
        <w:ind w:firstLine="480"/>
        <w:rPr>
          <w:rFonts w:ascii="Times New Roman" w:hAnsi="Times New Roman"/>
          <w:kern w:val="21"/>
        </w:rPr>
      </w:pPr>
      <w:r>
        <w:rPr>
          <w:rFonts w:ascii="Times New Roman" w:hAnsi="Times New Roman"/>
          <w:kern w:val="21"/>
        </w:rPr>
        <w:t>指可能导致突发环境事件的污染源，以及生产、贮存、经营、使用、运输危险废物质或产生、收集、利用、处置危险废物的场所、设备和装置。</w:t>
      </w:r>
    </w:p>
    <w:p>
      <w:pPr>
        <w:adjustRightInd w:val="0"/>
        <w:snapToGrid w:val="0"/>
        <w:ind w:firstLine="480"/>
        <w:rPr>
          <w:rFonts w:ascii="Times New Roman" w:hAnsi="Times New Roman"/>
          <w:kern w:val="21"/>
        </w:rPr>
      </w:pPr>
      <w:r>
        <w:rPr>
          <w:rFonts w:ascii="Times New Roman" w:hAnsi="Times New Roman"/>
          <w:kern w:val="21"/>
        </w:rPr>
        <w:t>5、突发环境事件</w:t>
      </w:r>
    </w:p>
    <w:p>
      <w:pPr>
        <w:adjustRightInd w:val="0"/>
        <w:snapToGrid w:val="0"/>
        <w:ind w:firstLine="480"/>
        <w:rPr>
          <w:rFonts w:ascii="Times New Roman" w:hAnsi="Times New Roman"/>
          <w:kern w:val="21"/>
        </w:rPr>
      </w:pPr>
      <w:r>
        <w:rPr>
          <w:rFonts w:ascii="Times New Roman" w:hAnsi="Times New Roman"/>
          <w:kern w:val="21"/>
        </w:rPr>
        <w:t>指突然发生，造成或者可能造成重大人员伤亡、重大财产损失和对全国或者某一地区的经济社会稳定、政治安定构成重大威胁和损害，有重大社会影响的涉及公共安全的环境事件。</w:t>
      </w:r>
    </w:p>
    <w:p>
      <w:pPr>
        <w:adjustRightInd w:val="0"/>
        <w:snapToGrid w:val="0"/>
        <w:ind w:firstLine="480"/>
        <w:rPr>
          <w:rFonts w:ascii="Times New Roman" w:hAnsi="Times New Roman"/>
          <w:kern w:val="21"/>
        </w:rPr>
      </w:pPr>
      <w:r>
        <w:rPr>
          <w:rFonts w:ascii="Times New Roman" w:hAnsi="Times New Roman"/>
          <w:kern w:val="21"/>
        </w:rPr>
        <w:t>6、重大事故：指工业活动的重大火灾、爆炸或毒物泄漏事故，并给现场人员或公众带来严重危害，或财产造成重大损失，对环境造成严重污染事故。</w:t>
      </w:r>
    </w:p>
    <w:p>
      <w:pPr>
        <w:adjustRightInd w:val="0"/>
        <w:snapToGrid w:val="0"/>
        <w:ind w:firstLine="480"/>
        <w:rPr>
          <w:rFonts w:ascii="Times New Roman" w:hAnsi="Times New Roman"/>
          <w:kern w:val="21"/>
        </w:rPr>
      </w:pPr>
      <w:r>
        <w:rPr>
          <w:rFonts w:ascii="Times New Roman" w:hAnsi="Times New Roman"/>
          <w:kern w:val="21"/>
        </w:rPr>
        <w:t>7、次生灾害：指由突发事故造成的周围环境、周围设施破坏而引发的灾害，如电气火灾引起周围可燃物着火、爆炸等。</w:t>
      </w:r>
    </w:p>
    <w:p>
      <w:pPr>
        <w:adjustRightInd w:val="0"/>
        <w:snapToGrid w:val="0"/>
        <w:ind w:firstLine="480"/>
        <w:rPr>
          <w:rFonts w:ascii="Times New Roman" w:hAnsi="Times New Roman"/>
          <w:kern w:val="21"/>
        </w:rPr>
      </w:pPr>
      <w:r>
        <w:rPr>
          <w:rFonts w:ascii="Times New Roman" w:hAnsi="Times New Roman"/>
          <w:kern w:val="21"/>
        </w:rPr>
        <w:t>8、恢复：事故的影响得到初步控制后，为使生产、工作、生活和生态环境尽快恢复到正常状态而采取的措施或行动。</w:t>
      </w:r>
    </w:p>
    <w:bookmarkEnd w:id="679"/>
    <w:bookmarkEnd w:id="680"/>
    <w:bookmarkEnd w:id="681"/>
    <w:p>
      <w:pPr>
        <w:adjustRightInd w:val="0"/>
        <w:snapToGrid w:val="0"/>
        <w:ind w:firstLine="480"/>
        <w:rPr>
          <w:rFonts w:ascii="Times New Roman" w:hAnsi="Times New Roman"/>
          <w:kern w:val="21"/>
        </w:rPr>
      </w:pPr>
      <w:r>
        <w:rPr>
          <w:rFonts w:ascii="Times New Roman" w:hAnsi="Times New Roman"/>
          <w:kern w:val="21"/>
        </w:rPr>
        <w:t>9、应急预案针对可能发生的事故，为迅速、有序地开展应急行动而预先制定的行动方案。</w:t>
      </w:r>
    </w:p>
    <w:p>
      <w:pPr>
        <w:adjustRightInd w:val="0"/>
        <w:snapToGrid w:val="0"/>
        <w:ind w:firstLine="480"/>
        <w:rPr>
          <w:rFonts w:ascii="Times New Roman" w:hAnsi="Times New Roman"/>
          <w:kern w:val="21"/>
        </w:rPr>
      </w:pPr>
      <w:r>
        <w:rPr>
          <w:rFonts w:ascii="Times New Roman" w:hAnsi="Times New Roman"/>
          <w:kern w:val="21"/>
        </w:rPr>
        <w:t>10、应急准备：针对可能发生的事故，为迅速、有序开展应急行动而预先进行的组织准备和应急保障。</w:t>
      </w:r>
    </w:p>
    <w:p>
      <w:pPr>
        <w:adjustRightInd w:val="0"/>
        <w:snapToGrid w:val="0"/>
        <w:ind w:firstLine="480"/>
        <w:rPr>
          <w:rFonts w:ascii="Times New Roman" w:hAnsi="Times New Roman"/>
          <w:kern w:val="21"/>
        </w:rPr>
      </w:pPr>
      <w:r>
        <w:rPr>
          <w:rFonts w:ascii="Times New Roman" w:hAnsi="Times New Roman"/>
          <w:kern w:val="21"/>
        </w:rPr>
        <w:t>11、应急响应：事故发生后，有关组织或人员采取的应急行动。</w:t>
      </w:r>
    </w:p>
    <w:p>
      <w:pPr>
        <w:adjustRightInd w:val="0"/>
        <w:snapToGrid w:val="0"/>
        <w:ind w:firstLine="480"/>
        <w:rPr>
          <w:rFonts w:ascii="Times New Roman" w:hAnsi="Times New Roman"/>
          <w:kern w:val="21"/>
        </w:rPr>
      </w:pPr>
      <w:r>
        <w:rPr>
          <w:rFonts w:ascii="Times New Roman" w:hAnsi="Times New Roman"/>
          <w:kern w:val="21"/>
        </w:rPr>
        <w:t>12、应急救援：在应急响应过程中，为消除、减少事故危害，防止事故扩大或恶化，最大限度地降低事故造成的损失或危害而采取的救援措施或行动。</w:t>
      </w:r>
    </w:p>
    <w:p>
      <w:pPr>
        <w:adjustRightInd w:val="0"/>
        <w:snapToGrid w:val="0"/>
        <w:ind w:firstLine="480"/>
        <w:rPr>
          <w:rFonts w:ascii="Times New Roman" w:hAnsi="Times New Roman"/>
          <w:kern w:val="21"/>
        </w:rPr>
        <w:sectPr>
          <w:pgSz w:w="11906" w:h="16838"/>
          <w:pgMar w:top="1440" w:right="1080" w:bottom="1440" w:left="1080" w:header="567" w:footer="992" w:gutter="0"/>
          <w:cols w:space="720" w:num="1"/>
          <w:docGrid w:type="lines" w:linePitch="318" w:charSpace="0"/>
        </w:sectPr>
      </w:pPr>
      <w:r>
        <w:rPr>
          <w:rFonts w:ascii="Times New Roman" w:hAnsi="Times New Roman"/>
          <w:kern w:val="21"/>
        </w:rPr>
        <w:t>13、应急演练：为检验应急预案的有效性，应急准备的完善性、应急响应能力的适应性和应急人员的协同性而进行的一种模拟应急响应的实践活动。根据所涉及的内容和范围的不同，可分为单项演练、综合演练和指挥部，现场应急组织联合进行的联合演练。</w:t>
      </w:r>
    </w:p>
    <w:p>
      <w:pPr>
        <w:pStyle w:val="58"/>
        <w:snapToGrid w:val="0"/>
        <w:spacing w:line="360" w:lineRule="auto"/>
        <w:outlineLvl w:val="0"/>
        <w:rPr>
          <w:rFonts w:ascii="Times New Roman" w:hAnsi="Times New Roman"/>
          <w:b/>
          <w:bCs/>
          <w:color w:val="auto"/>
          <w:kern w:val="21"/>
          <w:sz w:val="32"/>
          <w:szCs w:val="21"/>
        </w:rPr>
      </w:pPr>
      <w:bookmarkStart w:id="682" w:name="_Toc5604"/>
      <w:r>
        <w:rPr>
          <w:rFonts w:ascii="Times New Roman" w:hAnsi="Times New Roman"/>
          <w:b/>
          <w:bCs/>
          <w:color w:val="auto"/>
          <w:kern w:val="21"/>
          <w:sz w:val="32"/>
          <w:szCs w:val="21"/>
        </w:rPr>
        <w:t>1</w:t>
      </w:r>
      <w:r>
        <w:rPr>
          <w:rFonts w:hint="eastAsia" w:ascii="Times New Roman" w:hAnsi="Times New Roman"/>
          <w:b/>
          <w:bCs/>
          <w:color w:val="auto"/>
          <w:kern w:val="21"/>
          <w:sz w:val="32"/>
          <w:szCs w:val="21"/>
        </w:rPr>
        <w:t>2</w:t>
      </w:r>
      <w:r>
        <w:rPr>
          <w:rFonts w:ascii="Times New Roman" w:hAnsi="Times New Roman"/>
          <w:b/>
          <w:bCs/>
          <w:color w:val="auto"/>
          <w:kern w:val="21"/>
          <w:sz w:val="32"/>
          <w:szCs w:val="21"/>
        </w:rPr>
        <w:t>、附图及附件</w:t>
      </w:r>
      <w:bookmarkEnd w:id="682"/>
    </w:p>
    <w:p>
      <w:pPr>
        <w:pStyle w:val="58"/>
        <w:snapToGrid w:val="0"/>
        <w:spacing w:line="360" w:lineRule="auto"/>
        <w:rPr>
          <w:rFonts w:ascii="Times New Roman" w:hAnsi="Times New Roman"/>
          <w:b/>
          <w:bCs/>
          <w:color w:val="auto"/>
          <w:kern w:val="21"/>
        </w:rPr>
      </w:pPr>
      <w:r>
        <w:rPr>
          <w:rFonts w:ascii="Times New Roman" w:hAnsi="Times New Roman"/>
          <w:b/>
          <w:bCs/>
          <w:color w:val="auto"/>
          <w:kern w:val="21"/>
        </w:rPr>
        <w:t>附图：</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1）厂区平面布置图；</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2）企业地理位置图；</w:t>
      </w:r>
    </w:p>
    <w:p>
      <w:pPr>
        <w:pStyle w:val="58"/>
        <w:snapToGrid w:val="0"/>
        <w:spacing w:line="360" w:lineRule="auto"/>
        <w:ind w:firstLine="480" w:firstLineChars="200"/>
        <w:rPr>
          <w:rFonts w:ascii="Times New Roman" w:hAnsi="Times New Roman"/>
          <w:color w:val="auto"/>
          <w:kern w:val="21"/>
        </w:rPr>
      </w:pPr>
      <w:r>
        <w:rPr>
          <w:rFonts w:hint="eastAsia" w:ascii="Times New Roman" w:hAnsi="Times New Roman"/>
          <w:color w:val="auto"/>
          <w:kern w:val="21"/>
        </w:rPr>
        <w:t>3) 管网平面图；</w:t>
      </w:r>
    </w:p>
    <w:p>
      <w:pPr>
        <w:pStyle w:val="58"/>
        <w:snapToGrid w:val="0"/>
        <w:spacing w:line="360" w:lineRule="auto"/>
        <w:ind w:firstLine="480" w:firstLineChars="200"/>
        <w:rPr>
          <w:rFonts w:ascii="Times New Roman" w:hAnsi="Times New Roman"/>
          <w:color w:val="auto"/>
          <w:kern w:val="21"/>
        </w:rPr>
      </w:pPr>
      <w:r>
        <w:rPr>
          <w:rFonts w:hint="eastAsia" w:ascii="Times New Roman" w:hAnsi="Times New Roman"/>
          <w:color w:val="auto"/>
          <w:kern w:val="21"/>
        </w:rPr>
        <w:t>4</w:t>
      </w:r>
      <w:r>
        <w:rPr>
          <w:rFonts w:ascii="Times New Roman" w:hAnsi="Times New Roman"/>
          <w:color w:val="auto"/>
          <w:kern w:val="21"/>
        </w:rPr>
        <w:t>）</w:t>
      </w:r>
      <w:r>
        <w:rPr>
          <w:rFonts w:hint="eastAsia" w:ascii="Times New Roman" w:hAnsi="Times New Roman"/>
          <w:color w:val="auto"/>
          <w:kern w:val="21"/>
          <w:lang w:eastAsia="zh-CN"/>
        </w:rPr>
        <w:t>紧急疏散</w:t>
      </w:r>
      <w:r>
        <w:rPr>
          <w:rFonts w:ascii="Times New Roman" w:hAnsi="Times New Roman"/>
          <w:color w:val="auto"/>
          <w:kern w:val="21"/>
        </w:rPr>
        <w:t>图。</w:t>
      </w:r>
    </w:p>
    <w:p>
      <w:pPr>
        <w:pStyle w:val="58"/>
        <w:snapToGrid w:val="0"/>
        <w:spacing w:line="360" w:lineRule="auto"/>
        <w:rPr>
          <w:rFonts w:ascii="Times New Roman" w:hAnsi="Times New Roman"/>
          <w:b/>
          <w:bCs/>
          <w:color w:val="auto"/>
          <w:kern w:val="21"/>
        </w:rPr>
      </w:pPr>
    </w:p>
    <w:p>
      <w:pPr>
        <w:pStyle w:val="58"/>
        <w:snapToGrid w:val="0"/>
        <w:spacing w:line="360" w:lineRule="auto"/>
        <w:rPr>
          <w:rFonts w:ascii="Times New Roman" w:hAnsi="Times New Roman"/>
          <w:b/>
          <w:bCs/>
          <w:color w:val="auto"/>
          <w:kern w:val="21"/>
        </w:rPr>
      </w:pPr>
      <w:r>
        <w:rPr>
          <w:rFonts w:ascii="Times New Roman" w:hAnsi="Times New Roman"/>
          <w:b/>
          <w:bCs/>
          <w:color w:val="auto"/>
          <w:kern w:val="21"/>
        </w:rPr>
        <w:t>附件：</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1）突发环境事件报告单；</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5）</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突发环境事故应急预案演练考核题</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6）</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突发环境事故应急预案演习记录</w:t>
      </w:r>
    </w:p>
    <w:p>
      <w:pPr>
        <w:pStyle w:val="58"/>
        <w:snapToGrid w:val="0"/>
        <w:spacing w:line="360" w:lineRule="auto"/>
        <w:ind w:firstLine="480" w:firstLineChars="200"/>
        <w:rPr>
          <w:rFonts w:ascii="Times New Roman" w:hAnsi="Times New Roman"/>
          <w:color w:val="auto"/>
          <w:kern w:val="21"/>
        </w:rPr>
      </w:pPr>
      <w:r>
        <w:rPr>
          <w:rFonts w:ascii="Times New Roman" w:hAnsi="Times New Roman"/>
          <w:color w:val="auto"/>
          <w:kern w:val="21"/>
        </w:rPr>
        <w:t>7）</w:t>
      </w:r>
      <w:r>
        <w:rPr>
          <w:rFonts w:hint="eastAsia" w:ascii="Times New Roman" w:hAnsi="Times New Roman"/>
          <w:color w:val="auto"/>
          <w:kern w:val="21"/>
        </w:rPr>
        <w:t>湖口县金砂湾工业园污水处理厂</w:t>
      </w:r>
      <w:r>
        <w:rPr>
          <w:rFonts w:ascii="Times New Roman" w:hAnsi="Times New Roman"/>
          <w:color w:val="auto"/>
          <w:kern w:val="21"/>
        </w:rPr>
        <w:t>突发环境事故应急预案演习考核记录</w:t>
      </w:r>
    </w:p>
    <w:p>
      <w:pPr>
        <w:ind w:firstLine="0" w:firstLineChars="0"/>
        <w:rPr>
          <w:rFonts w:ascii="Times New Roman" w:hAnsi="Times New Roman"/>
          <w:kern w:val="21"/>
        </w:rPr>
      </w:pPr>
    </w:p>
    <w:p>
      <w:pPr>
        <w:ind w:firstLine="480"/>
        <w:rPr>
          <w:rFonts w:ascii="Times New Roman" w:hAnsi="Times New Roman"/>
          <w:kern w:val="21"/>
        </w:rPr>
        <w:sectPr>
          <w:pgSz w:w="11906" w:h="16838"/>
          <w:pgMar w:top="1440" w:right="1080" w:bottom="1440" w:left="1080" w:header="567" w:footer="992" w:gutter="0"/>
          <w:cols w:space="720" w:num="1"/>
          <w:docGrid w:type="lines" w:linePitch="318" w:charSpace="0"/>
        </w:sectPr>
      </w:pPr>
    </w:p>
    <w:p>
      <w:pPr>
        <w:adjustRightInd w:val="0"/>
        <w:snapToGrid w:val="0"/>
        <w:spacing w:line="240" w:lineRule="auto"/>
        <w:ind w:firstLine="0" w:firstLineChars="0"/>
        <w:jc w:val="center"/>
        <w:rPr>
          <w:rFonts w:ascii="Times New Roman" w:hAnsi="Times New Roman"/>
          <w:kern w:val="21"/>
        </w:rPr>
      </w:pPr>
      <w:r>
        <w:drawing>
          <wp:inline distT="0" distB="0" distL="114300" distR="114300">
            <wp:extent cx="7996555" cy="5476875"/>
            <wp:effectExtent l="0" t="0" r="444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9" cstate="print"/>
                    <a:stretch>
                      <a:fillRect/>
                    </a:stretch>
                  </pic:blipFill>
                  <pic:spPr>
                    <a:xfrm>
                      <a:off x="0" y="0"/>
                      <a:ext cx="7996555" cy="5476875"/>
                    </a:xfrm>
                    <a:prstGeom prst="rect">
                      <a:avLst/>
                    </a:prstGeom>
                    <a:noFill/>
                    <a:ln>
                      <a:noFill/>
                    </a:ln>
                  </pic:spPr>
                </pic:pic>
              </a:graphicData>
            </a:graphic>
          </wp:inline>
        </w:drawing>
      </w:r>
    </w:p>
    <w:p>
      <w:pPr>
        <w:ind w:firstLine="560"/>
        <w:jc w:val="center"/>
        <w:rPr>
          <w:rFonts w:ascii="Times New Roman" w:hAnsi="Times New Roman"/>
          <w:kern w:val="21"/>
          <w:sz w:val="28"/>
          <w:szCs w:val="28"/>
        </w:rPr>
      </w:pPr>
      <w:r>
        <w:rPr>
          <w:rFonts w:ascii="Times New Roman" w:hAnsi="Times New Roman"/>
          <w:kern w:val="21"/>
          <w:sz w:val="28"/>
          <w:szCs w:val="28"/>
        </w:rPr>
        <w:t>附图1 厂区平面布置图</w:t>
      </w:r>
      <w:r>
        <w:rPr>
          <w:rFonts w:ascii="Times New Roman" w:hAnsi="Times New Roman"/>
          <w:kern w:val="21"/>
        </w:rPr>
        <w:pict>
          <v:shape id="自选图形 300" o:spid="_x0000_s2079" o:spt="61" type="#_x0000_t61" style="position:absolute;left:0pt;margin-left:350.3pt;margin-top:98.3pt;height:27.5pt;width:64.4pt;z-index:251662336;mso-width-relative:page;mso-height-relative:page;" coordsize="21600,21600" o:gfxdata="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FgAAAGRycy9QSwECFAAUAAAACACHTuJA+6qc1dsAAAALAQAADwAAAAAAAAABACAA&#10;AAA4AAAAZHJzL2Rvd25yZXYueG1sUEsBAhQAFAAAAAgAh07iQKT/3jktAgAAUwQAAA4AAAAAAAAA&#10;AQAgAAAAQAEAAGRycy9lMm9Eb2MueG1sUEsFBgAAAAAGAAYAWQEAAN8FAAAAAA==&#10;" adj="-5147,32793">
            <v:path/>
            <v:fill focussize="0,0"/>
            <v:stroke joinstyle="miter"/>
            <v:imagedata o:title=""/>
            <o:lock v:ext="edit"/>
            <v:textbox>
              <w:txbxContent>
                <w:p>
                  <w:pPr>
                    <w:ind w:firstLine="0" w:firstLineChars="0"/>
                    <w:rPr>
                      <w:b/>
                      <w:bCs/>
                    </w:rPr>
                  </w:pPr>
                  <w:r>
                    <w:rPr>
                      <w:rFonts w:hint="eastAsia"/>
                      <w:b/>
                      <w:bCs/>
                    </w:rPr>
                    <w:t>项目位置</w:t>
                  </w:r>
                </w:p>
              </w:txbxContent>
            </v:textbox>
          </v:shape>
        </w:pict>
      </w:r>
      <w:r>
        <w:drawing>
          <wp:inline distT="0" distB="0" distL="114300" distR="114300">
            <wp:extent cx="8625840" cy="5379720"/>
            <wp:effectExtent l="0" t="0" r="0" b="0"/>
            <wp:docPr id="9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4"/>
                    <pic:cNvPicPr>
                      <a:picLocks noChangeAspect="1"/>
                    </pic:cNvPicPr>
                  </pic:nvPicPr>
                  <pic:blipFill>
                    <a:blip r:embed="rId30" cstate="print"/>
                    <a:srcRect l="7080" r="10472"/>
                    <a:stretch>
                      <a:fillRect/>
                    </a:stretch>
                  </pic:blipFill>
                  <pic:spPr>
                    <a:xfrm>
                      <a:off x="0" y="0"/>
                      <a:ext cx="8625840" cy="5379720"/>
                    </a:xfrm>
                    <a:prstGeom prst="rect">
                      <a:avLst/>
                    </a:prstGeom>
                    <a:noFill/>
                    <a:ln>
                      <a:noFill/>
                    </a:ln>
                  </pic:spPr>
                </pic:pic>
              </a:graphicData>
            </a:graphic>
          </wp:inline>
        </w:drawing>
      </w:r>
    </w:p>
    <w:p>
      <w:pPr>
        <w:spacing w:line="240" w:lineRule="auto"/>
        <w:ind w:firstLine="560"/>
        <w:jc w:val="center"/>
        <w:rPr>
          <w:rFonts w:ascii="Times New Roman" w:hAnsi="Times New Roman"/>
          <w:kern w:val="21"/>
        </w:rPr>
      </w:pPr>
      <w:r>
        <w:rPr>
          <w:rFonts w:ascii="Times New Roman" w:hAnsi="Times New Roman"/>
          <w:kern w:val="21"/>
          <w:sz w:val="28"/>
          <w:szCs w:val="28"/>
        </w:rPr>
        <w:t>附图2  企业地理位置</w:t>
      </w:r>
      <w:r>
        <w:rPr>
          <w:rFonts w:ascii="Times New Roman" w:hAnsi="Times New Roman"/>
          <w:kern w:val="21"/>
        </w:rPr>
        <w:drawing>
          <wp:inline distT="0" distB="0" distL="114300" distR="114300">
            <wp:extent cx="8611235" cy="5462270"/>
            <wp:effectExtent l="0" t="0" r="14605" b="8890"/>
            <wp:docPr id="9" name="图片 9" descr="含管网平面图（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含管网平面图（2021）"/>
                    <pic:cNvPicPr>
                      <a:picLocks noChangeAspect="1"/>
                    </pic:cNvPicPr>
                  </pic:nvPicPr>
                  <pic:blipFill>
                    <a:blip r:embed="rId31" cstate="print"/>
                    <a:stretch>
                      <a:fillRect/>
                    </a:stretch>
                  </pic:blipFill>
                  <pic:spPr>
                    <a:xfrm>
                      <a:off x="0" y="0"/>
                      <a:ext cx="8611235" cy="5462270"/>
                    </a:xfrm>
                    <a:prstGeom prst="rect">
                      <a:avLst/>
                    </a:prstGeom>
                  </pic:spPr>
                </pic:pic>
              </a:graphicData>
            </a:graphic>
          </wp:inline>
        </w:drawing>
      </w:r>
    </w:p>
    <w:p>
      <w:pPr>
        <w:ind w:firstLine="560"/>
        <w:jc w:val="center"/>
        <w:rPr>
          <w:rFonts w:ascii="Times New Roman" w:hAnsi="Times New Roman"/>
          <w:kern w:val="21"/>
          <w:sz w:val="28"/>
          <w:szCs w:val="28"/>
        </w:rPr>
      </w:pPr>
      <w:r>
        <w:rPr>
          <w:rFonts w:hint="eastAsia" w:ascii="Times New Roman" w:hAnsi="Times New Roman"/>
          <w:kern w:val="21"/>
          <w:sz w:val="28"/>
          <w:szCs w:val="28"/>
        </w:rPr>
        <w:t>附图3  管网平面图</w:t>
      </w:r>
    </w:p>
    <w:p>
      <w:pPr>
        <w:ind w:firstLine="480"/>
        <w:jc w:val="center"/>
        <w:rPr>
          <w:rFonts w:ascii="Times New Roman" w:hAnsi="Times New Roman"/>
          <w:kern w:val="21"/>
        </w:rPr>
      </w:pPr>
      <w:r>
        <w:pict>
          <v:shape id="_x0000_s2080" o:spid="_x0000_s2080" o:spt="67" type="#_x0000_t67" style="position:absolute;left:0pt;margin-left:475.35pt;margin-top:282.65pt;height:159.8pt;width:14.8pt;rotation:3276800f;z-index:251677696;v-text-anchor:middle;mso-width-relative:page;mso-height-relative:page;" fillcolor="#FF0000" filled="t" stroked="t" coordsize="21600,21600" o:gfxdata="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" adj="20600,8624">
            <v:path/>
            <v:fill on="t" focussize="0,0"/>
            <v:stroke weight="2pt" color="#FF0000" joinstyle="round"/>
            <v:imagedata o:title=""/>
            <o:lock v:ext="edit"/>
          </v:shape>
        </w:pict>
      </w:r>
      <w:r>
        <w:pict>
          <v:shape id="_x0000_s2081" o:spid="_x0000_s2081" o:spt="67" type="#_x0000_t67" style="position:absolute;left:0pt;margin-left:594.4pt;margin-top:152.25pt;height:176.7pt;width:11.75pt;rotation:-9240576f;z-index:251678720;v-text-anchor:middle;mso-width-relative:page;mso-height-relative:page;" fillcolor="#FF0000" filled="t" stroked="t" coordsize="21600,21600" o:gfxdata="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WAAAAZHJzL1BLAQIUABQAAAAIAIdO&#10;4kBflzmt2wAAAA0BAAAPAAAAAAAAAAEAIAAAADgAAABkcnMvZG93bnJldi54bWxQSwECFAAUAAAA&#10;CACHTuJAJu02xIACAAAKBQAADgAAAAAAAAABACAAAABAAQAAZHJzL2Uyb0RvYy54bWxQSwUGAAAA&#10;AAYABgBZAQAAMgYAAAAA&#10;" adj="20882,8624">
            <v:path/>
            <v:fill on="t" focussize="0,0"/>
            <v:stroke weight="2pt" color="#FF0000" joinstyle="round"/>
            <v:imagedata o:title=""/>
            <o:lock v:ext="edit"/>
          </v:shape>
        </w:pict>
      </w:r>
      <w:r>
        <w:pict>
          <v:shape id="_x0000_s2082" o:spid="_x0000_s2082" o:spt="67" type="#_x0000_t67" style="position:absolute;left:0pt;margin-left:510.65pt;margin-top:265.1pt;height:52.9pt;width:16.25pt;rotation:-3670016f;z-index:251676672;v-text-anchor:middle;mso-width-relative:page;mso-height-relative:page;" fillcolor="#FF0000" filled="t" stroked="t" coordsize="21600,21600" o:gfxdata="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BYAAABkcnMvUEsBAhQAFAAAAAgAh07i&#10;QFps0gHaAAAADQEAAA8AAAAAAAAAAQAgAAAAOAAAAGRycy9kb3ducmV2LnhtbFBLAQIUABQAAAAI&#10;AIdO4kBT66/YgAIAAAkFAAAOAAAAAAAAAAEAIAAAAD8BAABkcnMvZTJvRG9jLnhtbFBLBQYAAAAA&#10;BgAGAFkBAAAxBgAAAAA=&#10;" adj="18283,8624">
            <v:path/>
            <v:fill on="t" focussize="0,0"/>
            <v:stroke weight="2pt" color="#FF0000" joinstyle="round"/>
            <v:imagedata o:title=""/>
            <o:lock v:ext="edit"/>
          </v:shape>
        </w:pict>
      </w:r>
      <w:r>
        <w:pict>
          <v:shape id="_x0000_s2083" o:spid="_x0000_s2083" o:spt="67" type="#_x0000_t67" style="position:absolute;left:0pt;margin-left:470.95pt;margin-top:263.6pt;height:55.85pt;width:17.6pt;rotation:-9371648f;z-index:251675648;v-text-anchor:middle;mso-width-relative:page;mso-height-relative:page;" fillcolor="#FF0000" filled="t" stroked="t" coordsize="21600,21600" o:gfxdata="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WAAAAZHJzL1BLAQIUABQAAAAIAIdO&#10;4kBRzlG83AAAAAsBAAAPAAAAAAAAAAEAIAAAADgAAABkcnMvZG93bnJldi54bWxQSwECFAAUAAAA&#10;CACHTuJAIw55Cn8CAAAJBQAADgAAAAAAAAABACAAAABBAQAAZHJzL2Uyb0RvYy54bWxQSwUGAAAA&#10;AAYABgBZAQAAMgYAAAAA&#10;" adj="18197,8624">
            <v:path/>
            <v:fill on="t" focussize="0,0"/>
            <v:stroke weight="2pt" color="#FF0000" joinstyle="round"/>
            <v:imagedata o:title=""/>
            <o:lock v:ext="edit"/>
          </v:shape>
        </w:pict>
      </w:r>
      <w:r>
        <w:pict>
          <v:shape id="_x0000_s2084" o:spid="_x0000_s2084" o:spt="67" type="#_x0000_t67" style="position:absolute;left:0pt;margin-left:467.95pt;margin-top:228.7pt;height:71.75pt;width:15.6pt;rotation:2293760f;z-index:251671552;v-text-anchor:middle;mso-width-relative:page;mso-height-relative:page;" fillcolor="#FF0000" filled="t" stroked="t" coordsize="21600,21600" o:gfxdata="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PPy1&#10;hNoAAAALAQAADwAAAAAAAAABACAAAAA4AAAAZHJzL2Rvd25yZXYueG1sUEsBAhQAFAAAAAgAh07i&#10;QCIP5qF8AgAACAUAAA4AAAAAAAAAAQAgAAAAPwEAAGRycy9lMm9Eb2MueG1sUEsFBgAAAAAGAAYA&#10;WQEAAC0GAAAAAA==&#10;" adj="19252,8624">
            <v:path/>
            <v:fill on="t" focussize="0,0"/>
            <v:stroke weight="2pt" color="#FF0000" joinstyle="round"/>
            <v:imagedata o:title=""/>
            <o:lock v:ext="edit"/>
          </v:shape>
        </w:pict>
      </w:r>
      <w:r>
        <w:pict>
          <v:shape id="_x0000_s2085" o:spid="_x0000_s2085" o:spt="67" type="#_x0000_t67" style="position:absolute;left:0pt;margin-left:371.9pt;margin-top:137.5pt;height:216.2pt;width:24.55pt;rotation:-3538944f;z-index:251674624;v-text-anchor:middle;mso-width-relative:page;mso-height-relative:page;" fillcolor="#FF0000" filled="t" stroked="t" coordsize="21600,21600" o:gfxdata="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FgAAAGRycy9QSwECFAAUAAAACACH&#10;TuJANMbuadsAAAALAQAADwAAAAAAAAABACAAAAA4AAAAZHJzL2Rvd25yZXYueG1sUEsBAhQAFAAA&#10;AAgAh07iQFOg/Z2BAgAACgUAAA4AAAAAAAAAAQAgAAAAQAEAAGRycy9lMm9Eb2MueG1sUEsFBgAA&#10;AAAGAAYAWQEAADMGAAAAAA==&#10;" adj="20374,8624">
            <v:path/>
            <v:fill on="t" focussize="0,0"/>
            <v:stroke weight="2pt" color="#FF0000" joinstyle="round"/>
            <v:imagedata o:title=""/>
            <o:lock v:ext="edit"/>
          </v:shape>
        </w:pict>
      </w:r>
      <w:r>
        <w:pict>
          <v:shape id="_x0000_s2086" o:spid="_x0000_s2086" o:spt="67" type="#_x0000_t67" style="position:absolute;left:0pt;margin-left:325.2pt;margin-top:221.3pt;height:64.65pt;width:15.1pt;rotation:-9437184f;z-index:251673600;v-text-anchor:middle;mso-width-relative:page;mso-height-relative:page;" fillcolor="#FF0000" filled="t" stroked="t" coordsize="21600,21600" o:gfxdata="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FgAAAGRycy9QSwECFAAUAAAACACHTuJA&#10;+ghortoAAAALAQAADwAAAAAAAAABACAAAAA4AAAAZHJzL2Rvd25yZXYueG1sUEsBAhQAFAAAAAgA&#10;h07iQMjFJMZ/AgAACQUAAA4AAAAAAAAAAQAgAAAAPwEAAGRycy9lMm9Eb2MueG1sUEsFBgAAAAAG&#10;AAYAWQEAADAGAAAAAA==&#10;" adj="19078,8624">
            <v:path/>
            <v:fill on="t" focussize="0,0"/>
            <v:stroke weight="2pt" color="#FF0000" joinstyle="round"/>
            <v:imagedata o:title=""/>
            <o:lock v:ext="edit"/>
          </v:shape>
        </w:pict>
      </w:r>
      <w:r>
        <w:pict>
          <v:shape id="_x0000_s2087" o:spid="_x0000_s2087" o:spt="67" type="#_x0000_t67" style="position:absolute;left:0pt;margin-left:437.95pt;margin-top:204.7pt;height:71.75pt;width:15.6pt;rotation:2293760f;z-index:251672576;v-text-anchor:middle;mso-width-relative:page;mso-height-relative:page;" fillcolor="#FF0000" filled="t" stroked="t" coordsize="21600,21600" o:gfxdata="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kq+Q&#10;idsAAAALAQAADwAAAAAAAAABACAAAAA4AAAAZHJzL2Rvd25yZXYueG1sUEsBAhQAFAAAAAgAh07i&#10;QAr0meN7AgAACAUAAA4AAAAAAAAAAQAgAAAAQAEAAGRycy9lMm9Eb2MueG1sUEsFBgAAAAAGAAYA&#10;WQEAAC0GAAAAAA==&#10;" adj="19252,8624">
            <v:path/>
            <v:fill on="t" focussize="0,0"/>
            <v:stroke weight="2pt" color="#FF0000" joinstyle="round"/>
            <v:imagedata o:title=""/>
            <o:lock v:ext="edit"/>
          </v:shape>
        </w:pict>
      </w:r>
      <w:r>
        <w:pict>
          <v:shape id="_x0000_s2088" o:spid="_x0000_s2088" o:spt="67" type="#_x0000_t67" style="position:absolute;left:0pt;margin-left:409.95pt;margin-top:187.7pt;height:71.75pt;width:15.6pt;rotation:2293760f;z-index:251670528;v-text-anchor:middle;mso-width-relative:page;mso-height-relative:page;" fillcolor="#FF0000" filled="t" stroked="t" coordsize="21600,21600" o:gfxdata="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BYAAABkcnMvUEsBAhQAFAAAAAgAh07iQFSK&#10;ILTaAAAACwEAAA8AAAAAAAAAAQAgAAAAOAAAAGRycy9kb3ducmV2LnhtbFBLAQIUABQAAAAIAIdO&#10;4kC3KXJ1fQIAAAgFAAAOAAAAAAAAAAEAIAAAAD8BAABkcnMvZTJvRG9jLnhtbFBLBQYAAAAABgAG&#10;AFkBAAAuBgAAAAA=&#10;" adj="19252,8624">
            <v:path/>
            <v:fill on="t" focussize="0,0"/>
            <v:stroke weight="2pt" color="#FF0000" joinstyle="round"/>
            <v:imagedata o:title=""/>
            <o:lock v:ext="edit"/>
          </v:shape>
        </w:pict>
      </w:r>
      <w:r>
        <w:pict>
          <v:shape id="_x0000_s2089" o:spid="_x0000_s2089" o:spt="67" type="#_x0000_t67" style="position:absolute;left:0pt;margin-left:368.95pt;margin-top:157.7pt;height:71.75pt;width:15.6pt;rotation:2293760f;z-index:251669504;v-text-anchor:middle;mso-width-relative:page;mso-height-relative:page;" fillcolor="#FF0000" filled="t" stroked="t" coordsize="21600,21600" o:gfxdata="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FgAAAGRycy9QSwECFAAUAAAACACHTuJAdfbg&#10;6dsAAAALAQAADwAAAAAAAAABACAAAAA4AAAAZHJzL2Rvd25yZXYueG1sUEsBAhQAFAAAAAgAh07i&#10;QElEv9N7AgAACAUAAA4AAAAAAAAAAQAgAAAAQAEAAGRycy9lMm9Eb2MueG1sUEsFBgAAAAAGAAYA&#10;WQEAAC0GAAAAAA==&#10;" adj="19252,8624">
            <v:path/>
            <v:fill on="t" focussize="0,0"/>
            <v:stroke weight="2pt" color="#FF0000" joinstyle="round"/>
            <v:imagedata o:title=""/>
            <o:lock v:ext="edit"/>
          </v:shape>
        </w:pict>
      </w:r>
      <w:r>
        <w:pict>
          <v:shape id="_x0000_s2090" o:spid="_x0000_s2090" o:spt="67" type="#_x0000_t67" style="position:absolute;left:0pt;margin-left:341.95pt;margin-top:135.7pt;height:71.75pt;width:15.6pt;rotation:2293760f;z-index:251668480;v-text-anchor:middle;mso-width-relative:page;mso-height-relative:page;" fillcolor="#FF0000" filled="t" stroked="t" coordsize="21600,21600" o:gfxdata="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WAAAAZHJzL1BLAQIUABQAAAAIAIdO4kDWwO1t&#10;2wAAAAsBAAAPAAAAAAAAAAEAIAAAADgAAABkcnMvZG93bnJldi54bWxQSwECFAAUAAAACACHTuJA&#10;3GIrB3oCAAAIBQAADgAAAAAAAAABACAAAABAAQAAZHJzL2Uyb0RvYy54bWxQSwUGAAAAAAYABgBZ&#10;AQAALAYAAAAA&#10;" adj="19252,8624">
            <v:path/>
            <v:fill on="t" focussize="0,0"/>
            <v:stroke weight="2pt" color="#FF0000" joinstyle="round"/>
            <v:imagedata o:title=""/>
            <o:lock v:ext="edit"/>
          </v:shape>
        </w:pict>
      </w:r>
      <w:r>
        <w:pict>
          <v:shape id="_x0000_s2091" o:spid="_x0000_s2091" o:spt="67" type="#_x0000_t67" style="position:absolute;left:0pt;margin-left:316.95pt;margin-top:116.7pt;height:71.75pt;width:15.6pt;rotation:2293760f;z-index:251667456;v-text-anchor:middle;mso-width-relative:page;mso-height-relative:page;" fillcolor="#FF0000" filled="t" stroked="t" coordsize="21600,21600" o:gfxdata="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FgAAAGRycy9QSwECFAAU&#10;AAAACACHTuJAkEwb3toAAAALAQAADwAAAAAAAAABACAAAAA4AAAAZHJzL2Rvd25yZXYueG1sUEsB&#10;AhQAFAAAAAgAh07iQMB0o6+IAgAAEgUAAA4AAAAAAAAAAQAgAAAAPwEAAGRycy9lMm9Eb2MueG1s&#10;UEsFBgAAAAAGAAYAWQEAADkGAAAAAA==&#10;" adj="19252,8624">
            <v:path/>
            <v:fill on="t" focussize="0,0"/>
            <v:stroke weight="2pt" color="#FF0000" joinstyle="round"/>
            <v:imagedata o:title=""/>
            <o:lock v:ext="edit"/>
          </v:shape>
        </w:pict>
      </w:r>
      <w:r>
        <w:drawing>
          <wp:inline distT="0" distB="0" distL="114300" distR="114300">
            <wp:extent cx="8001635" cy="5502910"/>
            <wp:effectExtent l="0" t="0" r="14605" b="13970"/>
            <wp:docPr id="9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6"/>
                    <pic:cNvPicPr>
                      <a:picLocks noChangeAspect="1"/>
                    </pic:cNvPicPr>
                  </pic:nvPicPr>
                  <pic:blipFill>
                    <a:blip r:embed="rId32" cstate="print"/>
                    <a:stretch>
                      <a:fillRect/>
                    </a:stretch>
                  </pic:blipFill>
                  <pic:spPr>
                    <a:xfrm>
                      <a:off x="0" y="0"/>
                      <a:ext cx="8001635" cy="5502910"/>
                    </a:xfrm>
                    <a:prstGeom prst="rect">
                      <a:avLst/>
                    </a:prstGeom>
                    <a:noFill/>
                    <a:ln>
                      <a:noFill/>
                    </a:ln>
                  </pic:spPr>
                </pic:pic>
              </a:graphicData>
            </a:graphic>
          </wp:inline>
        </w:drawing>
      </w:r>
    </w:p>
    <w:p>
      <w:pPr>
        <w:ind w:firstLine="560"/>
        <w:jc w:val="center"/>
        <w:rPr>
          <w:rFonts w:ascii="Times New Roman" w:hAnsi="Times New Roman"/>
          <w:kern w:val="21"/>
        </w:rPr>
        <w:sectPr>
          <w:headerReference r:id="rId17" w:type="default"/>
          <w:footerReference r:id="rId18" w:type="default"/>
          <w:pgSz w:w="16838" w:h="11906" w:orient="landscape"/>
          <w:pgMar w:top="1134" w:right="1134" w:bottom="1134" w:left="1134" w:header="851" w:footer="992" w:gutter="0"/>
          <w:cols w:space="720" w:num="1"/>
          <w:docGrid w:type="linesAndChars" w:linePitch="312" w:charSpace="0"/>
        </w:sectPr>
      </w:pPr>
      <w:r>
        <w:rPr>
          <w:rFonts w:ascii="Times New Roman" w:hAnsi="Times New Roman"/>
          <w:kern w:val="21"/>
          <w:sz w:val="28"/>
          <w:szCs w:val="28"/>
        </w:rPr>
        <w:t>附图</w:t>
      </w:r>
      <w:r>
        <w:rPr>
          <w:rFonts w:hint="eastAsia" w:ascii="Times New Roman" w:hAnsi="Times New Roman"/>
          <w:kern w:val="21"/>
          <w:sz w:val="28"/>
          <w:szCs w:val="28"/>
          <w:lang w:val="en-US" w:eastAsia="zh-CN"/>
        </w:rPr>
        <w:t>4</w:t>
      </w:r>
      <w:r>
        <w:rPr>
          <w:rFonts w:ascii="Times New Roman" w:hAnsi="Times New Roman"/>
          <w:kern w:val="21"/>
          <w:sz w:val="28"/>
          <w:szCs w:val="28"/>
        </w:rPr>
        <w:t xml:space="preserve">  </w:t>
      </w:r>
      <w:r>
        <w:rPr>
          <w:rFonts w:hint="eastAsia" w:ascii="Times New Roman" w:hAnsi="Times New Roman"/>
          <w:kern w:val="21"/>
          <w:sz w:val="28"/>
          <w:szCs w:val="28"/>
          <w:lang w:eastAsia="zh-CN"/>
        </w:rPr>
        <w:t>紧急疏散</w:t>
      </w:r>
      <w:r>
        <w:rPr>
          <w:rFonts w:ascii="Times New Roman" w:hAnsi="Times New Roman"/>
          <w:kern w:val="21"/>
          <w:sz w:val="28"/>
          <w:szCs w:val="28"/>
        </w:rPr>
        <w:t>图</w:t>
      </w:r>
    </w:p>
    <w:p>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附件1：</w:t>
      </w:r>
    </w:p>
    <w:p>
      <w:pPr>
        <w:spacing w:line="520" w:lineRule="exact"/>
        <w:ind w:firstLine="600"/>
        <w:jc w:val="center"/>
        <w:rPr>
          <w:rFonts w:ascii="Times New Roman" w:hAnsi="Times New Roman"/>
          <w:kern w:val="21"/>
          <w:sz w:val="30"/>
          <w:szCs w:val="30"/>
        </w:rPr>
      </w:pPr>
      <w:r>
        <w:rPr>
          <w:rFonts w:ascii="Times New Roman" w:hAnsi="Times New Roman"/>
          <w:kern w:val="21"/>
          <w:sz w:val="30"/>
          <w:szCs w:val="30"/>
        </w:rPr>
        <w:t>突发环境事件报告单</w:t>
      </w:r>
    </w:p>
    <w:tbl>
      <w:tblPr>
        <w:tblStyle w:val="48"/>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961"/>
        <w:gridCol w:w="232"/>
        <w:gridCol w:w="918"/>
        <w:gridCol w:w="924"/>
        <w:gridCol w:w="255"/>
        <w:gridCol w:w="217"/>
        <w:gridCol w:w="447"/>
        <w:gridCol w:w="486"/>
        <w:gridCol w:w="1126"/>
        <w:gridCol w:w="226"/>
        <w:gridCol w:w="226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报告单位</w:t>
            </w:r>
          </w:p>
        </w:tc>
        <w:tc>
          <w:tcPr>
            <w:tcW w:w="2314" w:type="dxa"/>
            <w:gridSpan w:val="4"/>
            <w:vAlign w:val="center"/>
          </w:tcPr>
          <w:p>
            <w:pPr>
              <w:adjustRightInd w:val="0"/>
              <w:snapToGrid w:val="0"/>
              <w:spacing w:line="520" w:lineRule="exact"/>
              <w:ind w:firstLine="0" w:firstLineChars="0"/>
              <w:jc w:val="center"/>
              <w:rPr>
                <w:rFonts w:ascii="Times New Roman" w:hAnsi="Times New Roman"/>
                <w:kern w:val="21"/>
              </w:rPr>
            </w:pPr>
          </w:p>
        </w:tc>
        <w:tc>
          <w:tcPr>
            <w:tcW w:w="2059"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报告人姓名</w:t>
            </w:r>
          </w:p>
        </w:tc>
        <w:tc>
          <w:tcPr>
            <w:tcW w:w="2494" w:type="dxa"/>
            <w:gridSpan w:val="2"/>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事故发生时间</w:t>
            </w:r>
          </w:p>
        </w:tc>
        <w:tc>
          <w:tcPr>
            <w:tcW w:w="2314" w:type="dxa"/>
            <w:gridSpan w:val="4"/>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年</w:t>
            </w:r>
            <w:r>
              <w:rPr>
                <w:rFonts w:ascii="Times New Roman" w:hAnsi="Times New Roman"/>
                <w:kern w:val="21"/>
                <w:u w:val="single"/>
              </w:rPr>
              <w:t xml:space="preserve">  </w:t>
            </w:r>
            <w:r>
              <w:rPr>
                <w:rFonts w:ascii="Times New Roman" w:hAnsi="Times New Roman"/>
                <w:kern w:val="21"/>
              </w:rPr>
              <w:t>月</w:t>
            </w:r>
            <w:r>
              <w:rPr>
                <w:rFonts w:ascii="Times New Roman" w:hAnsi="Times New Roman"/>
                <w:kern w:val="21"/>
                <w:u w:val="single"/>
              </w:rPr>
              <w:t xml:space="preserve">  </w:t>
            </w:r>
            <w:r>
              <w:rPr>
                <w:rFonts w:ascii="Times New Roman" w:hAnsi="Times New Roman"/>
                <w:kern w:val="21"/>
              </w:rPr>
              <w:t>日</w:t>
            </w:r>
            <w:r>
              <w:rPr>
                <w:rFonts w:ascii="Times New Roman" w:hAnsi="Times New Roman"/>
                <w:kern w:val="21"/>
                <w:u w:val="single"/>
              </w:rPr>
              <w:t xml:space="preserve">  </w:t>
            </w:r>
            <w:r>
              <w:rPr>
                <w:rFonts w:ascii="Times New Roman" w:hAnsi="Times New Roman"/>
                <w:kern w:val="21"/>
              </w:rPr>
              <w:t>时</w:t>
            </w:r>
            <w:r>
              <w:rPr>
                <w:rFonts w:ascii="Times New Roman" w:hAnsi="Times New Roman"/>
                <w:kern w:val="21"/>
                <w:u w:val="single"/>
              </w:rPr>
              <w:t xml:space="preserve">  </w:t>
            </w:r>
            <w:r>
              <w:rPr>
                <w:rFonts w:ascii="Times New Roman" w:hAnsi="Times New Roman"/>
                <w:kern w:val="21"/>
              </w:rPr>
              <w:t>分</w:t>
            </w:r>
          </w:p>
        </w:tc>
        <w:tc>
          <w:tcPr>
            <w:tcW w:w="2059"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报告人电话</w:t>
            </w:r>
          </w:p>
        </w:tc>
        <w:tc>
          <w:tcPr>
            <w:tcW w:w="2494" w:type="dxa"/>
            <w:gridSpan w:val="2"/>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事故持续时间</w:t>
            </w:r>
          </w:p>
        </w:tc>
        <w:tc>
          <w:tcPr>
            <w:tcW w:w="2314" w:type="dxa"/>
            <w:gridSpan w:val="4"/>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时</w:t>
            </w:r>
            <w:r>
              <w:rPr>
                <w:rFonts w:ascii="Times New Roman" w:hAnsi="Times New Roman"/>
                <w:kern w:val="21"/>
                <w:u w:val="single"/>
              </w:rPr>
              <w:t xml:space="preserve">  </w:t>
            </w:r>
            <w:r>
              <w:rPr>
                <w:rFonts w:ascii="Times New Roman" w:hAnsi="Times New Roman"/>
                <w:kern w:val="21"/>
              </w:rPr>
              <w:t>分</w:t>
            </w:r>
          </w:p>
        </w:tc>
        <w:tc>
          <w:tcPr>
            <w:tcW w:w="2059"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报告人职务</w:t>
            </w:r>
          </w:p>
        </w:tc>
        <w:tc>
          <w:tcPr>
            <w:tcW w:w="2494" w:type="dxa"/>
            <w:gridSpan w:val="2"/>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事故地点/部位</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泄漏物质的</w:t>
            </w:r>
          </w:p>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危害特性</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消除泄漏物质危害的物质名称</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Merge w:val="restart"/>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危害情况</w:t>
            </w:r>
          </w:p>
        </w:tc>
        <w:tc>
          <w:tcPr>
            <w:tcW w:w="2761" w:type="dxa"/>
            <w:gridSpan w:val="5"/>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人员伤亡</w:t>
            </w:r>
          </w:p>
        </w:tc>
        <w:tc>
          <w:tcPr>
            <w:tcW w:w="1838"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设备受损</w:t>
            </w:r>
          </w:p>
        </w:tc>
        <w:tc>
          <w:tcPr>
            <w:tcW w:w="2268" w:type="dxa"/>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90" w:hRule="atLeast"/>
          <w:jc w:val="center"/>
        </w:trPr>
        <w:tc>
          <w:tcPr>
            <w:tcW w:w="2193" w:type="dxa"/>
            <w:gridSpan w:val="2"/>
            <w:vMerge w:val="continue"/>
            <w:vAlign w:val="center"/>
          </w:tcPr>
          <w:p>
            <w:pPr>
              <w:adjustRightInd w:val="0"/>
              <w:snapToGrid w:val="0"/>
              <w:spacing w:line="520" w:lineRule="exact"/>
              <w:ind w:firstLine="0" w:firstLineChars="0"/>
              <w:jc w:val="center"/>
              <w:rPr>
                <w:rFonts w:ascii="Times New Roman" w:hAnsi="Times New Roman"/>
                <w:kern w:val="21"/>
              </w:rPr>
            </w:pPr>
          </w:p>
        </w:tc>
        <w:tc>
          <w:tcPr>
            <w:tcW w:w="918" w:type="dxa"/>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死亡</w:t>
            </w:r>
          </w:p>
        </w:tc>
        <w:tc>
          <w:tcPr>
            <w:tcW w:w="924" w:type="dxa"/>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重伤</w:t>
            </w:r>
          </w:p>
        </w:tc>
        <w:tc>
          <w:tcPr>
            <w:tcW w:w="919"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轻伤</w:t>
            </w:r>
          </w:p>
        </w:tc>
        <w:tc>
          <w:tcPr>
            <w:tcW w:w="1838"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建筑物受损</w:t>
            </w:r>
          </w:p>
        </w:tc>
        <w:tc>
          <w:tcPr>
            <w:tcW w:w="2268" w:type="dxa"/>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Merge w:val="continue"/>
            <w:vAlign w:val="center"/>
          </w:tcPr>
          <w:p>
            <w:pPr>
              <w:adjustRightInd w:val="0"/>
              <w:snapToGrid w:val="0"/>
              <w:spacing w:line="520" w:lineRule="exact"/>
              <w:ind w:firstLine="0" w:firstLineChars="0"/>
              <w:jc w:val="center"/>
              <w:rPr>
                <w:rFonts w:ascii="Times New Roman" w:hAnsi="Times New Roman"/>
                <w:kern w:val="21"/>
              </w:rPr>
            </w:pPr>
          </w:p>
        </w:tc>
        <w:tc>
          <w:tcPr>
            <w:tcW w:w="918" w:type="dxa"/>
            <w:vAlign w:val="center"/>
          </w:tcPr>
          <w:p>
            <w:pPr>
              <w:adjustRightInd w:val="0"/>
              <w:snapToGrid w:val="0"/>
              <w:spacing w:line="520" w:lineRule="exact"/>
              <w:ind w:firstLine="0" w:firstLineChars="0"/>
              <w:jc w:val="center"/>
              <w:rPr>
                <w:rFonts w:ascii="Times New Roman" w:hAnsi="Times New Roman"/>
                <w:kern w:val="21"/>
              </w:rPr>
            </w:pPr>
          </w:p>
        </w:tc>
        <w:tc>
          <w:tcPr>
            <w:tcW w:w="924" w:type="dxa"/>
            <w:vAlign w:val="center"/>
          </w:tcPr>
          <w:p>
            <w:pPr>
              <w:adjustRightInd w:val="0"/>
              <w:snapToGrid w:val="0"/>
              <w:spacing w:line="520" w:lineRule="exact"/>
              <w:ind w:firstLine="0" w:firstLineChars="0"/>
              <w:jc w:val="center"/>
              <w:rPr>
                <w:rFonts w:ascii="Times New Roman" w:hAnsi="Times New Roman"/>
                <w:kern w:val="21"/>
              </w:rPr>
            </w:pPr>
          </w:p>
        </w:tc>
        <w:tc>
          <w:tcPr>
            <w:tcW w:w="919" w:type="dxa"/>
            <w:gridSpan w:val="3"/>
            <w:vAlign w:val="center"/>
          </w:tcPr>
          <w:p>
            <w:pPr>
              <w:adjustRightInd w:val="0"/>
              <w:snapToGrid w:val="0"/>
              <w:spacing w:line="520" w:lineRule="exact"/>
              <w:ind w:firstLine="0" w:firstLineChars="0"/>
              <w:jc w:val="center"/>
              <w:rPr>
                <w:rFonts w:ascii="Times New Roman" w:hAnsi="Times New Roman"/>
                <w:kern w:val="21"/>
              </w:rPr>
            </w:pPr>
          </w:p>
        </w:tc>
        <w:tc>
          <w:tcPr>
            <w:tcW w:w="1838"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财产损失</w:t>
            </w:r>
          </w:p>
        </w:tc>
        <w:tc>
          <w:tcPr>
            <w:tcW w:w="2268" w:type="dxa"/>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波及范围</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设施损坏情况</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已采取的措施</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周边道路情况</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与有关部门协调情况</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应急人员及设施到位情况</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193" w:type="dxa"/>
            <w:gridSpan w:val="2"/>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应急物资准备情况</w:t>
            </w:r>
          </w:p>
        </w:tc>
        <w:tc>
          <w:tcPr>
            <w:tcW w:w="6867" w:type="dxa"/>
            <w:gridSpan w:val="9"/>
            <w:vAlign w:val="center"/>
          </w:tcPr>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rPr>
                <w:rFonts w:ascii="Times New Roman" w:hAnsi="Times New Roman"/>
                <w:kern w:val="21"/>
              </w:rPr>
            </w:pPr>
            <w:r>
              <w:rPr>
                <w:rFonts w:ascii="Times New Roman" w:hAnsi="Times New Roman"/>
                <w:kern w:val="21"/>
              </w:rPr>
              <w:t>事故发生原因及主要经过：</w:t>
            </w:r>
          </w:p>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rPr>
                <w:rFonts w:ascii="Times New Roman" w:hAnsi="Times New Roman"/>
                <w:kern w:val="21"/>
              </w:rPr>
            </w:pPr>
            <w:r>
              <w:rPr>
                <w:rFonts w:ascii="Times New Roman" w:hAnsi="Times New Roman"/>
                <w:kern w:val="21"/>
              </w:rPr>
              <w:t>危险物质泄漏情况：</w:t>
            </w:r>
          </w:p>
          <w:p>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rPr>
              <w:t>泄漏危险化学品名称（固、液、气）：</w:t>
            </w:r>
          </w:p>
          <w:p>
            <w:pPr>
              <w:adjustRightInd w:val="0"/>
              <w:snapToGrid w:val="0"/>
              <w:spacing w:line="520" w:lineRule="exact"/>
              <w:ind w:firstLine="0" w:firstLineChars="0"/>
              <w:jc w:val="center"/>
              <w:rPr>
                <w:rFonts w:ascii="Times New Roman" w:hAnsi="Times New Roman"/>
                <w:kern w:val="21"/>
                <w:u w:val="single"/>
              </w:rPr>
            </w:pPr>
          </w:p>
          <w:p>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u w:val="single"/>
              </w:rPr>
              <w:t>泄漏量/泄漏率：</w:t>
            </w:r>
          </w:p>
          <w:p>
            <w:pPr>
              <w:adjustRightInd w:val="0"/>
              <w:snapToGrid w:val="0"/>
              <w:spacing w:line="520" w:lineRule="exact"/>
              <w:ind w:firstLine="0" w:firstLineChars="0"/>
              <w:jc w:val="center"/>
              <w:rPr>
                <w:rFonts w:ascii="Times New Roman" w:hAnsi="Times New Roman"/>
                <w:kern w:val="21"/>
                <w:u w:val="single"/>
              </w:rPr>
            </w:pPr>
          </w:p>
          <w:p>
            <w:pPr>
              <w:adjustRightInd w:val="0"/>
              <w:snapToGrid w:val="0"/>
              <w:spacing w:line="520" w:lineRule="exact"/>
              <w:ind w:firstLine="0" w:firstLineChars="0"/>
              <w:rPr>
                <w:rFonts w:ascii="Times New Roman" w:hAnsi="Times New Roman"/>
                <w:kern w:val="21"/>
                <w:u w:val="single"/>
              </w:rPr>
            </w:pPr>
            <w:r>
              <w:rPr>
                <w:rFonts w:ascii="Times New Roman" w:hAnsi="Times New Roman"/>
                <w:kern w:val="21"/>
                <w:u w:val="single"/>
              </w:rPr>
              <w:t>毒性/易燃性：</w:t>
            </w: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rPr>
                <w:rFonts w:ascii="Times New Roman" w:hAnsi="Times New Roman"/>
                <w:kern w:val="21"/>
              </w:rPr>
            </w:pPr>
            <w:r>
              <w:rPr>
                <w:rFonts w:ascii="Times New Roman" w:hAnsi="Times New Roman"/>
                <w:kern w:val="21"/>
              </w:rPr>
              <w:t>火灾爆炸情况：</w:t>
            </w: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rPr>
                <w:rFonts w:ascii="Times New Roman" w:hAnsi="Times New Roman"/>
                <w:kern w:val="21"/>
              </w:rPr>
            </w:pPr>
            <w:r>
              <w:rPr>
                <w:rFonts w:ascii="Times New Roman" w:hAnsi="Times New Roman"/>
                <w:kern w:val="21"/>
              </w:rPr>
              <w:t>环境污染情况：</w:t>
            </w: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rPr>
                <w:rFonts w:ascii="Times New Roman" w:hAnsi="Times New Roman"/>
                <w:kern w:val="21"/>
              </w:rPr>
            </w:pPr>
            <w:r>
              <w:rPr>
                <w:rFonts w:ascii="Times New Roman" w:hAnsi="Times New Roman"/>
                <w:kern w:val="21"/>
              </w:rPr>
              <w:t>事态及次生或衍生事态发展情况预测：</w:t>
            </w:r>
          </w:p>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9060" w:type="dxa"/>
            <w:gridSpan w:val="11"/>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天气状况：温度</w:t>
            </w:r>
            <w:r>
              <w:rPr>
                <w:rFonts w:ascii="Times New Roman" w:hAnsi="Times New Roman"/>
                <w:kern w:val="21"/>
                <w:u w:val="single"/>
              </w:rPr>
              <w:t xml:space="preserve">             </w:t>
            </w:r>
            <w:r>
              <w:rPr>
                <w:rFonts w:ascii="Times New Roman" w:hAnsi="Times New Roman"/>
                <w:kern w:val="21"/>
              </w:rPr>
              <w:t>风速</w:t>
            </w:r>
            <w:r>
              <w:rPr>
                <w:rFonts w:ascii="Times New Roman" w:hAnsi="Times New Roman"/>
                <w:kern w:val="21"/>
                <w:u w:val="single"/>
              </w:rPr>
              <w:t xml:space="preserve">           </w:t>
            </w:r>
            <w:r>
              <w:rPr>
                <w:rFonts w:ascii="Times New Roman" w:hAnsi="Times New Roman"/>
                <w:kern w:val="21"/>
              </w:rPr>
              <w:t>阴晴</w:t>
            </w:r>
            <w:r>
              <w:rPr>
                <w:rFonts w:ascii="Times New Roman" w:hAnsi="Times New Roman"/>
                <w:kern w:val="21"/>
                <w:u w:val="single"/>
              </w:rPr>
              <w:t xml:space="preserve">          </w:t>
            </w:r>
            <w:r>
              <w:rPr>
                <w:rFonts w:ascii="Times New Roman" w:hAnsi="Times New Roman"/>
                <w:kern w:val="21"/>
              </w:rPr>
              <w:t>其它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961" w:type="dxa"/>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单位意见</w:t>
            </w:r>
          </w:p>
        </w:tc>
        <w:tc>
          <w:tcPr>
            <w:tcW w:w="7099" w:type="dxa"/>
            <w:gridSpan w:val="10"/>
            <w:vAlign w:val="center"/>
          </w:tcPr>
          <w:p>
            <w:pPr>
              <w:adjustRightInd w:val="0"/>
              <w:snapToGrid w:val="0"/>
              <w:spacing w:line="520" w:lineRule="exact"/>
              <w:ind w:firstLine="0" w:firstLineChars="0"/>
              <w:jc w:val="center"/>
              <w:rPr>
                <w:rFonts w:ascii="Times New Roman" w:hAnsi="Times New Roman"/>
                <w:kern w:val="21"/>
              </w:rPr>
            </w:pPr>
          </w:p>
          <w:p>
            <w:pPr>
              <w:adjustRightInd w:val="0"/>
              <w:snapToGrid w:val="0"/>
              <w:spacing w:line="520" w:lineRule="exact"/>
              <w:ind w:firstLine="0" w:firstLineChars="0"/>
              <w:jc w:val="center"/>
              <w:rPr>
                <w:rFonts w:ascii="Times New Roman" w:hAnsi="Times New Roman"/>
                <w:kern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1961" w:type="dxa"/>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填报时间</w:t>
            </w:r>
          </w:p>
        </w:tc>
        <w:tc>
          <w:tcPr>
            <w:tcW w:w="2329" w:type="dxa"/>
            <w:gridSpan w:val="4"/>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年月日时分</w:t>
            </w:r>
          </w:p>
        </w:tc>
        <w:tc>
          <w:tcPr>
            <w:tcW w:w="1150" w:type="dxa"/>
            <w:gridSpan w:val="3"/>
            <w:vAlign w:val="center"/>
          </w:tcPr>
          <w:p>
            <w:pPr>
              <w:adjustRightInd w:val="0"/>
              <w:snapToGrid w:val="0"/>
              <w:spacing w:line="520" w:lineRule="exact"/>
              <w:ind w:firstLine="0" w:firstLineChars="0"/>
              <w:jc w:val="center"/>
              <w:rPr>
                <w:rFonts w:ascii="Times New Roman" w:hAnsi="Times New Roman"/>
                <w:kern w:val="21"/>
              </w:rPr>
            </w:pPr>
            <w:r>
              <w:rPr>
                <w:rFonts w:ascii="Times New Roman" w:hAnsi="Times New Roman"/>
                <w:kern w:val="21"/>
              </w:rPr>
              <w:t>签发</w:t>
            </w:r>
          </w:p>
        </w:tc>
        <w:tc>
          <w:tcPr>
            <w:tcW w:w="3620" w:type="dxa"/>
            <w:gridSpan w:val="3"/>
            <w:vAlign w:val="center"/>
          </w:tcPr>
          <w:p>
            <w:pPr>
              <w:adjustRightInd w:val="0"/>
              <w:snapToGrid w:val="0"/>
              <w:spacing w:line="520" w:lineRule="exact"/>
              <w:ind w:firstLine="0" w:firstLineChars="0"/>
              <w:jc w:val="center"/>
              <w:rPr>
                <w:rFonts w:ascii="Times New Roman" w:hAnsi="Times New Roman"/>
                <w:kern w:val="21"/>
              </w:rPr>
            </w:pPr>
          </w:p>
        </w:tc>
      </w:tr>
    </w:tbl>
    <w:p>
      <w:pPr>
        <w:ind w:firstLine="0" w:firstLineChars="0"/>
        <w:rPr>
          <w:rFonts w:ascii="Times New Roman" w:hAnsi="Times New Roman"/>
          <w:kern w:val="21"/>
        </w:rPr>
        <w:sectPr>
          <w:headerReference r:id="rId19" w:type="default"/>
          <w:footerReference r:id="rId20" w:type="default"/>
          <w:pgSz w:w="11906" w:h="16838"/>
          <w:pgMar w:top="1440" w:right="1418" w:bottom="1440" w:left="1701" w:header="1134" w:footer="1021" w:gutter="0"/>
          <w:cols w:space="720" w:num="1"/>
          <w:docGrid w:linePitch="312" w:charSpace="0"/>
        </w:sectPr>
      </w:pPr>
    </w:p>
    <w:p>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w:t>
      </w:r>
      <w:r>
        <w:rPr>
          <w:rFonts w:hint="eastAsia" w:ascii="Times New Roman" w:hAnsi="Times New Roman"/>
          <w:b/>
          <w:kern w:val="21"/>
          <w:sz w:val="28"/>
          <w:szCs w:val="28"/>
        </w:rPr>
        <w:t>2</w:t>
      </w:r>
      <w:r>
        <w:rPr>
          <w:rFonts w:ascii="Times New Roman" w:hAnsi="Times New Roman"/>
          <w:b/>
          <w:kern w:val="21"/>
          <w:sz w:val="28"/>
          <w:szCs w:val="28"/>
        </w:rPr>
        <w:t>：</w:t>
      </w:r>
    </w:p>
    <w:p>
      <w:pPr>
        <w:spacing w:line="520" w:lineRule="exact"/>
        <w:ind w:firstLine="643"/>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r>
        <w:rPr>
          <w:rFonts w:ascii="Times New Roman" w:hAnsi="Times New Roman"/>
          <w:b/>
          <w:kern w:val="21"/>
          <w:sz w:val="32"/>
          <w:szCs w:val="32"/>
        </w:rPr>
        <w:t>突发环境事故</w:t>
      </w:r>
    </w:p>
    <w:p>
      <w:pPr>
        <w:spacing w:line="520" w:lineRule="exact"/>
        <w:ind w:firstLine="643"/>
        <w:jc w:val="center"/>
        <w:rPr>
          <w:rFonts w:ascii="Times New Roman" w:hAnsi="Times New Roman"/>
          <w:b/>
          <w:kern w:val="21"/>
          <w:sz w:val="32"/>
          <w:szCs w:val="32"/>
        </w:rPr>
      </w:pPr>
      <w:r>
        <w:rPr>
          <w:rFonts w:ascii="Times New Roman" w:hAnsi="Times New Roman"/>
          <w:b/>
          <w:kern w:val="21"/>
          <w:sz w:val="32"/>
          <w:szCs w:val="32"/>
        </w:rPr>
        <w:t>第XXXX次应急预案演练</w:t>
      </w:r>
    </w:p>
    <w:p>
      <w:pPr>
        <w:ind w:firstLine="560"/>
        <w:rPr>
          <w:rFonts w:ascii="Times New Roman" w:hAnsi="Times New Roman"/>
          <w:kern w:val="21"/>
          <w:sz w:val="28"/>
          <w:szCs w:val="28"/>
        </w:rPr>
      </w:pPr>
      <w:r>
        <w:rPr>
          <w:rFonts w:ascii="Times New Roman" w:hAnsi="Times New Roman"/>
          <w:kern w:val="21"/>
          <w:sz w:val="28"/>
          <w:szCs w:val="28"/>
        </w:rPr>
        <w:t>考核提问</w:t>
      </w:r>
    </w:p>
    <w:p>
      <w:pPr>
        <w:ind w:firstLine="560"/>
        <w:rPr>
          <w:rFonts w:ascii="Times New Roman" w:hAnsi="Times New Roman"/>
          <w:kern w:val="21"/>
          <w:sz w:val="28"/>
          <w:szCs w:val="28"/>
        </w:rPr>
      </w:pPr>
    </w:p>
    <w:p>
      <w:pPr>
        <w:numPr>
          <w:ilvl w:val="0"/>
          <w:numId w:val="8"/>
        </w:numPr>
        <w:ind w:firstLine="560"/>
        <w:rPr>
          <w:rFonts w:ascii="Times New Roman" w:hAnsi="Times New Roman"/>
          <w:b/>
          <w:kern w:val="21"/>
          <w:sz w:val="28"/>
          <w:szCs w:val="28"/>
        </w:rPr>
      </w:pPr>
      <w:r>
        <w:rPr>
          <w:rFonts w:ascii="Times New Roman" w:hAnsi="Times New Roman"/>
          <w:kern w:val="21"/>
          <w:sz w:val="28"/>
          <w:szCs w:val="28"/>
        </w:rPr>
        <w:t>发现污染源的报告程序？</w:t>
      </w:r>
      <w:r>
        <w:rPr>
          <w:rFonts w:ascii="Times New Roman" w:hAnsi="Times New Roman"/>
          <w:b/>
          <w:kern w:val="21"/>
          <w:sz w:val="28"/>
          <w:szCs w:val="28"/>
        </w:rPr>
        <w:t>逐级报告、警戒线设置、应急措施、组织撤离</w:t>
      </w:r>
    </w:p>
    <w:p>
      <w:pPr>
        <w:numPr>
          <w:ilvl w:val="0"/>
          <w:numId w:val="8"/>
        </w:numPr>
        <w:ind w:firstLine="560"/>
        <w:rPr>
          <w:rFonts w:ascii="Times New Roman" w:hAnsi="Times New Roman"/>
          <w:b/>
          <w:kern w:val="21"/>
          <w:sz w:val="28"/>
          <w:szCs w:val="28"/>
        </w:rPr>
      </w:pPr>
      <w:r>
        <w:rPr>
          <w:rFonts w:ascii="Times New Roman" w:hAnsi="Times New Roman"/>
          <w:kern w:val="21"/>
          <w:sz w:val="28"/>
          <w:szCs w:val="28"/>
        </w:rPr>
        <w:t>人员疏散的组织程序？</w:t>
      </w:r>
      <w:r>
        <w:rPr>
          <w:rFonts w:ascii="Times New Roman" w:hAnsi="Times New Roman"/>
          <w:b/>
          <w:kern w:val="21"/>
          <w:sz w:val="28"/>
          <w:szCs w:val="28"/>
        </w:rPr>
        <w:t>通知、警戒线设置、组织撤离、清点与巡查、报告</w:t>
      </w:r>
    </w:p>
    <w:p>
      <w:pPr>
        <w:numPr>
          <w:ilvl w:val="0"/>
          <w:numId w:val="8"/>
        </w:numPr>
        <w:ind w:firstLine="560"/>
        <w:rPr>
          <w:rFonts w:ascii="Times New Roman" w:hAnsi="Times New Roman"/>
          <w:kern w:val="21"/>
          <w:sz w:val="28"/>
          <w:szCs w:val="28"/>
        </w:rPr>
      </w:pPr>
      <w:r>
        <w:rPr>
          <w:rFonts w:ascii="Times New Roman" w:hAnsi="Times New Roman"/>
          <w:kern w:val="21"/>
          <w:sz w:val="28"/>
          <w:szCs w:val="28"/>
        </w:rPr>
        <w:t>上报险情应描述的内容：</w:t>
      </w:r>
      <w:r>
        <w:rPr>
          <w:rFonts w:ascii="Times New Roman" w:hAnsi="Times New Roman"/>
          <w:b/>
          <w:kern w:val="21"/>
          <w:sz w:val="28"/>
          <w:szCs w:val="28"/>
        </w:rPr>
        <w:t>时间、地点、具体情况描述、对风险（周边其他环境影响）的判断；</w:t>
      </w:r>
    </w:p>
    <w:p>
      <w:pPr>
        <w:numPr>
          <w:ilvl w:val="0"/>
          <w:numId w:val="8"/>
        </w:numPr>
        <w:ind w:firstLine="560"/>
        <w:rPr>
          <w:rFonts w:ascii="Times New Roman" w:hAnsi="Times New Roman"/>
          <w:kern w:val="21"/>
          <w:sz w:val="28"/>
          <w:szCs w:val="28"/>
        </w:rPr>
      </w:pPr>
      <w:r>
        <w:rPr>
          <w:rFonts w:ascii="Times New Roman" w:hAnsi="Times New Roman"/>
          <w:kern w:val="21"/>
          <w:sz w:val="28"/>
          <w:szCs w:val="28"/>
        </w:rPr>
        <w:t>管理人员：</w:t>
      </w:r>
      <w:r>
        <w:rPr>
          <w:rFonts w:ascii="Times New Roman" w:hAnsi="Times New Roman"/>
          <w:b/>
          <w:kern w:val="21"/>
          <w:sz w:val="28"/>
          <w:szCs w:val="28"/>
        </w:rPr>
        <w:t>职责、风险判断、危险物以及危险状况描述及应对方法、现场的组织与掌控、原因分析方法与改进措施</w:t>
      </w:r>
    </w:p>
    <w:p>
      <w:pPr>
        <w:numPr>
          <w:ilvl w:val="0"/>
          <w:numId w:val="8"/>
        </w:numPr>
        <w:ind w:firstLine="560"/>
        <w:rPr>
          <w:rFonts w:ascii="Times New Roman" w:hAnsi="Times New Roman"/>
          <w:b/>
          <w:kern w:val="21"/>
          <w:sz w:val="28"/>
          <w:szCs w:val="28"/>
        </w:rPr>
      </w:pPr>
      <w:r>
        <w:rPr>
          <w:rFonts w:ascii="Times New Roman" w:hAnsi="Times New Roman"/>
          <w:kern w:val="21"/>
          <w:sz w:val="28"/>
          <w:szCs w:val="28"/>
        </w:rPr>
        <w:t>现场物资准备情况调查：</w:t>
      </w:r>
      <w:r>
        <w:rPr>
          <w:rFonts w:ascii="Times New Roman" w:hAnsi="Times New Roman"/>
          <w:b/>
          <w:kern w:val="21"/>
          <w:sz w:val="28"/>
          <w:szCs w:val="28"/>
        </w:rPr>
        <w:t>物资保障和运输队应急工器具准备情况、环境监测队应急响应准备情况、抢险救援队应急响应准备情况</w:t>
      </w:r>
    </w:p>
    <w:p>
      <w:pPr>
        <w:numPr>
          <w:ilvl w:val="0"/>
          <w:numId w:val="8"/>
        </w:numPr>
        <w:ind w:firstLine="560"/>
        <w:rPr>
          <w:rFonts w:ascii="Times New Roman" w:hAnsi="Times New Roman"/>
          <w:b/>
          <w:kern w:val="21"/>
          <w:sz w:val="28"/>
          <w:szCs w:val="28"/>
        </w:rPr>
      </w:pPr>
      <w:r>
        <w:rPr>
          <w:rFonts w:ascii="Times New Roman" w:hAnsi="Times New Roman"/>
          <w:kern w:val="21"/>
          <w:sz w:val="28"/>
          <w:szCs w:val="28"/>
        </w:rPr>
        <w:t>抽检考核人数</w:t>
      </w:r>
      <w:r>
        <w:rPr>
          <w:rFonts w:ascii="Times New Roman" w:hAnsi="Times New Roman"/>
          <w:b/>
          <w:kern w:val="21"/>
          <w:sz w:val="28"/>
          <w:szCs w:val="28"/>
        </w:rPr>
        <w:t>：以污水运行班2人、班长1人、办公室1人、污泥脱水间1人、维修班1人</w:t>
      </w:r>
    </w:p>
    <w:p>
      <w:pPr>
        <w:numPr>
          <w:ilvl w:val="0"/>
          <w:numId w:val="8"/>
        </w:numPr>
        <w:ind w:firstLine="560"/>
        <w:rPr>
          <w:rFonts w:ascii="Times New Roman" w:hAnsi="Times New Roman"/>
          <w:kern w:val="21"/>
          <w:sz w:val="28"/>
          <w:szCs w:val="28"/>
        </w:rPr>
      </w:pPr>
      <w:r>
        <w:rPr>
          <w:rFonts w:ascii="Times New Roman" w:hAnsi="Times New Roman"/>
          <w:kern w:val="21"/>
          <w:sz w:val="28"/>
          <w:szCs w:val="28"/>
        </w:rPr>
        <w:t>参加人数</w:t>
      </w:r>
      <w:r>
        <w:rPr>
          <w:rFonts w:ascii="Times New Roman" w:hAnsi="Times New Roman"/>
          <w:b/>
          <w:kern w:val="21"/>
          <w:sz w:val="28"/>
          <w:szCs w:val="28"/>
        </w:rPr>
        <w:t>：当班污水运行班全体、办公室、污泥脱水间、维修班其他人员列席</w:t>
      </w:r>
    </w:p>
    <w:p>
      <w:pPr>
        <w:spacing w:line="520" w:lineRule="exact"/>
        <w:ind w:firstLine="0" w:firstLineChars="0"/>
        <w:rPr>
          <w:rFonts w:ascii="Times New Roman" w:hAnsi="Times New Roman"/>
          <w:kern w:val="21"/>
        </w:rPr>
        <w:sectPr>
          <w:pgSz w:w="11906" w:h="16838"/>
          <w:pgMar w:top="1440" w:right="1080" w:bottom="1440" w:left="1080" w:header="567" w:footer="992" w:gutter="0"/>
          <w:cols w:space="720" w:num="1"/>
          <w:docGrid w:type="lines" w:linePitch="318" w:charSpace="0"/>
        </w:sectPr>
      </w:pPr>
      <w:r>
        <w:rPr>
          <w:rFonts w:ascii="Times New Roman" w:hAnsi="Times New Roman"/>
          <w:kern w:val="21"/>
        </w:rPr>
        <w:br w:type="page"/>
      </w:r>
    </w:p>
    <w:p>
      <w:pPr>
        <w:spacing w:line="520" w:lineRule="exact"/>
        <w:ind w:firstLine="0" w:firstLineChars="0"/>
        <w:rPr>
          <w:rFonts w:ascii="Times New Roman" w:hAnsi="Times New Roman"/>
          <w:b/>
          <w:kern w:val="21"/>
          <w:sz w:val="28"/>
          <w:szCs w:val="28"/>
        </w:rPr>
      </w:pPr>
      <w:r>
        <w:rPr>
          <w:rFonts w:ascii="Times New Roman" w:hAnsi="Times New Roman"/>
          <w:b/>
          <w:kern w:val="21"/>
          <w:sz w:val="28"/>
          <w:szCs w:val="28"/>
        </w:rPr>
        <w:t>附件</w:t>
      </w:r>
      <w:r>
        <w:rPr>
          <w:rFonts w:hint="eastAsia" w:ascii="Times New Roman" w:hAnsi="Times New Roman"/>
          <w:b/>
          <w:kern w:val="21"/>
          <w:sz w:val="28"/>
          <w:szCs w:val="28"/>
        </w:rPr>
        <w:t>3</w:t>
      </w:r>
      <w:r>
        <w:rPr>
          <w:rFonts w:ascii="Times New Roman" w:hAnsi="Times New Roman"/>
          <w:b/>
          <w:kern w:val="21"/>
          <w:sz w:val="28"/>
          <w:szCs w:val="28"/>
        </w:rPr>
        <w:t>：</w:t>
      </w:r>
    </w:p>
    <w:p>
      <w:pPr>
        <w:ind w:firstLine="643"/>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p>
    <w:p>
      <w:pPr>
        <w:ind w:firstLine="643"/>
        <w:jc w:val="center"/>
        <w:rPr>
          <w:rFonts w:ascii="Times New Roman" w:hAnsi="Times New Roman"/>
          <w:b/>
          <w:kern w:val="21"/>
          <w:sz w:val="32"/>
          <w:szCs w:val="32"/>
        </w:rPr>
      </w:pPr>
      <w:r>
        <w:rPr>
          <w:rFonts w:ascii="Times New Roman" w:hAnsi="Times New Roman"/>
          <w:b/>
          <w:kern w:val="21"/>
          <w:sz w:val="32"/>
          <w:szCs w:val="32"/>
        </w:rPr>
        <w:t>突发环境事故应急预案演习记录</w:t>
      </w:r>
    </w:p>
    <w:tbl>
      <w:tblPr>
        <w:tblStyle w:val="48"/>
        <w:tblW w:w="5000"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558"/>
        <w:gridCol w:w="1015"/>
        <w:gridCol w:w="1190"/>
        <w:gridCol w:w="1253"/>
        <w:gridCol w:w="214"/>
        <w:gridCol w:w="959"/>
        <w:gridCol w:w="391"/>
        <w:gridCol w:w="1534"/>
        <w:gridCol w:w="274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04"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预案名称</w:t>
            </w:r>
          </w:p>
        </w:tc>
        <w:tc>
          <w:tcPr>
            <w:tcW w:w="2960" w:type="dxa"/>
            <w:gridSpan w:val="4"/>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c>
          <w:tcPr>
            <w:tcW w:w="1576"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演习地点</w:t>
            </w:r>
          </w:p>
        </w:tc>
        <w:tc>
          <w:tcPr>
            <w:tcW w:w="2243"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组织部门</w:t>
            </w:r>
          </w:p>
        </w:tc>
        <w:tc>
          <w:tcPr>
            <w:tcW w:w="974"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c>
          <w:tcPr>
            <w:tcW w:w="1026"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总指挥</w:t>
            </w:r>
          </w:p>
        </w:tc>
        <w:tc>
          <w:tcPr>
            <w:tcW w:w="960"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c>
          <w:tcPr>
            <w:tcW w:w="1576"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演习时间</w:t>
            </w:r>
          </w:p>
        </w:tc>
        <w:tc>
          <w:tcPr>
            <w:tcW w:w="2243"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4"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参加部门</w:t>
            </w:r>
          </w:p>
          <w:p>
            <w:pPr>
              <w:adjustRightInd w:val="0"/>
              <w:snapToGrid w:val="0"/>
              <w:ind w:firstLine="0" w:firstLineChars="0"/>
              <w:jc w:val="center"/>
              <w:rPr>
                <w:rFonts w:ascii="Times New Roman" w:hAnsi="Times New Roman"/>
                <w:kern w:val="21"/>
              </w:rPr>
            </w:pPr>
            <w:r>
              <w:rPr>
                <w:rFonts w:ascii="Times New Roman" w:hAnsi="Times New Roman"/>
                <w:kern w:val="21"/>
              </w:rPr>
              <w:t>和单位</w:t>
            </w:r>
          </w:p>
        </w:tc>
        <w:tc>
          <w:tcPr>
            <w:tcW w:w="3280" w:type="dxa"/>
            <w:gridSpan w:val="5"/>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c>
          <w:tcPr>
            <w:tcW w:w="1256"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演习方式</w:t>
            </w:r>
          </w:p>
        </w:tc>
        <w:tc>
          <w:tcPr>
            <w:tcW w:w="2243"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86"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演习类别</w:t>
            </w:r>
          </w:p>
        </w:tc>
        <w:tc>
          <w:tcPr>
            <w:tcW w:w="2175" w:type="dxa"/>
            <w:gridSpan w:val="3"/>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c>
          <w:tcPr>
            <w:tcW w:w="4604" w:type="dxa"/>
            <w:gridSpan w:val="4"/>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演习程序：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05"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预案评审</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rPr>
                <w:rFonts w:ascii="Times New Roman" w:hAnsi="Times New Roman"/>
                <w:kern w:val="21"/>
              </w:rPr>
            </w:pPr>
            <w:r>
              <w:rPr>
                <w:rFonts w:ascii="Times New Roman" w:hAnsi="Times New Roman"/>
                <w:kern w:val="21"/>
              </w:rPr>
              <w:t>□适宜性：全部能够执行</w:t>
            </w:r>
          </w:p>
          <w:p>
            <w:pPr>
              <w:adjustRightInd w:val="0"/>
              <w:snapToGrid w:val="0"/>
              <w:ind w:firstLine="0" w:firstLineChars="0"/>
              <w:rPr>
                <w:rFonts w:ascii="Times New Roman" w:hAnsi="Times New Roman"/>
                <w:kern w:val="21"/>
              </w:rPr>
            </w:pPr>
            <w:r>
              <w:rPr>
                <w:rFonts w:ascii="Times New Roman" w:hAnsi="Times New Roman"/>
                <w:kern w:val="21"/>
              </w:rPr>
              <w:t>□执行过程不够顺利  □明显不适宜</w:t>
            </w:r>
          </w:p>
          <w:p>
            <w:pPr>
              <w:adjustRightInd w:val="0"/>
              <w:snapToGrid w:val="0"/>
              <w:ind w:firstLine="0" w:firstLineChars="0"/>
              <w:rPr>
                <w:rFonts w:ascii="Times New Roman" w:hAnsi="Times New Roman"/>
                <w:kern w:val="21"/>
              </w:rPr>
            </w:pPr>
            <w:r>
              <w:rPr>
                <w:rFonts w:ascii="Times New Roman" w:hAnsi="Times New Roman"/>
                <w:kern w:val="21"/>
              </w:rPr>
              <w:t>□充分性：完全满足应急要求</w:t>
            </w:r>
          </w:p>
          <w:p>
            <w:pPr>
              <w:adjustRightInd w:val="0"/>
              <w:snapToGrid w:val="0"/>
              <w:ind w:firstLine="0" w:firstLineChars="0"/>
              <w:rPr>
                <w:rFonts w:ascii="Times New Roman" w:hAnsi="Times New Roman"/>
                <w:kern w:val="21"/>
              </w:rPr>
            </w:pPr>
            <w:r>
              <w:rPr>
                <w:rFonts w:ascii="Times New Roman" w:hAnsi="Times New Roman"/>
                <w:kern w:val="21"/>
              </w:rPr>
              <w:t>□基本满足需要完善</w:t>
            </w:r>
          </w:p>
          <w:p>
            <w:pPr>
              <w:adjustRightInd w:val="0"/>
              <w:snapToGrid w:val="0"/>
              <w:ind w:firstLine="0" w:firstLineChars="0"/>
              <w:rPr>
                <w:rFonts w:ascii="Times New Roman" w:hAnsi="Times New Roman"/>
                <w:kern w:val="21"/>
              </w:rPr>
            </w:pPr>
            <w:r>
              <w:rPr>
                <w:rFonts w:ascii="Times New Roman" w:hAnsi="Times New Roman"/>
                <w:kern w:val="21"/>
              </w:rPr>
              <w:t>□不充分，必须修改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58" w:hRule="atLeast"/>
          <w:jc w:val="center"/>
        </w:trPr>
        <w:tc>
          <w:tcPr>
            <w:tcW w:w="456" w:type="dxa"/>
            <w:vMerge w:val="restart"/>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演演习效果评审</w:t>
            </w:r>
          </w:p>
        </w:tc>
        <w:tc>
          <w:tcPr>
            <w:tcW w:w="831"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人员到位情况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rPr>
                <w:rFonts w:ascii="Times New Roman" w:hAnsi="Times New Roman"/>
                <w:kern w:val="21"/>
              </w:rPr>
            </w:pPr>
            <w:r>
              <w:rPr>
                <w:rFonts w:ascii="Times New Roman" w:hAnsi="Times New Roman"/>
                <w:kern w:val="21"/>
              </w:rPr>
              <w:t>□迅速准确  基本按时到位</w:t>
            </w:r>
          </w:p>
          <w:p>
            <w:pPr>
              <w:adjustRightInd w:val="0"/>
              <w:snapToGrid w:val="0"/>
              <w:ind w:firstLine="0" w:firstLineChars="0"/>
              <w:rPr>
                <w:rFonts w:ascii="Times New Roman" w:hAnsi="Times New Roman"/>
                <w:kern w:val="21"/>
              </w:rPr>
            </w:pPr>
            <w:r>
              <w:rPr>
                <w:rFonts w:ascii="Times New Roman" w:hAnsi="Times New Roman"/>
                <w:kern w:val="21"/>
              </w:rPr>
              <w:t>□个别人员不到位</w:t>
            </w:r>
          </w:p>
          <w:p>
            <w:pPr>
              <w:adjustRightInd w:val="0"/>
              <w:snapToGrid w:val="0"/>
              <w:ind w:firstLine="0" w:firstLineChars="0"/>
              <w:rPr>
                <w:rFonts w:ascii="Times New Roman" w:hAnsi="Times New Roman"/>
                <w:kern w:val="21"/>
              </w:rPr>
            </w:pPr>
            <w:r>
              <w:rPr>
                <w:rFonts w:ascii="Times New Roman" w:hAnsi="Times New Roman"/>
                <w:kern w:val="21"/>
              </w:rPr>
              <w:t>□重点部位人员不到位</w:t>
            </w:r>
          </w:p>
          <w:p>
            <w:pPr>
              <w:adjustRightInd w:val="0"/>
              <w:snapToGrid w:val="0"/>
              <w:ind w:firstLine="0" w:firstLineChars="0"/>
              <w:rPr>
                <w:rFonts w:ascii="Times New Roman" w:hAnsi="Times New Roman"/>
                <w:kern w:val="21"/>
              </w:rPr>
            </w:pPr>
            <w:r>
              <w:rPr>
                <w:rFonts w:ascii="Times New Roman" w:hAnsi="Times New Roman"/>
                <w:kern w:val="21"/>
              </w:rPr>
              <w:t>□职责明确，操作熟练</w:t>
            </w:r>
          </w:p>
          <w:p>
            <w:pPr>
              <w:adjustRightInd w:val="0"/>
              <w:snapToGrid w:val="0"/>
              <w:ind w:firstLine="0" w:firstLineChars="0"/>
              <w:rPr>
                <w:rFonts w:ascii="Times New Roman" w:hAnsi="Times New Roman"/>
                <w:kern w:val="21"/>
              </w:rPr>
            </w:pPr>
            <w:r>
              <w:rPr>
                <w:rFonts w:ascii="Times New Roman" w:hAnsi="Times New Roman"/>
                <w:kern w:val="21"/>
              </w:rPr>
              <w:t>□职责明确，操作不够熟练</w:t>
            </w:r>
          </w:p>
          <w:p>
            <w:pPr>
              <w:adjustRightInd w:val="0"/>
              <w:snapToGrid w:val="0"/>
              <w:ind w:firstLine="0" w:firstLineChars="0"/>
              <w:rPr>
                <w:rFonts w:ascii="Times New Roman" w:hAnsi="Times New Roman"/>
                <w:kern w:val="21"/>
              </w:rPr>
            </w:pPr>
            <w:r>
              <w:rPr>
                <w:rFonts w:ascii="Times New Roman" w:hAnsi="Times New Roman"/>
                <w:kern w:val="21"/>
              </w:rPr>
              <w:t>□职责不明，操作不熟练</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67"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物资到位情况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rPr>
                <w:rFonts w:ascii="Times New Roman" w:hAnsi="Times New Roman"/>
                <w:kern w:val="21"/>
              </w:rPr>
            </w:pPr>
            <w:r>
              <w:rPr>
                <w:rFonts w:ascii="Times New Roman" w:hAnsi="Times New Roman"/>
                <w:kern w:val="21"/>
              </w:rPr>
              <w:t>现场物资：□现场物资充分，全部有效</w:t>
            </w:r>
          </w:p>
          <w:p>
            <w:pPr>
              <w:adjustRightInd w:val="0"/>
              <w:snapToGrid w:val="0"/>
              <w:ind w:firstLine="0" w:firstLineChars="0"/>
              <w:rPr>
                <w:rFonts w:ascii="Times New Roman" w:hAnsi="Times New Roman"/>
                <w:kern w:val="21"/>
              </w:rPr>
            </w:pPr>
            <w:r>
              <w:rPr>
                <w:rFonts w:ascii="Times New Roman" w:hAnsi="Times New Roman"/>
                <w:kern w:val="21"/>
              </w:rPr>
              <w:t>□现场准备不充分</w:t>
            </w:r>
          </w:p>
          <w:p>
            <w:pPr>
              <w:adjustRightInd w:val="0"/>
              <w:snapToGrid w:val="0"/>
              <w:ind w:firstLine="0" w:firstLineChars="0"/>
              <w:rPr>
                <w:rFonts w:ascii="Times New Roman" w:hAnsi="Times New Roman"/>
                <w:kern w:val="21"/>
              </w:rPr>
            </w:pPr>
            <w:r>
              <w:rPr>
                <w:rFonts w:ascii="Times New Roman" w:hAnsi="Times New Roman"/>
                <w:kern w:val="21"/>
              </w:rPr>
              <w:t>□现场物资严重缺乏</w:t>
            </w:r>
          </w:p>
          <w:p>
            <w:pPr>
              <w:adjustRightInd w:val="0"/>
              <w:snapToGrid w:val="0"/>
              <w:ind w:firstLine="0" w:firstLineChars="0"/>
              <w:rPr>
                <w:rFonts w:ascii="Times New Roman" w:hAnsi="Times New Roman"/>
                <w:kern w:val="21"/>
              </w:rPr>
            </w:pPr>
            <w:r>
              <w:rPr>
                <w:rFonts w:ascii="Times New Roman" w:hAnsi="Times New Roman"/>
                <w:kern w:val="21"/>
              </w:rPr>
              <w:t>个人防护：□全部人员防护到位</w:t>
            </w:r>
          </w:p>
          <w:p>
            <w:pPr>
              <w:adjustRightInd w:val="0"/>
              <w:snapToGrid w:val="0"/>
              <w:ind w:firstLine="0" w:firstLineChars="0"/>
              <w:rPr>
                <w:rFonts w:ascii="Times New Roman" w:hAnsi="Times New Roman"/>
                <w:kern w:val="21"/>
              </w:rPr>
            </w:pPr>
            <w:r>
              <w:rPr>
                <w:rFonts w:ascii="Times New Roman" w:hAnsi="Times New Roman"/>
                <w:kern w:val="21"/>
              </w:rPr>
              <w:t>□个别人员防护不到位</w:t>
            </w:r>
          </w:p>
          <w:p>
            <w:pPr>
              <w:adjustRightInd w:val="0"/>
              <w:snapToGrid w:val="0"/>
              <w:ind w:firstLine="0" w:firstLineChars="0"/>
              <w:rPr>
                <w:rFonts w:ascii="Times New Roman" w:hAnsi="Times New Roman"/>
                <w:kern w:val="21"/>
              </w:rPr>
            </w:pPr>
            <w:r>
              <w:rPr>
                <w:rFonts w:ascii="Times New Roman" w:hAnsi="Times New Roman"/>
                <w:kern w:val="21"/>
              </w:rPr>
              <w:t>□大部分人员防护不到位</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777"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协调组织情况</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rPr>
                <w:rFonts w:ascii="Times New Roman" w:hAnsi="Times New Roman"/>
                <w:kern w:val="21"/>
              </w:rPr>
            </w:pPr>
            <w:r>
              <w:rPr>
                <w:rFonts w:ascii="Times New Roman" w:hAnsi="Times New Roman"/>
                <w:kern w:val="21"/>
              </w:rPr>
              <w:t>整体组织：□准确、高效</w:t>
            </w:r>
          </w:p>
          <w:p>
            <w:pPr>
              <w:adjustRightInd w:val="0"/>
              <w:snapToGrid w:val="0"/>
              <w:ind w:firstLine="0" w:firstLineChars="0"/>
              <w:rPr>
                <w:rFonts w:ascii="Times New Roman" w:hAnsi="Times New Roman"/>
                <w:kern w:val="21"/>
              </w:rPr>
            </w:pPr>
            <w:r>
              <w:rPr>
                <w:rFonts w:ascii="Times New Roman" w:hAnsi="Times New Roman"/>
                <w:kern w:val="21"/>
              </w:rPr>
              <w:t>□协调基本顺利，能满足要求</w:t>
            </w:r>
          </w:p>
          <w:p>
            <w:pPr>
              <w:adjustRightInd w:val="0"/>
              <w:snapToGrid w:val="0"/>
              <w:ind w:firstLine="0" w:firstLineChars="0"/>
              <w:rPr>
                <w:rFonts w:ascii="Times New Roman" w:hAnsi="Times New Roman"/>
                <w:kern w:val="21"/>
              </w:rPr>
            </w:pPr>
            <w:r>
              <w:rPr>
                <w:rFonts w:ascii="Times New Roman" w:hAnsi="Times New Roman"/>
                <w:kern w:val="21"/>
              </w:rPr>
              <w:t>□效率低，有待改进</w:t>
            </w:r>
          </w:p>
          <w:p>
            <w:pPr>
              <w:adjustRightInd w:val="0"/>
              <w:snapToGrid w:val="0"/>
              <w:ind w:firstLine="0" w:firstLineChars="0"/>
              <w:rPr>
                <w:rFonts w:ascii="Times New Roman" w:hAnsi="Times New Roman"/>
                <w:kern w:val="21"/>
              </w:rPr>
            </w:pPr>
            <w:r>
              <w:rPr>
                <w:rFonts w:ascii="Times New Roman" w:hAnsi="Times New Roman"/>
                <w:kern w:val="21"/>
              </w:rPr>
              <w:t>疏散组分工：□安全、快速</w:t>
            </w:r>
          </w:p>
          <w:p>
            <w:pPr>
              <w:adjustRightInd w:val="0"/>
              <w:snapToGrid w:val="0"/>
              <w:ind w:firstLine="0" w:firstLineChars="0"/>
              <w:rPr>
                <w:rFonts w:ascii="Times New Roman" w:hAnsi="Times New Roman"/>
                <w:kern w:val="21"/>
              </w:rPr>
            </w:pPr>
            <w:r>
              <w:rPr>
                <w:rFonts w:ascii="Times New Roman" w:hAnsi="Times New Roman"/>
                <w:kern w:val="21"/>
              </w:rPr>
              <w:t>□ 基本能完成任务</w:t>
            </w:r>
          </w:p>
          <w:p>
            <w:pPr>
              <w:adjustRightInd w:val="0"/>
              <w:snapToGrid w:val="0"/>
              <w:ind w:firstLine="0" w:firstLineChars="0"/>
              <w:rPr>
                <w:rFonts w:ascii="Times New Roman" w:hAnsi="Times New Roman"/>
                <w:kern w:val="21"/>
              </w:rPr>
            </w:pPr>
            <w:r>
              <w:rPr>
                <w:rFonts w:ascii="Times New Roman" w:hAnsi="Times New Roman"/>
                <w:kern w:val="21"/>
              </w:rPr>
              <w:t>□效率低，没有完成任务</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929"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实战效果评价</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numPr>
                <w:ilvl w:val="0"/>
                <w:numId w:val="9"/>
              </w:numPr>
              <w:adjustRightInd w:val="0"/>
              <w:snapToGrid w:val="0"/>
              <w:ind w:left="0" w:firstLine="0" w:firstLineChars="0"/>
              <w:rPr>
                <w:rFonts w:ascii="Times New Roman" w:hAnsi="Times New Roman"/>
                <w:kern w:val="21"/>
              </w:rPr>
            </w:pPr>
            <w:r>
              <w:rPr>
                <w:rFonts w:ascii="Times New Roman" w:hAnsi="Times New Roman"/>
                <w:kern w:val="21"/>
              </w:rPr>
              <w:t>达到预期目标</w:t>
            </w:r>
          </w:p>
          <w:p>
            <w:pPr>
              <w:adjustRightInd w:val="0"/>
              <w:snapToGrid w:val="0"/>
              <w:ind w:firstLine="0" w:firstLineChars="0"/>
              <w:rPr>
                <w:rFonts w:ascii="Times New Roman" w:hAnsi="Times New Roman"/>
                <w:kern w:val="21"/>
              </w:rPr>
            </w:pPr>
            <w:r>
              <w:rPr>
                <w:rFonts w:ascii="Times New Roman" w:hAnsi="Times New Roman"/>
                <w:kern w:val="21"/>
              </w:rPr>
              <w:t>□基本达到目的，部分环节有待改进</w:t>
            </w:r>
          </w:p>
          <w:p>
            <w:pPr>
              <w:adjustRightInd w:val="0"/>
              <w:snapToGrid w:val="0"/>
              <w:ind w:firstLine="0" w:firstLineChars="0"/>
              <w:rPr>
                <w:rFonts w:ascii="Times New Roman" w:hAnsi="Times New Roman"/>
                <w:kern w:val="21"/>
              </w:rPr>
            </w:pPr>
            <w:r>
              <w:rPr>
                <w:rFonts w:ascii="Times New Roman" w:hAnsi="Times New Roman"/>
                <w:kern w:val="21"/>
              </w:rPr>
              <w:t>□没有达到目标，须重新演练</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929" w:hRule="atLeast"/>
          <w:jc w:val="center"/>
        </w:trPr>
        <w:tc>
          <w:tcPr>
            <w:tcW w:w="456" w:type="dxa"/>
            <w:vMerge w:val="continue"/>
            <w:tcBorders>
              <w:top w:val="single" w:color="auto" w:sz="4" w:space="0"/>
              <w:left w:val="single" w:color="auto" w:sz="4" w:space="0"/>
              <w:bottom w:val="single" w:color="auto" w:sz="4" w:space="0"/>
              <w:right w:val="single" w:color="auto" w:sz="4" w:space="0"/>
            </w:tcBorders>
            <w:vAlign w:val="center"/>
          </w:tcPr>
          <w:p>
            <w:pPr>
              <w:widowControl/>
              <w:adjustRightInd w:val="0"/>
              <w:snapToGrid w:val="0"/>
              <w:ind w:firstLine="0" w:firstLineChars="0"/>
              <w:jc w:val="center"/>
              <w:rPr>
                <w:rFonts w:ascii="Times New Roman" w:hAnsi="Times New Roman"/>
                <w:kern w:val="21"/>
              </w:rPr>
            </w:pPr>
          </w:p>
        </w:tc>
        <w:tc>
          <w:tcPr>
            <w:tcW w:w="831" w:type="dxa"/>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支援部门和协作有效性</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rPr>
                <w:rFonts w:ascii="Times New Roman" w:hAnsi="Times New Roman"/>
                <w:kern w:val="21"/>
              </w:rPr>
            </w:pPr>
            <w:r>
              <w:rPr>
                <w:rFonts w:ascii="Times New Roman" w:hAnsi="Times New Roman"/>
                <w:kern w:val="21"/>
              </w:rPr>
              <w:t>报告上级：          □报告及时</w:t>
            </w:r>
          </w:p>
          <w:p>
            <w:pPr>
              <w:adjustRightInd w:val="0"/>
              <w:snapToGrid w:val="0"/>
              <w:ind w:firstLine="2400" w:firstLineChars="1000"/>
              <w:rPr>
                <w:rFonts w:ascii="Times New Roman" w:hAnsi="Times New Roman"/>
                <w:kern w:val="21"/>
              </w:rPr>
            </w:pPr>
            <w:r>
              <w:rPr>
                <w:rFonts w:ascii="Times New Roman" w:hAnsi="Times New Roman"/>
                <w:kern w:val="21"/>
              </w:rPr>
              <w:t>□联系不上</w:t>
            </w:r>
          </w:p>
          <w:p>
            <w:pPr>
              <w:adjustRightInd w:val="0"/>
              <w:snapToGrid w:val="0"/>
              <w:ind w:firstLine="0" w:firstLineChars="0"/>
              <w:rPr>
                <w:rFonts w:ascii="Times New Roman" w:hAnsi="Times New Roman"/>
                <w:kern w:val="21"/>
              </w:rPr>
            </w:pPr>
            <w:r>
              <w:rPr>
                <w:rFonts w:ascii="Times New Roman" w:hAnsi="Times New Roman"/>
                <w:kern w:val="21"/>
              </w:rPr>
              <w:t>安全部门：         □按要求协作</w:t>
            </w:r>
          </w:p>
          <w:p>
            <w:pPr>
              <w:adjustRightInd w:val="0"/>
              <w:snapToGrid w:val="0"/>
              <w:ind w:firstLine="2400" w:firstLineChars="1000"/>
              <w:rPr>
                <w:rFonts w:ascii="Times New Roman" w:hAnsi="Times New Roman"/>
                <w:kern w:val="21"/>
              </w:rPr>
            </w:pPr>
            <w:r>
              <w:rPr>
                <w:rFonts w:ascii="Times New Roman" w:hAnsi="Times New Roman"/>
                <w:kern w:val="21"/>
              </w:rPr>
              <w:t>□行动迟缓</w:t>
            </w:r>
          </w:p>
          <w:p>
            <w:pPr>
              <w:adjustRightInd w:val="0"/>
              <w:snapToGrid w:val="0"/>
              <w:ind w:firstLine="0" w:firstLineChars="0"/>
              <w:rPr>
                <w:rFonts w:ascii="Times New Roman" w:hAnsi="Times New Roman"/>
                <w:kern w:val="21"/>
              </w:rPr>
            </w:pPr>
            <w:r>
              <w:rPr>
                <w:rFonts w:ascii="Times New Roman" w:hAnsi="Times New Roman"/>
                <w:kern w:val="21"/>
              </w:rPr>
              <w:t>救援、后勤部门：   □按要求协作</w:t>
            </w:r>
          </w:p>
          <w:p>
            <w:pPr>
              <w:adjustRightInd w:val="0"/>
              <w:snapToGrid w:val="0"/>
              <w:ind w:firstLine="2400" w:firstLineChars="1000"/>
              <w:rPr>
                <w:rFonts w:ascii="Times New Roman" w:hAnsi="Times New Roman"/>
                <w:kern w:val="21"/>
              </w:rPr>
            </w:pPr>
            <w:r>
              <w:rPr>
                <w:rFonts w:ascii="Times New Roman" w:hAnsi="Times New Roman"/>
                <w:kern w:val="21"/>
              </w:rPr>
              <w:t>□行动迟缓</w:t>
            </w:r>
          </w:p>
          <w:p>
            <w:pPr>
              <w:adjustRightInd w:val="0"/>
              <w:snapToGrid w:val="0"/>
              <w:ind w:firstLine="0" w:firstLineChars="0"/>
              <w:rPr>
                <w:rFonts w:ascii="Times New Roman" w:hAnsi="Times New Roman"/>
                <w:kern w:val="21"/>
              </w:rPr>
            </w:pPr>
            <w:r>
              <w:rPr>
                <w:rFonts w:ascii="Times New Roman" w:hAnsi="Times New Roman"/>
                <w:kern w:val="21"/>
              </w:rPr>
              <w:t>警戒、撤离配合：   □按要求配合</w:t>
            </w:r>
          </w:p>
          <w:p>
            <w:pPr>
              <w:adjustRightInd w:val="0"/>
              <w:snapToGrid w:val="0"/>
              <w:ind w:firstLine="2400" w:firstLineChars="1000"/>
              <w:rPr>
                <w:rFonts w:ascii="Times New Roman" w:hAnsi="Times New Roman"/>
                <w:kern w:val="21"/>
              </w:rPr>
            </w:pPr>
            <w:r>
              <w:rPr>
                <w:rFonts w:ascii="Times New Roman" w:hAnsi="Times New Roman"/>
                <w:kern w:val="21"/>
              </w:rPr>
              <w:t>□不配合</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1"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存在</w:t>
            </w:r>
          </w:p>
          <w:p>
            <w:pPr>
              <w:adjustRightInd w:val="0"/>
              <w:snapToGrid w:val="0"/>
              <w:ind w:firstLine="0" w:firstLineChars="0"/>
              <w:jc w:val="center"/>
              <w:rPr>
                <w:rFonts w:ascii="Times New Roman" w:hAnsi="Times New Roman"/>
                <w:kern w:val="21"/>
              </w:rPr>
            </w:pPr>
            <w:r>
              <w:rPr>
                <w:rFonts w:ascii="Times New Roman" w:hAnsi="Times New Roman"/>
                <w:kern w:val="21"/>
              </w:rPr>
              <w:t>问题</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91" w:hRule="atLeast"/>
          <w:jc w:val="center"/>
        </w:trPr>
        <w:tc>
          <w:tcPr>
            <w:tcW w:w="1287" w:type="dxa"/>
            <w:gridSpan w:val="2"/>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r>
              <w:rPr>
                <w:rFonts w:ascii="Times New Roman" w:hAnsi="Times New Roman"/>
                <w:kern w:val="21"/>
              </w:rPr>
              <w:t>改进</w:t>
            </w:r>
          </w:p>
          <w:p>
            <w:pPr>
              <w:adjustRightInd w:val="0"/>
              <w:snapToGrid w:val="0"/>
              <w:ind w:firstLine="0" w:firstLineChars="0"/>
              <w:jc w:val="center"/>
              <w:rPr>
                <w:rFonts w:ascii="Times New Roman" w:hAnsi="Times New Roman"/>
                <w:kern w:val="21"/>
              </w:rPr>
            </w:pPr>
            <w:r>
              <w:rPr>
                <w:rFonts w:ascii="Times New Roman" w:hAnsi="Times New Roman"/>
                <w:kern w:val="21"/>
              </w:rPr>
              <w:t>措施</w:t>
            </w:r>
          </w:p>
        </w:tc>
        <w:tc>
          <w:tcPr>
            <w:tcW w:w="6779" w:type="dxa"/>
            <w:gridSpan w:val="7"/>
            <w:tcBorders>
              <w:top w:val="single" w:color="auto" w:sz="4" w:space="0"/>
              <w:left w:val="single" w:color="auto" w:sz="4" w:space="0"/>
              <w:bottom w:val="single" w:color="auto" w:sz="4" w:space="0"/>
              <w:right w:val="single" w:color="auto" w:sz="4" w:space="0"/>
            </w:tcBorders>
            <w:vAlign w:val="center"/>
          </w:tcPr>
          <w:p>
            <w:pPr>
              <w:adjustRightInd w:val="0"/>
              <w:snapToGrid w:val="0"/>
              <w:ind w:firstLine="0" w:firstLineChars="0"/>
              <w:jc w:val="center"/>
              <w:rPr>
                <w:rFonts w:ascii="Times New Roman" w:hAnsi="Times New Roman"/>
                <w:kern w:val="21"/>
              </w:rPr>
            </w:pPr>
          </w:p>
        </w:tc>
      </w:tr>
    </w:tbl>
    <w:p>
      <w:pPr>
        <w:tabs>
          <w:tab w:val="center" w:pos="5484"/>
        </w:tabs>
        <w:ind w:firstLine="480"/>
        <w:rPr>
          <w:rFonts w:ascii="Times New Roman" w:hAnsi="Times New Roman"/>
          <w:kern w:val="21"/>
        </w:rPr>
      </w:pPr>
      <w:r>
        <w:rPr>
          <w:rFonts w:ascii="Times New Roman" w:hAnsi="Times New Roman"/>
          <w:kern w:val="21"/>
        </w:rPr>
        <w:t>记录人：      审核：      记录时间：     年     月     日</w:t>
      </w:r>
    </w:p>
    <w:p>
      <w:pPr>
        <w:ind w:firstLine="480"/>
        <w:rPr>
          <w:rFonts w:ascii="Times New Roman" w:hAnsi="Times New Roman"/>
          <w:kern w:val="21"/>
        </w:rPr>
      </w:pPr>
    </w:p>
    <w:p>
      <w:pPr>
        <w:spacing w:line="240" w:lineRule="atLeast"/>
        <w:ind w:firstLine="0" w:firstLineChars="0"/>
        <w:rPr>
          <w:rFonts w:ascii="Times New Roman" w:hAnsi="Times New Roman"/>
          <w:b/>
          <w:kern w:val="21"/>
          <w:sz w:val="28"/>
          <w:szCs w:val="28"/>
        </w:rPr>
      </w:pPr>
      <w:r>
        <w:rPr>
          <w:rFonts w:ascii="Times New Roman" w:hAnsi="Times New Roman"/>
          <w:kern w:val="21"/>
        </w:rPr>
        <w:br w:type="page"/>
      </w:r>
      <w:r>
        <w:rPr>
          <w:rFonts w:ascii="Times New Roman" w:hAnsi="Times New Roman"/>
          <w:b/>
          <w:kern w:val="21"/>
          <w:sz w:val="28"/>
          <w:szCs w:val="28"/>
        </w:rPr>
        <w:t>附件</w:t>
      </w:r>
      <w:r>
        <w:rPr>
          <w:rFonts w:hint="eastAsia" w:ascii="Times New Roman" w:hAnsi="Times New Roman"/>
          <w:b/>
          <w:kern w:val="21"/>
          <w:sz w:val="28"/>
          <w:szCs w:val="28"/>
        </w:rPr>
        <w:t>4</w:t>
      </w:r>
      <w:r>
        <w:rPr>
          <w:rFonts w:ascii="Times New Roman" w:hAnsi="Times New Roman"/>
          <w:b/>
          <w:kern w:val="21"/>
          <w:sz w:val="28"/>
          <w:szCs w:val="28"/>
        </w:rPr>
        <w:t>：</w:t>
      </w:r>
    </w:p>
    <w:p>
      <w:pPr>
        <w:spacing w:line="240" w:lineRule="atLeast"/>
        <w:ind w:firstLine="0" w:firstLineChars="0"/>
        <w:jc w:val="center"/>
        <w:rPr>
          <w:rFonts w:ascii="Times New Roman" w:hAnsi="Times New Roman"/>
          <w:b/>
          <w:kern w:val="21"/>
          <w:sz w:val="32"/>
          <w:szCs w:val="32"/>
        </w:rPr>
      </w:pPr>
      <w:r>
        <w:rPr>
          <w:rFonts w:hint="eastAsia" w:ascii="Times New Roman" w:hAnsi="Times New Roman"/>
          <w:b/>
          <w:kern w:val="21"/>
          <w:sz w:val="32"/>
          <w:szCs w:val="32"/>
        </w:rPr>
        <w:t>湖口县金砂湾工业园污水处理厂</w:t>
      </w:r>
    </w:p>
    <w:p>
      <w:pPr>
        <w:spacing w:line="240" w:lineRule="atLeast"/>
        <w:ind w:firstLine="0" w:firstLineChars="0"/>
        <w:jc w:val="center"/>
        <w:rPr>
          <w:rFonts w:ascii="Times New Roman" w:hAnsi="Times New Roman"/>
          <w:b/>
          <w:kern w:val="21"/>
          <w:sz w:val="32"/>
          <w:szCs w:val="32"/>
        </w:rPr>
      </w:pPr>
      <w:r>
        <w:rPr>
          <w:rFonts w:ascii="Times New Roman" w:hAnsi="Times New Roman"/>
          <w:b/>
          <w:kern w:val="21"/>
          <w:sz w:val="32"/>
          <w:szCs w:val="32"/>
        </w:rPr>
        <w:t>突发环境事故应急预案演习考核记录</w:t>
      </w:r>
    </w:p>
    <w:tbl>
      <w:tblPr>
        <w:tblStyle w:val="48"/>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414"/>
        <w:gridCol w:w="496"/>
        <w:gridCol w:w="738"/>
        <w:gridCol w:w="965"/>
        <w:gridCol w:w="1357"/>
        <w:gridCol w:w="1808"/>
        <w:gridCol w:w="31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预案名称</w:t>
            </w:r>
          </w:p>
        </w:tc>
        <w:tc>
          <w:tcPr>
            <w:tcW w:w="1806" w:type="pct"/>
            <w:gridSpan w:val="4"/>
            <w:vAlign w:val="center"/>
          </w:tcPr>
          <w:p>
            <w:pPr>
              <w:snapToGrid w:val="0"/>
              <w:ind w:firstLine="0" w:firstLineChars="0"/>
              <w:jc w:val="center"/>
              <w:rPr>
                <w:rFonts w:ascii="Times New Roman" w:hAnsi="Times New Roman"/>
                <w:kern w:val="21"/>
                <w:sz w:val="21"/>
              </w:rPr>
            </w:pPr>
          </w:p>
        </w:tc>
        <w:tc>
          <w:tcPr>
            <w:tcW w:w="918" w:type="pct"/>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演习地点</w:t>
            </w:r>
          </w:p>
        </w:tc>
        <w:tc>
          <w:tcPr>
            <w:tcW w:w="1585" w:type="pct"/>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组织部门</w:t>
            </w:r>
          </w:p>
        </w:tc>
        <w:tc>
          <w:tcPr>
            <w:tcW w:w="627" w:type="pct"/>
            <w:gridSpan w:val="2"/>
            <w:vAlign w:val="center"/>
          </w:tcPr>
          <w:p>
            <w:pPr>
              <w:snapToGrid w:val="0"/>
              <w:ind w:firstLine="0" w:firstLineChars="0"/>
              <w:jc w:val="center"/>
              <w:rPr>
                <w:rFonts w:ascii="Times New Roman" w:hAnsi="Times New Roman"/>
                <w:kern w:val="21"/>
                <w:sz w:val="21"/>
              </w:rPr>
            </w:pPr>
          </w:p>
        </w:tc>
        <w:tc>
          <w:tcPr>
            <w:tcW w:w="490" w:type="pct"/>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总指挥</w:t>
            </w:r>
          </w:p>
        </w:tc>
        <w:tc>
          <w:tcPr>
            <w:tcW w:w="689" w:type="pct"/>
            <w:vAlign w:val="center"/>
          </w:tcPr>
          <w:p>
            <w:pPr>
              <w:snapToGrid w:val="0"/>
              <w:ind w:firstLine="0" w:firstLineChars="0"/>
              <w:jc w:val="center"/>
              <w:rPr>
                <w:rFonts w:ascii="Times New Roman" w:hAnsi="Times New Roman"/>
                <w:kern w:val="21"/>
                <w:sz w:val="21"/>
              </w:rPr>
            </w:pPr>
          </w:p>
        </w:tc>
        <w:tc>
          <w:tcPr>
            <w:tcW w:w="918" w:type="pct"/>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演习时间</w:t>
            </w:r>
          </w:p>
        </w:tc>
        <w:tc>
          <w:tcPr>
            <w:tcW w:w="1585" w:type="pct"/>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Merge w:val="restart"/>
            <w:vAlign w:val="center"/>
          </w:tcPr>
          <w:p>
            <w:pPr>
              <w:snapToGrid w:val="0"/>
              <w:ind w:firstLine="0" w:firstLineChars="0"/>
              <w:jc w:val="center"/>
              <w:rPr>
                <w:rFonts w:ascii="Times New Roman" w:hAnsi="Times New Roman"/>
                <w:kern w:val="21"/>
                <w:sz w:val="21"/>
              </w:rPr>
            </w:pPr>
            <w:r>
              <w:rPr>
                <w:rFonts w:ascii="Times New Roman" w:hAnsi="Times New Roman"/>
                <w:b/>
                <w:kern w:val="21"/>
                <w:sz w:val="21"/>
              </w:rPr>
              <w:t>参加部门和单位</w:t>
            </w:r>
          </w:p>
        </w:tc>
        <w:tc>
          <w:tcPr>
            <w:tcW w:w="1806" w:type="pct"/>
            <w:gridSpan w:val="4"/>
            <w:vMerge w:val="restart"/>
            <w:vAlign w:val="center"/>
          </w:tcPr>
          <w:p>
            <w:pPr>
              <w:snapToGrid w:val="0"/>
              <w:ind w:firstLine="0" w:firstLineChars="0"/>
              <w:jc w:val="center"/>
              <w:rPr>
                <w:rFonts w:ascii="Times New Roman" w:hAnsi="Times New Roman"/>
                <w:kern w:val="21"/>
                <w:sz w:val="21"/>
              </w:rPr>
            </w:pPr>
          </w:p>
        </w:tc>
        <w:tc>
          <w:tcPr>
            <w:tcW w:w="918" w:type="pct"/>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演习类别</w:t>
            </w:r>
          </w:p>
        </w:tc>
        <w:tc>
          <w:tcPr>
            <w:tcW w:w="1585" w:type="pct"/>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Merge w:val="continue"/>
            <w:vAlign w:val="center"/>
          </w:tcPr>
          <w:p>
            <w:pPr>
              <w:snapToGrid w:val="0"/>
              <w:ind w:firstLine="0" w:firstLineChars="0"/>
              <w:jc w:val="center"/>
              <w:rPr>
                <w:rFonts w:ascii="Times New Roman" w:hAnsi="Times New Roman"/>
                <w:kern w:val="21"/>
                <w:sz w:val="21"/>
              </w:rPr>
            </w:pPr>
          </w:p>
        </w:tc>
        <w:tc>
          <w:tcPr>
            <w:tcW w:w="1806" w:type="pct"/>
            <w:gridSpan w:val="4"/>
            <w:vMerge w:val="continue"/>
            <w:vAlign w:val="center"/>
          </w:tcPr>
          <w:p>
            <w:pPr>
              <w:snapToGrid w:val="0"/>
              <w:ind w:firstLine="0" w:firstLineChars="0"/>
              <w:jc w:val="center"/>
              <w:rPr>
                <w:rFonts w:ascii="Times New Roman" w:hAnsi="Times New Roman"/>
                <w:kern w:val="21"/>
                <w:sz w:val="21"/>
              </w:rPr>
            </w:pPr>
          </w:p>
        </w:tc>
        <w:tc>
          <w:tcPr>
            <w:tcW w:w="918" w:type="pct"/>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演习方式</w:t>
            </w:r>
          </w:p>
        </w:tc>
        <w:tc>
          <w:tcPr>
            <w:tcW w:w="1585" w:type="pct"/>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8"/>
            <w:vAlign w:val="center"/>
          </w:tcPr>
          <w:p>
            <w:pPr>
              <w:widowControl/>
              <w:snapToGrid w:val="0"/>
              <w:ind w:firstLine="0" w:firstLineChars="0"/>
              <w:jc w:val="center"/>
              <w:rPr>
                <w:rFonts w:ascii="Times New Roman" w:hAnsi="Times New Roman"/>
                <w:kern w:val="21"/>
                <w:sz w:val="21"/>
              </w:rPr>
            </w:pPr>
            <w:r>
              <w:rPr>
                <w:rFonts w:ascii="Times New Roman" w:hAnsi="Times New Roman"/>
                <w:b/>
                <w:kern w:val="21"/>
                <w:sz w:val="21"/>
              </w:rPr>
              <w:t>演习程序</w:t>
            </w:r>
            <w:r>
              <w:rPr>
                <w:rFonts w:ascii="Times New Roman" w:hAnsi="Times New Roman"/>
                <w:kern w:val="21"/>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9" w:type="pct"/>
            <w:gridSpan w:val="2"/>
            <w:vAlign w:val="center"/>
          </w:tcPr>
          <w:p>
            <w:pPr>
              <w:widowControl/>
              <w:snapToGrid w:val="0"/>
              <w:ind w:firstLine="0" w:firstLineChars="0"/>
              <w:jc w:val="center"/>
              <w:rPr>
                <w:rFonts w:ascii="Times New Roman" w:hAnsi="Times New Roman"/>
                <w:b/>
                <w:kern w:val="21"/>
                <w:sz w:val="21"/>
              </w:rPr>
            </w:pPr>
            <w:r>
              <w:rPr>
                <w:rFonts w:ascii="Times New Roman" w:hAnsi="Times New Roman"/>
                <w:b/>
                <w:kern w:val="21"/>
                <w:sz w:val="21"/>
              </w:rPr>
              <w:t>演习描述</w:t>
            </w:r>
          </w:p>
        </w:tc>
        <w:tc>
          <w:tcPr>
            <w:tcW w:w="4310" w:type="pct"/>
            <w:gridSpan w:val="6"/>
            <w:vAlign w:val="center"/>
          </w:tcPr>
          <w:p>
            <w:pPr>
              <w:widowControl/>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restart"/>
            <w:textDirection w:val="tbRlV"/>
            <w:vAlign w:val="center"/>
          </w:tcPr>
          <w:p>
            <w:pPr>
              <w:snapToGrid w:val="0"/>
              <w:ind w:firstLine="0" w:firstLineChars="0"/>
              <w:jc w:val="center"/>
              <w:rPr>
                <w:rFonts w:ascii="Times New Roman" w:hAnsi="Times New Roman"/>
                <w:b/>
                <w:kern w:val="21"/>
                <w:sz w:val="21"/>
              </w:rPr>
            </w:pPr>
            <w:r>
              <w:rPr>
                <w:rFonts w:ascii="Times New Roman" w:hAnsi="Times New Roman"/>
                <w:b/>
                <w:kern w:val="21"/>
                <w:sz w:val="21"/>
              </w:rPr>
              <w:t>演    习    效   果   评   审</w:t>
            </w:r>
          </w:p>
        </w:tc>
        <w:tc>
          <w:tcPr>
            <w:tcW w:w="462" w:type="pct"/>
            <w:gridSpan w:val="2"/>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人员到位情况</w:t>
            </w:r>
          </w:p>
        </w:tc>
        <w:tc>
          <w:tcPr>
            <w:tcW w:w="1554" w:type="pct"/>
            <w:gridSpan w:val="3"/>
            <w:vAlign w:val="center"/>
          </w:tcPr>
          <w:p>
            <w:pPr>
              <w:snapToGrid w:val="0"/>
              <w:ind w:firstLine="0" w:firstLineChars="0"/>
              <w:jc w:val="center"/>
              <w:rPr>
                <w:rFonts w:ascii="Times New Roman" w:hAnsi="Times New Roman"/>
                <w:kern w:val="21"/>
                <w:sz w:val="21"/>
              </w:rPr>
            </w:pPr>
          </w:p>
        </w:tc>
        <w:tc>
          <w:tcPr>
            <w:tcW w:w="2504" w:type="pct"/>
            <w:gridSpan w:val="2"/>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pPr>
              <w:snapToGrid w:val="0"/>
              <w:ind w:firstLine="0" w:firstLineChars="0"/>
              <w:jc w:val="center"/>
              <w:rPr>
                <w:rFonts w:ascii="Times New Roman" w:hAnsi="Times New Roman"/>
                <w:kern w:val="21"/>
                <w:sz w:val="21"/>
              </w:rPr>
            </w:pPr>
          </w:p>
        </w:tc>
        <w:tc>
          <w:tcPr>
            <w:tcW w:w="462" w:type="pct"/>
            <w:gridSpan w:val="2"/>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物资到位情况</w:t>
            </w:r>
          </w:p>
        </w:tc>
        <w:tc>
          <w:tcPr>
            <w:tcW w:w="1554" w:type="pct"/>
            <w:gridSpan w:val="3"/>
            <w:vAlign w:val="center"/>
          </w:tcPr>
          <w:p>
            <w:pPr>
              <w:snapToGrid w:val="0"/>
              <w:ind w:firstLine="0" w:firstLineChars="0"/>
              <w:jc w:val="center"/>
              <w:rPr>
                <w:rFonts w:ascii="Times New Roman" w:hAnsi="Times New Roman"/>
                <w:kern w:val="21"/>
                <w:sz w:val="21"/>
              </w:rPr>
            </w:pPr>
          </w:p>
        </w:tc>
        <w:tc>
          <w:tcPr>
            <w:tcW w:w="2504" w:type="pct"/>
            <w:gridSpan w:val="2"/>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pPr>
              <w:snapToGrid w:val="0"/>
              <w:ind w:firstLine="0" w:firstLineChars="0"/>
              <w:jc w:val="center"/>
              <w:rPr>
                <w:rFonts w:ascii="Times New Roman" w:hAnsi="Times New Roman"/>
                <w:kern w:val="21"/>
                <w:sz w:val="21"/>
              </w:rPr>
            </w:pPr>
          </w:p>
        </w:tc>
        <w:tc>
          <w:tcPr>
            <w:tcW w:w="462" w:type="pct"/>
            <w:gridSpan w:val="2"/>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协调组织情况</w:t>
            </w:r>
          </w:p>
        </w:tc>
        <w:tc>
          <w:tcPr>
            <w:tcW w:w="1554" w:type="pct"/>
            <w:gridSpan w:val="3"/>
            <w:vAlign w:val="center"/>
          </w:tcPr>
          <w:p>
            <w:pPr>
              <w:snapToGrid w:val="0"/>
              <w:ind w:firstLine="0" w:firstLineChars="0"/>
              <w:jc w:val="center"/>
              <w:rPr>
                <w:rFonts w:ascii="Times New Roman" w:hAnsi="Times New Roman"/>
                <w:kern w:val="21"/>
                <w:sz w:val="21"/>
              </w:rPr>
            </w:pPr>
          </w:p>
        </w:tc>
        <w:tc>
          <w:tcPr>
            <w:tcW w:w="2504" w:type="pct"/>
            <w:gridSpan w:val="2"/>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pPr>
              <w:snapToGrid w:val="0"/>
              <w:ind w:firstLine="0" w:firstLineChars="0"/>
              <w:jc w:val="center"/>
              <w:rPr>
                <w:rFonts w:ascii="Times New Roman" w:hAnsi="Times New Roman"/>
                <w:kern w:val="21"/>
                <w:sz w:val="21"/>
              </w:rPr>
            </w:pPr>
          </w:p>
        </w:tc>
        <w:tc>
          <w:tcPr>
            <w:tcW w:w="462" w:type="pct"/>
            <w:gridSpan w:val="2"/>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救援部门协作有效性</w:t>
            </w:r>
          </w:p>
        </w:tc>
        <w:tc>
          <w:tcPr>
            <w:tcW w:w="1554" w:type="pct"/>
            <w:gridSpan w:val="3"/>
            <w:vAlign w:val="center"/>
          </w:tcPr>
          <w:p>
            <w:pPr>
              <w:snapToGrid w:val="0"/>
              <w:ind w:firstLine="0" w:firstLineChars="0"/>
              <w:jc w:val="center"/>
              <w:rPr>
                <w:rFonts w:ascii="Times New Roman" w:hAnsi="Times New Roman"/>
                <w:kern w:val="21"/>
                <w:sz w:val="21"/>
              </w:rPr>
            </w:pPr>
          </w:p>
        </w:tc>
        <w:tc>
          <w:tcPr>
            <w:tcW w:w="2504" w:type="pct"/>
            <w:gridSpan w:val="2"/>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Merge w:val="continue"/>
            <w:vAlign w:val="center"/>
          </w:tcPr>
          <w:p>
            <w:pPr>
              <w:snapToGrid w:val="0"/>
              <w:ind w:firstLine="0" w:firstLineChars="0"/>
              <w:jc w:val="center"/>
              <w:rPr>
                <w:rFonts w:ascii="Times New Roman" w:hAnsi="Times New Roman"/>
                <w:kern w:val="21"/>
                <w:sz w:val="21"/>
              </w:rPr>
            </w:pPr>
          </w:p>
        </w:tc>
        <w:tc>
          <w:tcPr>
            <w:tcW w:w="462" w:type="pct"/>
            <w:gridSpan w:val="2"/>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演习效果评价</w:t>
            </w:r>
          </w:p>
        </w:tc>
        <w:tc>
          <w:tcPr>
            <w:tcW w:w="1554" w:type="pct"/>
            <w:gridSpan w:val="3"/>
            <w:vAlign w:val="center"/>
          </w:tcPr>
          <w:p>
            <w:pPr>
              <w:snapToGrid w:val="0"/>
              <w:ind w:firstLine="0" w:firstLineChars="0"/>
              <w:jc w:val="center"/>
              <w:rPr>
                <w:rFonts w:ascii="Times New Roman" w:hAnsi="Times New Roman"/>
                <w:kern w:val="21"/>
                <w:sz w:val="21"/>
              </w:rPr>
            </w:pPr>
          </w:p>
        </w:tc>
        <w:tc>
          <w:tcPr>
            <w:tcW w:w="2504" w:type="pct"/>
            <w:gridSpan w:val="2"/>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参演人员签 名</w:t>
            </w:r>
          </w:p>
        </w:tc>
        <w:tc>
          <w:tcPr>
            <w:tcW w:w="4520" w:type="pct"/>
            <w:gridSpan w:val="7"/>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存在问题</w:t>
            </w:r>
          </w:p>
        </w:tc>
        <w:tc>
          <w:tcPr>
            <w:tcW w:w="4520" w:type="pct"/>
            <w:gridSpan w:val="7"/>
            <w:vAlign w:val="center"/>
          </w:tcPr>
          <w:p>
            <w:pPr>
              <w:snapToGrid w:val="0"/>
              <w:ind w:firstLine="0" w:firstLineChars="0"/>
              <w:jc w:val="center"/>
              <w:rPr>
                <w:rFonts w:ascii="Times New Roman" w:hAnsi="Times New Roman"/>
                <w:kern w:val="21"/>
                <w:sz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79" w:type="pct"/>
            <w:vAlign w:val="center"/>
          </w:tcPr>
          <w:p>
            <w:pPr>
              <w:snapToGrid w:val="0"/>
              <w:ind w:firstLine="0" w:firstLineChars="0"/>
              <w:jc w:val="center"/>
              <w:rPr>
                <w:rFonts w:ascii="Times New Roman" w:hAnsi="Times New Roman"/>
                <w:kern w:val="21"/>
                <w:sz w:val="21"/>
              </w:rPr>
            </w:pPr>
            <w:r>
              <w:rPr>
                <w:rFonts w:ascii="Times New Roman" w:hAnsi="Times New Roman"/>
                <w:kern w:val="21"/>
                <w:sz w:val="21"/>
              </w:rPr>
              <w:t>改进措施</w:t>
            </w:r>
          </w:p>
        </w:tc>
        <w:tc>
          <w:tcPr>
            <w:tcW w:w="4520" w:type="pct"/>
            <w:gridSpan w:val="7"/>
            <w:vAlign w:val="center"/>
          </w:tcPr>
          <w:p>
            <w:pPr>
              <w:snapToGrid w:val="0"/>
              <w:ind w:firstLine="0" w:firstLineChars="0"/>
              <w:jc w:val="center"/>
              <w:rPr>
                <w:rFonts w:ascii="Times New Roman" w:hAnsi="Times New Roman"/>
                <w:kern w:val="21"/>
                <w:sz w:val="21"/>
              </w:rPr>
            </w:pPr>
          </w:p>
        </w:tc>
      </w:tr>
    </w:tbl>
    <w:p>
      <w:pPr>
        <w:ind w:firstLine="480"/>
        <w:rPr>
          <w:rFonts w:ascii="Times New Roman" w:hAnsi="Times New Roman"/>
          <w:kern w:val="21"/>
        </w:rPr>
      </w:pPr>
      <w:r>
        <w:rPr>
          <w:rFonts w:ascii="Times New Roman" w:hAnsi="Times New Roman"/>
          <w:kern w:val="21"/>
        </w:rPr>
        <w:t>记录人：                                 记录时间：</w:t>
      </w:r>
    </w:p>
    <w:p>
      <w:pPr>
        <w:pStyle w:val="58"/>
        <w:rPr>
          <w:rFonts w:ascii="Times New Roman" w:hAnsi="Times New Roman"/>
          <w:color w:val="auto"/>
          <w:kern w:val="21"/>
        </w:rPr>
      </w:pPr>
    </w:p>
    <w:p>
      <w:pPr>
        <w:pStyle w:val="58"/>
        <w:rPr>
          <w:rFonts w:ascii="Times New Roman" w:hAnsi="Times New Roman"/>
          <w:color w:val="auto"/>
          <w:kern w:val="21"/>
        </w:rPr>
      </w:pPr>
    </w:p>
    <w:bookmarkEnd w:id="96"/>
    <w:bookmarkEnd w:id="97"/>
    <w:bookmarkEnd w:id="98"/>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58"/>
        <w:rPr>
          <w:rFonts w:ascii="Times New Roman" w:hAnsi="Times New Roman"/>
          <w:color w:val="auto"/>
          <w:kern w:val="21"/>
        </w:rPr>
      </w:pPr>
    </w:p>
    <w:p>
      <w:pPr>
        <w:pStyle w:val="195"/>
        <w:ind w:firstLine="600"/>
        <w:outlineLvl w:val="0"/>
        <w:rPr>
          <w:rFonts w:cs="宋体"/>
        </w:rPr>
      </w:pPr>
      <w:bookmarkStart w:id="683" w:name="_Toc28632"/>
      <w:bookmarkStart w:id="684" w:name="_Toc23447"/>
      <w:bookmarkStart w:id="685" w:name="_Toc21031"/>
      <w:bookmarkStart w:id="686" w:name="_Toc912"/>
      <w:bookmarkStart w:id="687" w:name="_Toc6979"/>
      <w:bookmarkStart w:id="688" w:name="_Toc14085"/>
      <w:bookmarkStart w:id="689" w:name="_Toc12898"/>
      <w:bookmarkStart w:id="690" w:name="_Toc22491"/>
      <w:bookmarkStart w:id="691" w:name="_Toc12282"/>
      <w:bookmarkStart w:id="692" w:name="_Toc28097"/>
      <w:bookmarkStart w:id="693" w:name="_Toc25074"/>
      <w:bookmarkStart w:id="694" w:name="_Toc13951"/>
      <w:bookmarkStart w:id="695" w:name="_Toc4664"/>
      <w:bookmarkStart w:id="696" w:name="_Toc12046"/>
      <w:bookmarkStart w:id="697" w:name="_Toc21046"/>
      <w:bookmarkStart w:id="698" w:name="_Toc27134"/>
      <w:r>
        <w:rPr>
          <w:rFonts w:hint="eastAsia" w:cs="宋体"/>
        </w:rPr>
        <w:t>附件</w:t>
      </w:r>
      <w:r>
        <w:t>1</w:t>
      </w:r>
      <w:r>
        <w:rPr>
          <w:rFonts w:hint="eastAsia"/>
        </w:rPr>
        <w:t>1</w:t>
      </w:r>
      <w:r>
        <w:rPr>
          <w:rFonts w:hint="eastAsia" w:cs="宋体"/>
        </w:rPr>
        <w:t>：应急处置卡</w:t>
      </w:r>
      <w:bookmarkEnd w:id="683"/>
      <w:bookmarkEnd w:id="684"/>
      <w:bookmarkEnd w:id="685"/>
    </w:p>
    <w:p>
      <w:pPr>
        <w:ind w:firstLine="602"/>
        <w:jc w:val="center"/>
        <w:rPr>
          <w:b/>
          <w:sz w:val="30"/>
          <w:szCs w:val="30"/>
        </w:rPr>
      </w:pPr>
      <w:r>
        <w:rPr>
          <w:rFonts w:hint="eastAsia"/>
          <w:b/>
          <w:sz w:val="30"/>
          <w:szCs w:val="30"/>
        </w:rPr>
        <w:t>湖口县金砂湾工业园污水处理厂出水超标现场处置应急卡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pPr>
              <w:spacing w:line="240" w:lineRule="auto"/>
              <w:ind w:firstLine="0" w:firstLineChars="0"/>
              <w:jc w:val="center"/>
            </w:pPr>
            <w:r>
              <w:rPr>
                <w:rFonts w:hint="eastAsia"/>
              </w:rPr>
              <w:t>风险点位（源）名称</w:t>
            </w:r>
          </w:p>
        </w:tc>
        <w:tc>
          <w:tcPr>
            <w:tcW w:w="3126" w:type="pct"/>
            <w:gridSpan w:val="2"/>
            <w:vAlign w:val="center"/>
          </w:tcPr>
          <w:p>
            <w:pPr>
              <w:spacing w:line="240" w:lineRule="auto"/>
              <w:ind w:firstLine="0" w:firstLineChars="0"/>
              <w:jc w:val="center"/>
            </w:pPr>
            <w:r>
              <w:rPr>
                <w:rFonts w:hint="eastAsia"/>
              </w:rPr>
              <w:t>出水超标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pPr>
              <w:spacing w:line="240" w:lineRule="auto"/>
              <w:ind w:firstLine="0" w:firstLineChars="0"/>
              <w:jc w:val="center"/>
            </w:pPr>
            <w:r>
              <w:rPr>
                <w:rFonts w:hint="eastAsia"/>
              </w:rPr>
              <w:t>步骤</w:t>
            </w:r>
          </w:p>
        </w:tc>
        <w:tc>
          <w:tcPr>
            <w:tcW w:w="2500" w:type="pct"/>
            <w:gridSpan w:val="2"/>
            <w:vAlign w:val="center"/>
          </w:tcPr>
          <w:p>
            <w:pPr>
              <w:spacing w:line="240" w:lineRule="auto"/>
              <w:ind w:firstLine="0" w:firstLineChars="0"/>
              <w:jc w:val="center"/>
            </w:pPr>
            <w:r>
              <w:rPr>
                <w:rFonts w:hint="eastAsia"/>
              </w:rPr>
              <w:t>应急处置</w:t>
            </w:r>
          </w:p>
        </w:tc>
        <w:tc>
          <w:tcPr>
            <w:tcW w:w="1251" w:type="pct"/>
            <w:vAlign w:val="center"/>
          </w:tcPr>
          <w:p>
            <w:pPr>
              <w:spacing w:line="240" w:lineRule="auto"/>
              <w:ind w:firstLine="0" w:firstLineChars="0"/>
              <w:jc w:val="center"/>
            </w:pPr>
            <w:r>
              <w:rPr>
                <w:rFonts w:hint="eastAsia"/>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pPr>
              <w:spacing w:line="240" w:lineRule="auto"/>
              <w:ind w:firstLine="0" w:firstLineChars="0"/>
              <w:jc w:val="center"/>
            </w:pPr>
            <w:r>
              <w:rPr>
                <w:rFonts w:hint="eastAsia"/>
              </w:rPr>
              <w:t>处置措施</w:t>
            </w:r>
          </w:p>
        </w:tc>
        <w:tc>
          <w:tcPr>
            <w:tcW w:w="625" w:type="pct"/>
            <w:vAlign w:val="center"/>
          </w:tcPr>
          <w:p>
            <w:pPr>
              <w:spacing w:line="240" w:lineRule="auto"/>
              <w:ind w:firstLine="0" w:firstLineChars="0"/>
              <w:jc w:val="center"/>
            </w:pPr>
            <w:r>
              <w:rPr>
                <w:rFonts w:hint="eastAsia"/>
              </w:rPr>
              <w:t>应急</w:t>
            </w:r>
          </w:p>
          <w:p>
            <w:pPr>
              <w:spacing w:line="240" w:lineRule="auto"/>
              <w:ind w:firstLine="0" w:firstLineChars="0"/>
              <w:jc w:val="center"/>
            </w:pPr>
            <w:r>
              <w:rPr>
                <w:rFonts w:hint="eastAsia"/>
              </w:rPr>
              <w:t>报告</w:t>
            </w:r>
          </w:p>
        </w:tc>
        <w:tc>
          <w:tcPr>
            <w:tcW w:w="2500" w:type="pct"/>
            <w:gridSpan w:val="2"/>
            <w:vAlign w:val="center"/>
          </w:tcPr>
          <w:p>
            <w:pPr>
              <w:spacing w:line="240" w:lineRule="auto"/>
              <w:ind w:firstLine="0" w:firstLineChars="0"/>
              <w:jc w:val="center"/>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分钟内向污水处理厂应急领导小组报告，由应急指挥长决定是否启动二级响应和二级应急预案（由环境事故应急工作领导小组指挥长指挥协调整体应急抢险工作），根据事态发展情况，决定是否上报九江市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pPr>
              <w:spacing w:line="240" w:lineRule="auto"/>
              <w:ind w:firstLine="0" w:firstLineChars="0"/>
              <w:jc w:val="center"/>
            </w:pPr>
            <w:r>
              <w:rPr>
                <w:rFonts w:hint="eastAsia"/>
              </w:rPr>
              <w:t>应急指挥部；</w:t>
            </w:r>
          </w:p>
          <w:p>
            <w:pPr>
              <w:spacing w:line="240" w:lineRule="auto"/>
              <w:ind w:firstLine="0" w:firstLineChars="0"/>
              <w:jc w:val="center"/>
            </w:pPr>
            <w:r>
              <w:rPr>
                <w:rFonts w:hint="eastAsia"/>
              </w:rPr>
              <w:t>应急通讯小组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现场处置</w:t>
            </w:r>
          </w:p>
        </w:tc>
        <w:tc>
          <w:tcPr>
            <w:tcW w:w="2500" w:type="pct"/>
            <w:gridSpan w:val="2"/>
            <w:vAlign w:val="center"/>
          </w:tcPr>
          <w:p>
            <w:pPr>
              <w:spacing w:line="240" w:lineRule="auto"/>
              <w:ind w:firstLine="0" w:firstLineChars="0"/>
              <w:jc w:val="center"/>
            </w:pPr>
            <w:r>
              <w:rPr>
                <w:rFonts w:hint="eastAsia"/>
              </w:rPr>
              <w:t xml:space="preserve"> 第一时间将排放口关闭，重新监测水质，排查原因，将不合格水导入粗格栅中，通过提升泵房重新进入污水处理系统处理，停止进水。</w:t>
            </w:r>
          </w:p>
          <w:p>
            <w:pPr>
              <w:pStyle w:val="46"/>
              <w:spacing w:line="240" w:lineRule="auto"/>
              <w:ind w:firstLine="240"/>
            </w:pPr>
            <w:r>
              <w:rPr>
                <w:rFonts w:hint="eastAsia"/>
              </w:rPr>
              <w:t>环境监测人员迅速赶到事故现场监测污水厂出水水质情况，并监测下游河流控制断面水质，并详细记录好监测数据，以备应急领导小组参考。</w:t>
            </w:r>
          </w:p>
        </w:tc>
        <w:tc>
          <w:tcPr>
            <w:tcW w:w="1251" w:type="pct"/>
            <w:vAlign w:val="center"/>
          </w:tcPr>
          <w:p>
            <w:pPr>
              <w:spacing w:line="240" w:lineRule="auto"/>
              <w:ind w:firstLine="0" w:firstLineChars="0"/>
              <w:jc w:val="center"/>
            </w:pPr>
            <w:r>
              <w:rPr>
                <w:rFonts w:hint="eastAsia"/>
              </w:rPr>
              <w:t>应急检测人员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结束响应</w:t>
            </w:r>
          </w:p>
        </w:tc>
        <w:tc>
          <w:tcPr>
            <w:tcW w:w="2500" w:type="pct"/>
            <w:gridSpan w:val="2"/>
            <w:vAlign w:val="center"/>
          </w:tcPr>
          <w:p>
            <w:pPr>
              <w:spacing w:line="240" w:lineRule="auto"/>
              <w:ind w:firstLine="0" w:firstLineChars="0"/>
              <w:jc w:val="center"/>
            </w:pPr>
            <w:r>
              <w:rPr>
                <w:rFonts w:hint="eastAsia"/>
              </w:rPr>
              <w:t>事故排除后，环境监测人员持续监测出水环境状况，系统调试技术人员负责对污水系统全面调整，确保污水能够达标排放；善后处理队负责进行事故原因调查和全面的设备安全检查，</w:t>
            </w:r>
          </w:p>
          <w:p>
            <w:pPr>
              <w:spacing w:line="240" w:lineRule="auto"/>
              <w:ind w:firstLine="0" w:firstLineChars="0"/>
            </w:pPr>
            <w:r>
              <w:rPr>
                <w:rFonts w:hint="eastAsia"/>
              </w:rPr>
              <w:t>询问事故发现人有关情况，包括电力设备运行情况等。</w:t>
            </w:r>
          </w:p>
        </w:tc>
        <w:tc>
          <w:tcPr>
            <w:tcW w:w="1251" w:type="pct"/>
            <w:vAlign w:val="center"/>
          </w:tcPr>
          <w:p>
            <w:pPr>
              <w:spacing w:line="240" w:lineRule="auto"/>
              <w:ind w:firstLine="0" w:firstLineChars="0"/>
              <w:jc w:val="center"/>
            </w:pPr>
            <w:r>
              <w:rPr>
                <w:rFonts w:hint="eastAsia"/>
              </w:rPr>
              <w:t>应急检测人员</w:t>
            </w:r>
          </w:p>
          <w:p>
            <w:pPr>
              <w:pStyle w:val="46"/>
              <w:ind w:firstLine="240"/>
            </w:pPr>
            <w:r>
              <w:rPr>
                <w:rFonts w:hint="eastAsia"/>
              </w:rPr>
              <w:t>应急抢险抢修人员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应急处置要点</w:t>
            </w:r>
          </w:p>
        </w:tc>
        <w:tc>
          <w:tcPr>
            <w:tcW w:w="3752" w:type="pct"/>
            <w:gridSpan w:val="3"/>
            <w:vAlign w:val="center"/>
          </w:tcPr>
          <w:p>
            <w:pPr>
              <w:spacing w:line="240" w:lineRule="auto"/>
              <w:ind w:firstLine="0" w:firstLineChars="0"/>
              <w:jc w:val="center"/>
            </w:pPr>
            <w:r>
              <w:rPr>
                <w:rFonts w:hint="eastAsia"/>
              </w:rPr>
              <w:t>第一时间关闭出水阀门，通知应急领导小组，事故无法控制时</w:t>
            </w:r>
          </w:p>
          <w:p>
            <w:pPr>
              <w:spacing w:line="240" w:lineRule="auto"/>
              <w:ind w:firstLine="0" w:firstLineChars="0"/>
              <w:jc w:val="center"/>
            </w:pPr>
            <w:r>
              <w:rPr>
                <w:rFonts w:hint="eastAsia"/>
              </w:rPr>
              <w:t>及时启动更高级应急预案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应急联络电话</w:t>
            </w:r>
          </w:p>
        </w:tc>
        <w:tc>
          <w:tcPr>
            <w:tcW w:w="3752" w:type="pct"/>
            <w:gridSpan w:val="3"/>
            <w:vAlign w:val="center"/>
          </w:tcPr>
          <w:p>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pPr>
              <w:pStyle w:val="2"/>
              <w:jc w:val="both"/>
            </w:pPr>
          </w:p>
          <w:p>
            <w:pPr>
              <w:spacing w:line="240" w:lineRule="auto"/>
              <w:ind w:firstLine="0" w:firstLineChars="0"/>
              <w:jc w:val="center"/>
            </w:pPr>
            <w:r>
              <w:rPr>
                <w:rFonts w:hint="eastAsia"/>
              </w:rPr>
              <w:t>消防大队：119     医院急救：120</w:t>
            </w:r>
          </w:p>
        </w:tc>
      </w:tr>
    </w:tbl>
    <w:p>
      <w:pPr>
        <w:ind w:firstLine="602"/>
        <w:jc w:val="center"/>
        <w:rPr>
          <w:b/>
          <w:sz w:val="30"/>
          <w:szCs w:val="30"/>
        </w:rPr>
      </w:pPr>
      <w:r>
        <w:rPr>
          <w:rFonts w:hint="eastAsia"/>
          <w:b/>
          <w:sz w:val="30"/>
          <w:szCs w:val="30"/>
        </w:rPr>
        <w:t>湖口县金砂湾工业园污水处理厂污泥膨胀现场处置应急卡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pPr>
              <w:spacing w:line="240" w:lineRule="auto"/>
              <w:ind w:firstLine="0" w:firstLineChars="0"/>
              <w:jc w:val="center"/>
            </w:pPr>
            <w:r>
              <w:rPr>
                <w:rFonts w:hint="eastAsia"/>
              </w:rPr>
              <w:t>风险点位（源）名称</w:t>
            </w:r>
          </w:p>
        </w:tc>
        <w:tc>
          <w:tcPr>
            <w:tcW w:w="3126" w:type="pct"/>
            <w:gridSpan w:val="2"/>
            <w:vAlign w:val="center"/>
          </w:tcPr>
          <w:p>
            <w:pPr>
              <w:spacing w:line="240" w:lineRule="auto"/>
              <w:ind w:firstLine="0" w:firstLineChars="0"/>
              <w:jc w:val="center"/>
            </w:pPr>
            <w:r>
              <w:rPr>
                <w:rFonts w:hint="eastAsia"/>
              </w:rPr>
              <w:t>污泥膨胀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pPr>
              <w:spacing w:line="240" w:lineRule="auto"/>
              <w:ind w:firstLine="0" w:firstLineChars="0"/>
              <w:jc w:val="center"/>
            </w:pPr>
            <w:r>
              <w:rPr>
                <w:rFonts w:hint="eastAsia"/>
              </w:rPr>
              <w:t>步骤</w:t>
            </w:r>
          </w:p>
        </w:tc>
        <w:tc>
          <w:tcPr>
            <w:tcW w:w="2500" w:type="pct"/>
            <w:gridSpan w:val="2"/>
            <w:vAlign w:val="center"/>
          </w:tcPr>
          <w:p>
            <w:pPr>
              <w:spacing w:line="240" w:lineRule="auto"/>
              <w:ind w:firstLine="0" w:firstLineChars="0"/>
              <w:jc w:val="center"/>
            </w:pPr>
            <w:r>
              <w:rPr>
                <w:rFonts w:hint="eastAsia"/>
              </w:rPr>
              <w:t>应急处置</w:t>
            </w:r>
          </w:p>
        </w:tc>
        <w:tc>
          <w:tcPr>
            <w:tcW w:w="1251" w:type="pct"/>
            <w:vAlign w:val="center"/>
          </w:tcPr>
          <w:p>
            <w:pPr>
              <w:spacing w:line="240" w:lineRule="auto"/>
              <w:ind w:firstLine="0" w:firstLineChars="0"/>
              <w:jc w:val="center"/>
            </w:pPr>
            <w:r>
              <w:rPr>
                <w:rFonts w:hint="eastAsia"/>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pPr>
              <w:spacing w:line="240" w:lineRule="auto"/>
              <w:ind w:firstLine="0" w:firstLineChars="0"/>
              <w:jc w:val="center"/>
            </w:pPr>
            <w:r>
              <w:rPr>
                <w:rFonts w:hint="eastAsia"/>
              </w:rPr>
              <w:t>处置措施</w:t>
            </w:r>
          </w:p>
        </w:tc>
        <w:tc>
          <w:tcPr>
            <w:tcW w:w="625" w:type="pct"/>
            <w:vAlign w:val="center"/>
          </w:tcPr>
          <w:p>
            <w:pPr>
              <w:spacing w:line="240" w:lineRule="auto"/>
              <w:ind w:firstLine="0" w:firstLineChars="0"/>
              <w:jc w:val="center"/>
            </w:pPr>
            <w:r>
              <w:rPr>
                <w:rFonts w:hint="eastAsia"/>
              </w:rPr>
              <w:t>应急</w:t>
            </w:r>
          </w:p>
          <w:p>
            <w:pPr>
              <w:spacing w:line="240" w:lineRule="auto"/>
              <w:ind w:firstLine="0" w:firstLineChars="0"/>
              <w:jc w:val="center"/>
            </w:pPr>
            <w:r>
              <w:rPr>
                <w:rFonts w:hint="eastAsia"/>
              </w:rPr>
              <w:t>报告</w:t>
            </w:r>
          </w:p>
        </w:tc>
        <w:tc>
          <w:tcPr>
            <w:tcW w:w="2500" w:type="pct"/>
            <w:gridSpan w:val="2"/>
            <w:vAlign w:val="center"/>
          </w:tcPr>
          <w:p>
            <w:pPr>
              <w:spacing w:line="240" w:lineRule="auto"/>
              <w:ind w:firstLine="0" w:firstLineChars="0"/>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分钟内向污水处理厂应急领导小组报告，由应急指挥长决定是否启动二级响应和二级应急预案（由环境事故应急工作领导小组指挥长指挥协调整体应急抢险工作），根据事态发展情况，决定是否上报九江市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pPr>
              <w:spacing w:line="240" w:lineRule="auto"/>
              <w:ind w:firstLine="0" w:firstLineChars="0"/>
              <w:jc w:val="center"/>
            </w:pPr>
            <w:r>
              <w:rPr>
                <w:rFonts w:hint="eastAsia"/>
              </w:rPr>
              <w:t>应急指挥部；</w:t>
            </w:r>
          </w:p>
          <w:p>
            <w:pPr>
              <w:spacing w:line="240" w:lineRule="auto"/>
              <w:ind w:firstLine="0" w:firstLineChars="0"/>
              <w:jc w:val="center"/>
            </w:pPr>
            <w:r>
              <w:rPr>
                <w:rFonts w:hint="eastAsia"/>
              </w:rPr>
              <w:t>应急通讯小组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现场处置</w:t>
            </w:r>
          </w:p>
        </w:tc>
        <w:tc>
          <w:tcPr>
            <w:tcW w:w="2500" w:type="pct"/>
            <w:gridSpan w:val="2"/>
            <w:vAlign w:val="center"/>
          </w:tcPr>
          <w:p>
            <w:pPr>
              <w:spacing w:line="240" w:lineRule="auto"/>
              <w:ind w:firstLine="0" w:firstLineChars="0"/>
            </w:pPr>
            <w:r>
              <w:rPr>
                <w:rFonts w:hint="eastAsia"/>
              </w:rPr>
              <w:t xml:space="preserve"> 第一时间将进、出口关闭，调查污泥膨胀原因。根据不同的原因做好处置措施：</w:t>
            </w:r>
          </w:p>
          <w:p>
            <w:pPr>
              <w:spacing w:line="240" w:lineRule="auto"/>
              <w:ind w:firstLine="0" w:firstLineChars="0"/>
            </w:pPr>
            <w:r>
              <w:rPr>
                <w:rFonts w:hint="eastAsia"/>
              </w:rPr>
              <w:t>①控制曝气量，使曝气池好氧段保持适量的溶解氧（不低于1～2毫克/升，不超过4毫克/升）；</w:t>
            </w:r>
          </w:p>
          <w:p>
            <w:pPr>
              <w:spacing w:line="240" w:lineRule="auto"/>
              <w:ind w:firstLine="0" w:firstLineChars="0"/>
            </w:pPr>
            <w:r>
              <w:rPr>
                <w:rFonts w:hint="eastAsia"/>
              </w:rPr>
              <w:t>②调整PH值至中性左右；</w:t>
            </w:r>
          </w:p>
          <w:p>
            <w:pPr>
              <w:spacing w:line="240" w:lineRule="auto"/>
              <w:ind w:firstLine="0" w:firstLineChars="0"/>
            </w:pPr>
            <w:r>
              <w:rPr>
                <w:rFonts w:hint="eastAsia"/>
              </w:rPr>
              <w:t>③如氮、磷的比例失调，可适量投加氮化合物和磷化合物；</w:t>
            </w:r>
          </w:p>
          <w:p>
            <w:pPr>
              <w:spacing w:line="240" w:lineRule="auto"/>
              <w:ind w:firstLine="0" w:firstLineChars="0"/>
            </w:pPr>
            <w:r>
              <w:rPr>
                <w:rFonts w:hint="eastAsia"/>
              </w:rPr>
              <w:t>④调整污泥负荷，若污泥负荷过高，可适当提高MLSS值；</w:t>
            </w:r>
          </w:p>
          <w:p>
            <w:pPr>
              <w:spacing w:line="240" w:lineRule="auto"/>
              <w:ind w:firstLine="0" w:firstLineChars="0"/>
            </w:pPr>
            <w:r>
              <w:rPr>
                <w:rFonts w:hint="eastAsia"/>
              </w:rPr>
              <w:t>⑤投加一些化学药剂（如铁盐絮凝剂、有机阳离子絮凝剂，黄泥等惰性物质以及漂白粉等）。但投加药剂费用较贵，停止加药后又会恢复膨胀，并且并不是对各类膨胀都有效。</w:t>
            </w:r>
          </w:p>
          <w:p>
            <w:pPr>
              <w:pStyle w:val="46"/>
              <w:spacing w:line="240" w:lineRule="auto"/>
              <w:ind w:firstLine="240"/>
            </w:pPr>
            <w:r>
              <w:rPr>
                <w:rFonts w:hint="eastAsia"/>
              </w:rPr>
              <w:t>环境监测人员同时迅速赶到事故现场监测污水厂出水水质情况，并监测下游河流控制断面水质，并详细记录好监测数据，以备应急领导小组参考。</w:t>
            </w:r>
          </w:p>
        </w:tc>
        <w:tc>
          <w:tcPr>
            <w:tcW w:w="1251" w:type="pct"/>
            <w:vAlign w:val="center"/>
          </w:tcPr>
          <w:p>
            <w:pPr>
              <w:spacing w:line="240" w:lineRule="auto"/>
              <w:ind w:firstLine="0" w:firstLineChars="0"/>
              <w:jc w:val="center"/>
              <w:rPr>
                <w:bCs/>
              </w:rPr>
            </w:pPr>
            <w:r>
              <w:rPr>
                <w:rFonts w:hint="eastAsia"/>
                <w:bCs/>
              </w:rPr>
              <w:t>抢险抢修组人员；</w:t>
            </w:r>
          </w:p>
          <w:p>
            <w:pPr>
              <w:spacing w:line="240" w:lineRule="auto"/>
              <w:ind w:firstLine="0" w:firstLineChars="0"/>
              <w:jc w:val="center"/>
            </w:pPr>
            <w:r>
              <w:rPr>
                <w:rFonts w:hint="eastAsia"/>
              </w:rPr>
              <w:t>工程技术应急人员；应急检测人员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结束响应</w:t>
            </w:r>
          </w:p>
        </w:tc>
        <w:tc>
          <w:tcPr>
            <w:tcW w:w="2500" w:type="pct"/>
            <w:gridSpan w:val="2"/>
            <w:vAlign w:val="center"/>
          </w:tcPr>
          <w:p>
            <w:pPr>
              <w:spacing w:line="240" w:lineRule="auto"/>
              <w:ind w:firstLine="0" w:firstLineChars="0"/>
            </w:pPr>
            <w:r>
              <w:rPr>
                <w:rFonts w:hint="eastAsia"/>
              </w:rPr>
              <w:t>事故排除后，环境监测人员持续监测出水环境状况；善后处理队负责进行事故原因调查和全面的设备安全检查，</w:t>
            </w:r>
          </w:p>
          <w:p>
            <w:pPr>
              <w:spacing w:line="240" w:lineRule="auto"/>
              <w:ind w:firstLine="0" w:firstLineChars="0"/>
            </w:pPr>
            <w:r>
              <w:rPr>
                <w:rFonts w:hint="eastAsia"/>
              </w:rPr>
              <w:t>询问事故发现人有关情况，包括电力设备运行情况等。</w:t>
            </w:r>
          </w:p>
        </w:tc>
        <w:tc>
          <w:tcPr>
            <w:tcW w:w="1251" w:type="pct"/>
            <w:vAlign w:val="center"/>
          </w:tcPr>
          <w:p>
            <w:pPr>
              <w:spacing w:line="240" w:lineRule="auto"/>
              <w:ind w:firstLine="0" w:firstLineChars="0"/>
              <w:jc w:val="center"/>
            </w:pPr>
            <w:r>
              <w:rPr>
                <w:rFonts w:hint="eastAsia"/>
              </w:rPr>
              <w:t>应急检测人员</w:t>
            </w:r>
          </w:p>
          <w:p>
            <w:pPr>
              <w:pStyle w:val="46"/>
              <w:ind w:firstLine="240"/>
            </w:pPr>
            <w:r>
              <w:rPr>
                <w:rFonts w:hint="eastAsia"/>
              </w:rPr>
              <w:t>应急抢险抢修人员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应急处置要点</w:t>
            </w:r>
          </w:p>
        </w:tc>
        <w:tc>
          <w:tcPr>
            <w:tcW w:w="3752" w:type="pct"/>
            <w:gridSpan w:val="3"/>
            <w:vAlign w:val="center"/>
          </w:tcPr>
          <w:p>
            <w:pPr>
              <w:spacing w:line="240" w:lineRule="auto"/>
              <w:ind w:firstLine="0" w:firstLineChars="0"/>
              <w:jc w:val="center"/>
            </w:pPr>
            <w:r>
              <w:rPr>
                <w:rFonts w:hint="eastAsia"/>
              </w:rPr>
              <w:t>第一时间关闭出水阀门，通知应急领导小组，事故无法控制时</w:t>
            </w:r>
          </w:p>
          <w:p>
            <w:pPr>
              <w:spacing w:line="240" w:lineRule="auto"/>
              <w:ind w:firstLine="0" w:firstLineChars="0"/>
              <w:jc w:val="center"/>
            </w:pPr>
            <w:r>
              <w:rPr>
                <w:rFonts w:hint="eastAsia"/>
              </w:rPr>
              <w:t>及时启动更高级应急预案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应急联络电话</w:t>
            </w:r>
          </w:p>
        </w:tc>
        <w:tc>
          <w:tcPr>
            <w:tcW w:w="3752" w:type="pct"/>
            <w:gridSpan w:val="3"/>
            <w:vAlign w:val="center"/>
          </w:tcPr>
          <w:p>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pPr>
              <w:pStyle w:val="2"/>
              <w:jc w:val="both"/>
            </w:pPr>
          </w:p>
          <w:p>
            <w:pPr>
              <w:spacing w:line="240" w:lineRule="auto"/>
              <w:ind w:firstLine="0" w:firstLineChars="0"/>
              <w:jc w:val="center"/>
            </w:pPr>
            <w:r>
              <w:rPr>
                <w:rFonts w:hint="eastAsia"/>
              </w:rPr>
              <w:t>消防大队：119     医院急救：120</w:t>
            </w:r>
          </w:p>
        </w:tc>
      </w:tr>
    </w:tbl>
    <w:p>
      <w:pPr>
        <w:ind w:firstLine="480"/>
      </w:pPr>
    </w:p>
    <w:p>
      <w:pPr>
        <w:ind w:firstLine="602"/>
        <w:jc w:val="center"/>
        <w:rPr>
          <w:b/>
          <w:sz w:val="30"/>
          <w:szCs w:val="30"/>
        </w:rPr>
      </w:pPr>
      <w:r>
        <w:rPr>
          <w:rFonts w:hint="eastAsia"/>
          <w:b/>
          <w:sz w:val="30"/>
          <w:szCs w:val="30"/>
        </w:rPr>
        <w:br w:type="page"/>
      </w:r>
      <w:r>
        <w:rPr>
          <w:rFonts w:hint="eastAsia"/>
          <w:b/>
          <w:sz w:val="30"/>
          <w:szCs w:val="30"/>
        </w:rPr>
        <w:t>湖口县金砂湾工业园污水处理厂人员中毒和坠池现场处置应急卡</w:t>
      </w:r>
    </w:p>
    <w:tbl>
      <w:tblPr>
        <w:tblStyle w:val="49"/>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25"/>
        <w:gridCol w:w="1231"/>
        <w:gridCol w:w="1233"/>
        <w:gridCol w:w="3691"/>
        <w:gridCol w:w="24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1873" w:type="pct"/>
            <w:gridSpan w:val="3"/>
            <w:vAlign w:val="center"/>
          </w:tcPr>
          <w:p>
            <w:pPr>
              <w:spacing w:line="240" w:lineRule="auto"/>
              <w:ind w:firstLine="0" w:firstLineChars="0"/>
              <w:jc w:val="center"/>
            </w:pPr>
            <w:r>
              <w:rPr>
                <w:rFonts w:hint="eastAsia"/>
              </w:rPr>
              <w:t>风险点位（源）名称</w:t>
            </w:r>
          </w:p>
        </w:tc>
        <w:tc>
          <w:tcPr>
            <w:tcW w:w="3126" w:type="pct"/>
            <w:gridSpan w:val="2"/>
            <w:vAlign w:val="center"/>
          </w:tcPr>
          <w:p>
            <w:pPr>
              <w:spacing w:line="240" w:lineRule="auto"/>
              <w:ind w:firstLine="0" w:firstLineChars="0"/>
              <w:jc w:val="center"/>
            </w:pPr>
            <w:r>
              <w:rPr>
                <w:rFonts w:hint="eastAsia"/>
              </w:rPr>
              <w:t>人员中毒和坠池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1247" w:type="pct"/>
            <w:gridSpan w:val="2"/>
            <w:vAlign w:val="center"/>
          </w:tcPr>
          <w:p>
            <w:pPr>
              <w:spacing w:line="240" w:lineRule="auto"/>
              <w:ind w:firstLine="0" w:firstLineChars="0"/>
              <w:jc w:val="center"/>
            </w:pPr>
            <w:r>
              <w:rPr>
                <w:rFonts w:hint="eastAsia"/>
              </w:rPr>
              <w:t>步骤</w:t>
            </w:r>
          </w:p>
        </w:tc>
        <w:tc>
          <w:tcPr>
            <w:tcW w:w="2500" w:type="pct"/>
            <w:gridSpan w:val="2"/>
            <w:vAlign w:val="center"/>
          </w:tcPr>
          <w:p>
            <w:pPr>
              <w:spacing w:line="240" w:lineRule="auto"/>
              <w:ind w:firstLine="0" w:firstLineChars="0"/>
              <w:jc w:val="center"/>
            </w:pPr>
            <w:r>
              <w:rPr>
                <w:rFonts w:hint="eastAsia"/>
              </w:rPr>
              <w:t>应急处置</w:t>
            </w:r>
          </w:p>
        </w:tc>
        <w:tc>
          <w:tcPr>
            <w:tcW w:w="1251" w:type="pct"/>
            <w:vAlign w:val="center"/>
          </w:tcPr>
          <w:p>
            <w:pPr>
              <w:spacing w:line="240" w:lineRule="auto"/>
              <w:ind w:firstLine="0" w:firstLineChars="0"/>
              <w:jc w:val="center"/>
            </w:pPr>
            <w:r>
              <w:rPr>
                <w:rFonts w:hint="eastAsia"/>
              </w:rPr>
              <w:t>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8" w:hRule="atLeast"/>
        </w:trPr>
        <w:tc>
          <w:tcPr>
            <w:tcW w:w="622" w:type="pct"/>
            <w:vMerge w:val="restart"/>
            <w:textDirection w:val="tbRlV"/>
            <w:vAlign w:val="center"/>
          </w:tcPr>
          <w:p>
            <w:pPr>
              <w:spacing w:line="240" w:lineRule="auto"/>
              <w:ind w:firstLine="0" w:firstLineChars="0"/>
              <w:jc w:val="center"/>
            </w:pPr>
            <w:r>
              <w:rPr>
                <w:rFonts w:hint="eastAsia"/>
              </w:rPr>
              <w:t>处置措施</w:t>
            </w:r>
          </w:p>
        </w:tc>
        <w:tc>
          <w:tcPr>
            <w:tcW w:w="625" w:type="pct"/>
            <w:vAlign w:val="center"/>
          </w:tcPr>
          <w:p>
            <w:pPr>
              <w:spacing w:line="240" w:lineRule="auto"/>
              <w:ind w:firstLine="0" w:firstLineChars="0"/>
              <w:jc w:val="center"/>
            </w:pPr>
            <w:r>
              <w:rPr>
                <w:rFonts w:hint="eastAsia"/>
              </w:rPr>
              <w:t>应急</w:t>
            </w:r>
          </w:p>
          <w:p>
            <w:pPr>
              <w:spacing w:line="240" w:lineRule="auto"/>
              <w:ind w:firstLine="0" w:firstLineChars="0"/>
              <w:jc w:val="center"/>
            </w:pPr>
            <w:r>
              <w:rPr>
                <w:rFonts w:hint="eastAsia"/>
              </w:rPr>
              <w:t>报告</w:t>
            </w:r>
          </w:p>
        </w:tc>
        <w:tc>
          <w:tcPr>
            <w:tcW w:w="2500" w:type="pct"/>
            <w:gridSpan w:val="2"/>
            <w:vAlign w:val="center"/>
          </w:tcPr>
          <w:p>
            <w:pPr>
              <w:spacing w:line="240" w:lineRule="auto"/>
              <w:ind w:firstLine="0" w:firstLineChars="0"/>
            </w:pPr>
            <w:r>
              <w:rPr>
                <w:rFonts w:hint="eastAsia"/>
              </w:rPr>
              <w:t>现场发现人员立即向事故所在当班负责人报告，当班负责人在 5 分钟内向污水处理厂应急领导小组报告，由应急指挥长决定是否启动二级响应和二级应急预案（由环境事故应急工作领导小组指挥长指挥协调整体应急抢险工作），根据事态发展情况，决定是否九江市</w:t>
            </w:r>
            <w:r>
              <w:rPr>
                <w:rFonts w:hint="eastAsia"/>
                <w:lang w:eastAsia="zh-CN"/>
              </w:rPr>
              <w:t>湖口县</w:t>
            </w:r>
            <w:r>
              <w:rPr>
                <w:rFonts w:hint="eastAsia"/>
              </w:rPr>
              <w:t>；接到报告后九江市</w:t>
            </w:r>
            <w:r>
              <w:rPr>
                <w:rFonts w:hint="eastAsia"/>
                <w:lang w:eastAsia="zh-CN"/>
              </w:rPr>
              <w:t>湖口县</w:t>
            </w:r>
            <w:r>
              <w:rPr>
                <w:rFonts w:hint="eastAsia"/>
              </w:rPr>
              <w:t>根据事态的进一步发展，决定是否启动二级响应和二级应急预案。</w:t>
            </w:r>
          </w:p>
        </w:tc>
        <w:tc>
          <w:tcPr>
            <w:tcW w:w="1251" w:type="pct"/>
            <w:vAlign w:val="center"/>
          </w:tcPr>
          <w:p>
            <w:pPr>
              <w:spacing w:line="240" w:lineRule="auto"/>
              <w:ind w:firstLine="0" w:firstLineChars="0"/>
              <w:jc w:val="center"/>
            </w:pPr>
            <w:r>
              <w:rPr>
                <w:rFonts w:hint="eastAsia"/>
              </w:rPr>
              <w:t>应急指挥部；</w:t>
            </w:r>
          </w:p>
          <w:p>
            <w:pPr>
              <w:spacing w:line="240" w:lineRule="auto"/>
              <w:ind w:firstLine="0" w:firstLineChars="0"/>
              <w:jc w:val="center"/>
            </w:pPr>
            <w:r>
              <w:rPr>
                <w:rFonts w:hint="eastAsia"/>
              </w:rPr>
              <w:t>应急通讯小组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6"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现场处置</w:t>
            </w:r>
          </w:p>
        </w:tc>
        <w:tc>
          <w:tcPr>
            <w:tcW w:w="2500" w:type="pct"/>
            <w:gridSpan w:val="2"/>
            <w:vAlign w:val="center"/>
          </w:tcPr>
          <w:p>
            <w:pPr>
              <w:spacing w:line="240" w:lineRule="auto"/>
              <w:ind w:firstLine="0" w:firstLineChars="0"/>
            </w:pPr>
            <w:r>
              <w:rPr>
                <w:rFonts w:hint="eastAsia"/>
              </w:rPr>
              <w:t>1、第一时间将受伤人员处在的生产环节的设备停止运行，再将厂区进、出口关闭；</w:t>
            </w:r>
          </w:p>
          <w:p>
            <w:pPr>
              <w:pStyle w:val="2"/>
              <w:jc w:val="both"/>
              <w:rPr>
                <w:rFonts w:ascii="Times New Roman" w:hAnsi="Times New Roman" w:cs="Times New Roman"/>
                <w:color w:val="auto"/>
                <w:kern w:val="2"/>
              </w:rPr>
            </w:pPr>
            <w:r>
              <w:rPr>
                <w:rFonts w:hint="eastAsia" w:ascii="Times New Roman" w:hAnsi="Times New Roman" w:cs="Times New Roman"/>
                <w:color w:val="auto"/>
                <w:kern w:val="2"/>
              </w:rPr>
              <w:t>2、现场人员立即开展救援行动；</w:t>
            </w:r>
          </w:p>
          <w:p>
            <w:pPr>
              <w:pStyle w:val="2"/>
              <w:jc w:val="both"/>
            </w:pPr>
            <w:r>
              <w:rPr>
                <w:rFonts w:hint="eastAsia" w:ascii="Times New Roman" w:hAnsi="Times New Roman" w:cs="Times New Roman"/>
                <w:color w:val="auto"/>
                <w:kern w:val="2"/>
              </w:rPr>
              <w:t>3、应急通讯组立即拨打救助电话并向上级报告。</w:t>
            </w:r>
          </w:p>
        </w:tc>
        <w:tc>
          <w:tcPr>
            <w:tcW w:w="1251" w:type="pct"/>
            <w:vAlign w:val="center"/>
          </w:tcPr>
          <w:p>
            <w:pPr>
              <w:spacing w:line="240" w:lineRule="auto"/>
              <w:ind w:firstLine="0" w:firstLineChars="0"/>
            </w:pPr>
            <w:r>
              <w:rPr>
                <w:rFonts w:hint="eastAsia"/>
              </w:rPr>
              <w:t>应急通讯小组急人员；</w:t>
            </w:r>
          </w:p>
          <w:p>
            <w:pPr>
              <w:pStyle w:val="2"/>
              <w:jc w:val="both"/>
            </w:pPr>
            <w:r>
              <w:rPr>
                <w:rFonts w:hint="eastAsia"/>
              </w:rPr>
              <w:t>医疗救护应急人员；后勤保障组应急人员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3" w:hRule="atLeast"/>
        </w:trPr>
        <w:tc>
          <w:tcPr>
            <w:tcW w:w="622" w:type="pct"/>
            <w:vMerge w:val="continue"/>
            <w:vAlign w:val="center"/>
          </w:tcPr>
          <w:p>
            <w:pPr>
              <w:spacing w:line="240" w:lineRule="auto"/>
              <w:ind w:firstLine="0" w:firstLineChars="0"/>
              <w:jc w:val="center"/>
            </w:pPr>
          </w:p>
        </w:tc>
        <w:tc>
          <w:tcPr>
            <w:tcW w:w="625" w:type="pct"/>
            <w:vAlign w:val="center"/>
          </w:tcPr>
          <w:p>
            <w:pPr>
              <w:spacing w:line="240" w:lineRule="auto"/>
              <w:ind w:firstLine="0" w:firstLineChars="0"/>
              <w:jc w:val="center"/>
            </w:pPr>
            <w:r>
              <w:rPr>
                <w:rFonts w:hint="eastAsia"/>
              </w:rPr>
              <w:t>结束响应</w:t>
            </w:r>
          </w:p>
        </w:tc>
        <w:tc>
          <w:tcPr>
            <w:tcW w:w="2500" w:type="pct"/>
            <w:gridSpan w:val="2"/>
            <w:vAlign w:val="center"/>
          </w:tcPr>
          <w:p>
            <w:pPr>
              <w:spacing w:line="240" w:lineRule="auto"/>
              <w:ind w:firstLine="0" w:firstLineChars="0"/>
            </w:pPr>
            <w:r>
              <w:rPr>
                <w:rFonts w:hint="eastAsia"/>
              </w:rPr>
              <w:t>事故排除后，开启设备使其正常运行，再开启厂区进水口与出口。</w:t>
            </w:r>
          </w:p>
        </w:tc>
        <w:tc>
          <w:tcPr>
            <w:tcW w:w="1251" w:type="pct"/>
            <w:vAlign w:val="center"/>
          </w:tcPr>
          <w:p>
            <w:pPr>
              <w:spacing w:line="240" w:lineRule="auto"/>
              <w:ind w:firstLine="0" w:firstLineChars="0"/>
              <w:jc w:val="center"/>
            </w:pPr>
            <w:r>
              <w:rPr>
                <w:rFonts w:hint="eastAsia"/>
              </w:rPr>
              <w:t>应急检测人员</w:t>
            </w:r>
          </w:p>
          <w:p>
            <w:pPr>
              <w:pStyle w:val="46"/>
              <w:ind w:firstLine="240"/>
            </w:pPr>
            <w:r>
              <w:rPr>
                <w:rFonts w:hint="eastAsia"/>
              </w:rPr>
              <w:t>应急抢险抢修人员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应急处置要点</w:t>
            </w:r>
          </w:p>
        </w:tc>
        <w:tc>
          <w:tcPr>
            <w:tcW w:w="3752" w:type="pct"/>
            <w:gridSpan w:val="3"/>
            <w:vAlign w:val="center"/>
          </w:tcPr>
          <w:p>
            <w:pPr>
              <w:spacing w:line="240" w:lineRule="auto"/>
              <w:ind w:firstLine="0" w:firstLineChars="0"/>
              <w:jc w:val="center"/>
            </w:pPr>
            <w:r>
              <w:rPr>
                <w:rFonts w:hint="eastAsia"/>
              </w:rPr>
              <w:t>第一时间关闭出水阀门，通知应急领导小组，事故无法控制时</w:t>
            </w:r>
          </w:p>
          <w:p>
            <w:pPr>
              <w:spacing w:line="240" w:lineRule="auto"/>
              <w:ind w:firstLine="0" w:firstLineChars="0"/>
              <w:jc w:val="center"/>
            </w:pPr>
            <w:r>
              <w:rPr>
                <w:rFonts w:hint="eastAsia"/>
              </w:rPr>
              <w:t>及时启动更高级应急预案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00" w:hRule="atLeast"/>
        </w:trPr>
        <w:tc>
          <w:tcPr>
            <w:tcW w:w="1247" w:type="pct"/>
            <w:gridSpan w:val="2"/>
            <w:textDirection w:val="tbRlV"/>
            <w:vAlign w:val="center"/>
          </w:tcPr>
          <w:p>
            <w:pPr>
              <w:spacing w:line="240" w:lineRule="auto"/>
              <w:ind w:firstLine="0" w:firstLineChars="0"/>
              <w:jc w:val="center"/>
            </w:pPr>
            <w:r>
              <w:rPr>
                <w:rFonts w:hint="eastAsia"/>
              </w:rPr>
              <w:t>应急联络电话</w:t>
            </w:r>
          </w:p>
        </w:tc>
        <w:tc>
          <w:tcPr>
            <w:tcW w:w="3752" w:type="pct"/>
            <w:gridSpan w:val="3"/>
            <w:vAlign w:val="center"/>
          </w:tcPr>
          <w:p>
            <w:pPr>
              <w:spacing w:line="240" w:lineRule="auto"/>
              <w:ind w:firstLine="0" w:firstLineChars="0"/>
              <w:jc w:val="center"/>
              <w:rPr>
                <w:rFonts w:ascii="宋体" w:hAnsi="宋体" w:cs="宋体"/>
                <w:color w:val="000000"/>
                <w:sz w:val="21"/>
              </w:rPr>
            </w:pPr>
            <w:r>
              <w:rPr>
                <w:rFonts w:hint="eastAsia"/>
              </w:rPr>
              <w:t>应急指挥部负责人：</w:t>
            </w:r>
            <w:r>
              <w:rPr>
                <w:rFonts w:hint="eastAsia" w:ascii="宋体" w:hAnsi="宋体"/>
              </w:rPr>
              <w:t xml:space="preserve">刘鑫霞  </w:t>
            </w:r>
            <w:r>
              <w:rPr>
                <w:rFonts w:hint="eastAsia"/>
                <w:kern w:val="0"/>
              </w:rPr>
              <w:t>18779270362</w:t>
            </w:r>
          </w:p>
          <w:p>
            <w:pPr>
              <w:spacing w:line="240" w:lineRule="auto"/>
              <w:ind w:firstLine="0" w:firstLineChars="0"/>
              <w:jc w:val="center"/>
            </w:pPr>
            <w:r>
              <w:rPr>
                <w:rFonts w:hint="eastAsia"/>
              </w:rPr>
              <w:t>消防大队：119     医院急救：120</w:t>
            </w:r>
          </w:p>
        </w:tc>
      </w:tr>
    </w:tbl>
    <w:p>
      <w:pPr>
        <w:pStyle w:val="2"/>
      </w:pPr>
    </w:p>
    <w:p>
      <w:pPr>
        <w:pStyle w:val="195"/>
        <w:ind w:firstLine="600"/>
        <w:rPr>
          <w:rFonts w:cs="宋体"/>
        </w:rPr>
        <w:sectPr>
          <w:pgSz w:w="11906" w:h="16838"/>
          <w:pgMar w:top="1134" w:right="1134" w:bottom="1134" w:left="1134" w:header="851" w:footer="992" w:gutter="0"/>
          <w:cols w:space="720" w:num="1"/>
          <w:docGrid w:type="lines" w:linePitch="381" w:charSpace="0"/>
        </w:sectPr>
      </w:pPr>
    </w:p>
    <w:p>
      <w:pPr>
        <w:pStyle w:val="195"/>
        <w:ind w:firstLine="600"/>
        <w:outlineLvl w:val="0"/>
      </w:pPr>
      <w:bookmarkStart w:id="699" w:name="_Toc13849"/>
      <w:bookmarkStart w:id="700" w:name="_Toc4806"/>
      <w:bookmarkStart w:id="701" w:name="_Toc4612"/>
      <w:r>
        <w:rPr>
          <w:rFonts w:hint="eastAsia" w:cs="宋体"/>
        </w:rPr>
        <w:t>附件12：标准化文件</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tbl>
      <w:tblPr>
        <w:tblStyle w:val="48"/>
        <w:tblpPr w:leftFromText="180" w:rightFromText="180" w:vertAnchor="text" w:horzAnchor="page" w:tblpX="1265" w:tblpY="950"/>
        <w:tblOverlap w:val="never"/>
        <w:tblW w:w="0" w:type="auto"/>
        <w:tblInd w:w="0" w:type="dxa"/>
        <w:tblLayout w:type="fixed"/>
        <w:tblCellMar>
          <w:top w:w="0" w:type="dxa"/>
          <w:left w:w="0" w:type="dxa"/>
          <w:bottom w:w="0" w:type="dxa"/>
          <w:right w:w="0" w:type="dxa"/>
        </w:tblCellMar>
      </w:tblPr>
      <w:tblGrid>
        <w:gridCol w:w="2128"/>
        <w:gridCol w:w="913"/>
        <w:gridCol w:w="1851"/>
        <w:gridCol w:w="695"/>
        <w:gridCol w:w="673"/>
        <w:gridCol w:w="328"/>
        <w:gridCol w:w="1571"/>
        <w:gridCol w:w="1480"/>
      </w:tblGrid>
      <w:tr>
        <w:tblPrEx>
          <w:tblCellMar>
            <w:top w:w="0" w:type="dxa"/>
            <w:left w:w="0" w:type="dxa"/>
            <w:bottom w:w="0" w:type="dxa"/>
            <w:right w:w="0" w:type="dxa"/>
          </w:tblCellMar>
        </w:tblPrEx>
        <w:trPr>
          <w:trHeight w:val="454" w:hRule="atLeast"/>
        </w:trPr>
        <w:tc>
          <w:tcPr>
            <w:tcW w:w="2128" w:type="dxa"/>
            <w:vMerge w:val="restart"/>
            <w:tcBorders>
              <w:top w:val="single" w:color="000000" w:sz="6" w:space="0"/>
              <w:left w:val="single" w:color="000000" w:sz="4" w:space="0"/>
              <w:right w:val="single" w:color="000000" w:sz="4" w:space="0"/>
            </w:tcBorders>
            <w:vAlign w:val="center"/>
          </w:tcPr>
          <w:p>
            <w:pPr>
              <w:pStyle w:val="340"/>
              <w:rPr>
                <w:kern w:val="0"/>
              </w:rPr>
            </w:pPr>
            <w:r>
              <w:rPr>
                <w:rFonts w:hint="eastAsia" w:cs="宋体"/>
                <w:kern w:val="0"/>
              </w:rPr>
              <w:t>报告方式</w:t>
            </w: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1</w:t>
            </w:r>
          </w:p>
        </w:tc>
        <w:tc>
          <w:tcPr>
            <w:tcW w:w="1851"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电话报告</w:t>
            </w:r>
          </w:p>
        </w:tc>
        <w:tc>
          <w:tcPr>
            <w:tcW w:w="1368" w:type="dxa"/>
            <w:gridSpan w:val="2"/>
            <w:vMerge w:val="restart"/>
            <w:tcBorders>
              <w:top w:val="single" w:color="000000" w:sz="6" w:space="0"/>
              <w:left w:val="single" w:color="000000" w:sz="4" w:space="0"/>
              <w:right w:val="single" w:color="000000" w:sz="4" w:space="0"/>
            </w:tcBorders>
            <w:vAlign w:val="center"/>
          </w:tcPr>
          <w:p>
            <w:pPr>
              <w:pStyle w:val="340"/>
              <w:rPr>
                <w:kern w:val="0"/>
              </w:rPr>
            </w:pPr>
            <w:r>
              <w:rPr>
                <w:rFonts w:hint="eastAsia" w:cs="宋体"/>
                <w:kern w:val="0"/>
              </w:rPr>
              <w:t>报告人</w:t>
            </w:r>
          </w:p>
        </w:tc>
        <w:tc>
          <w:tcPr>
            <w:tcW w:w="1899"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内部</w:t>
            </w:r>
          </w:p>
        </w:tc>
        <w:tc>
          <w:tcPr>
            <w:tcW w:w="1480"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vMerge w:val="continue"/>
            <w:tcBorders>
              <w:left w:val="single" w:color="000000" w:sz="4" w:space="0"/>
              <w:bottom w:val="single" w:color="000000" w:sz="6" w:space="0"/>
              <w:right w:val="single" w:color="000000" w:sz="4" w:space="0"/>
            </w:tcBorders>
            <w:vAlign w:val="center"/>
          </w:tcPr>
          <w:p>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2</w:t>
            </w:r>
          </w:p>
        </w:tc>
        <w:tc>
          <w:tcPr>
            <w:tcW w:w="1851"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书面报告</w:t>
            </w:r>
          </w:p>
        </w:tc>
        <w:tc>
          <w:tcPr>
            <w:tcW w:w="1368" w:type="dxa"/>
            <w:gridSpan w:val="2"/>
            <w:vMerge w:val="continue"/>
            <w:tcBorders>
              <w:left w:val="single" w:color="000000" w:sz="4" w:space="0"/>
              <w:bottom w:val="single" w:color="000000" w:sz="6" w:space="0"/>
              <w:right w:val="single" w:color="000000" w:sz="4" w:space="0"/>
            </w:tcBorders>
            <w:vAlign w:val="center"/>
          </w:tcPr>
          <w:p>
            <w:pPr>
              <w:ind w:firstLine="480"/>
            </w:pPr>
          </w:p>
        </w:tc>
        <w:tc>
          <w:tcPr>
            <w:tcW w:w="1899"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外部</w:t>
            </w:r>
          </w:p>
        </w:tc>
        <w:tc>
          <w:tcPr>
            <w:tcW w:w="1480"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报告时间</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 xml:space="preserve">年    月   日  </w:t>
            </w:r>
            <w:r>
              <w:rPr>
                <w:kern w:val="0"/>
              </w:rPr>
              <w:tab/>
            </w:r>
            <w:r>
              <w:rPr>
                <w:rFonts w:hint="eastAsia" w:cs="宋体"/>
                <w:kern w:val="0"/>
              </w:rPr>
              <w:t>时分</w:t>
            </w:r>
          </w:p>
        </w:tc>
      </w:tr>
      <w:tr>
        <w:tblPrEx>
          <w:tblCellMar>
            <w:top w:w="0" w:type="dxa"/>
            <w:left w:w="0" w:type="dxa"/>
            <w:bottom w:w="0" w:type="dxa"/>
            <w:right w:w="0" w:type="dxa"/>
          </w:tblCellMar>
        </w:tblPrEx>
        <w:trPr>
          <w:trHeight w:val="454" w:hRule="atLeast"/>
        </w:trPr>
        <w:tc>
          <w:tcPr>
            <w:tcW w:w="2128" w:type="dxa"/>
            <w:vMerge w:val="restart"/>
            <w:tcBorders>
              <w:top w:val="single" w:color="000000" w:sz="6" w:space="0"/>
              <w:left w:val="single" w:color="000000" w:sz="4" w:space="0"/>
              <w:right w:val="single" w:color="000000" w:sz="4" w:space="0"/>
            </w:tcBorders>
            <w:vAlign w:val="center"/>
          </w:tcPr>
          <w:p>
            <w:pPr>
              <w:pStyle w:val="340"/>
              <w:rPr>
                <w:kern w:val="0"/>
              </w:rPr>
            </w:pPr>
            <w:r>
              <w:rPr>
                <w:rFonts w:hint="eastAsia" w:cs="宋体"/>
                <w:kern w:val="0"/>
              </w:rPr>
              <w:t>报告顺序</w:t>
            </w: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1</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公司应急指挥中心</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当班调度通知相关部门</w:t>
            </w:r>
          </w:p>
        </w:tc>
      </w:tr>
      <w:tr>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2</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pPr>
              <w:pStyle w:val="340"/>
              <w:rPr>
                <w:rFonts w:hint="eastAsia" w:eastAsia="宋体" w:cs="宋体"/>
                <w:lang w:eastAsia="zh-CN"/>
              </w:rPr>
            </w:pPr>
            <w:r>
              <w:rPr>
                <w:rFonts w:hint="eastAsia" w:cs="宋体"/>
              </w:rPr>
              <w:t>九江市</w:t>
            </w:r>
            <w:r>
              <w:rPr>
                <w:rFonts w:hint="eastAsia" w:cs="宋体"/>
                <w:lang w:eastAsia="zh-CN"/>
              </w:rPr>
              <w:t>生态环境局</w:t>
            </w:r>
            <w:bookmarkStart w:id="702" w:name="_GoBack"/>
            <w:bookmarkEnd w:id="702"/>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3</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pPr>
              <w:pStyle w:val="340"/>
              <w:rPr>
                <w:rFonts w:cs="宋体"/>
              </w:rPr>
            </w:pPr>
            <w:r>
              <w:rPr>
                <w:rFonts w:hint="eastAsia" w:cs="宋体"/>
              </w:rPr>
              <w:t>九江市应急办</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trPr>
        <w:tc>
          <w:tcPr>
            <w:tcW w:w="2128" w:type="dxa"/>
            <w:vMerge w:val="continue"/>
            <w:tcBorders>
              <w:left w:val="single" w:color="000000" w:sz="4" w:space="0"/>
              <w:right w:val="single" w:color="000000" w:sz="4" w:space="0"/>
            </w:tcBorders>
            <w:vAlign w:val="center"/>
          </w:tcPr>
          <w:p>
            <w:pPr>
              <w:ind w:firstLine="480"/>
            </w:pPr>
          </w:p>
        </w:tc>
        <w:tc>
          <w:tcPr>
            <w:tcW w:w="91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4</w:t>
            </w:r>
          </w:p>
        </w:tc>
        <w:tc>
          <w:tcPr>
            <w:tcW w:w="2546" w:type="dxa"/>
            <w:gridSpan w:val="2"/>
            <w:tcBorders>
              <w:top w:val="single" w:color="000000" w:sz="6" w:space="0"/>
              <w:left w:val="single" w:color="000000" w:sz="4" w:space="0"/>
              <w:bottom w:val="single" w:color="000000" w:sz="6" w:space="0"/>
              <w:right w:val="single" w:color="000000" w:sz="4" w:space="0"/>
            </w:tcBorders>
            <w:vAlign w:val="center"/>
          </w:tcPr>
          <w:p>
            <w:pPr>
              <w:pStyle w:val="340"/>
              <w:rPr>
                <w:rFonts w:cs="宋体"/>
              </w:rPr>
            </w:pPr>
            <w:r>
              <w:rPr>
                <w:rFonts w:hint="eastAsia" w:cs="宋体"/>
              </w:rPr>
              <w:t>九江市消防大队</w:t>
            </w:r>
          </w:p>
        </w:tc>
        <w:tc>
          <w:tcPr>
            <w:tcW w:w="100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单位名称</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地址</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省市</w:t>
            </w:r>
            <w:r>
              <w:rPr>
                <w:kern w:val="0"/>
              </w:rPr>
              <w:tab/>
            </w:r>
            <w:r>
              <w:rPr>
                <w:rFonts w:hint="eastAsia" w:cs="宋体"/>
                <w:kern w:val="0"/>
              </w:rPr>
              <w:t>区</w:t>
            </w:r>
            <w:r>
              <w:rPr>
                <w:kern w:val="0"/>
              </w:rPr>
              <w:tab/>
            </w:r>
            <w:r>
              <w:rPr>
                <w:rFonts w:hint="eastAsia" w:cs="宋体"/>
                <w:kern w:val="0"/>
              </w:rPr>
              <w:t>街道</w:t>
            </w:r>
            <w:r>
              <w:rPr>
                <w:kern w:val="0"/>
              </w:rPr>
              <w:t>(</w:t>
            </w:r>
            <w:r>
              <w:rPr>
                <w:rFonts w:hint="eastAsia" w:cs="宋体"/>
                <w:kern w:val="0"/>
              </w:rPr>
              <w:t>乡、镇</w:t>
            </w:r>
            <w:r>
              <w:rPr>
                <w:kern w:val="0"/>
              </w:rPr>
              <w:t>)</w:t>
            </w:r>
            <w:r>
              <w:rPr>
                <w:kern w:val="0"/>
              </w:rPr>
              <w:tab/>
            </w:r>
            <w:r>
              <w:rPr>
                <w:rFonts w:hint="eastAsia" w:cs="宋体"/>
                <w:kern w:val="0"/>
              </w:rPr>
              <w:t>路号</w:t>
            </w: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法人代表</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联系电话</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2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传真</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Email</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发生位置</w:t>
            </w:r>
          </w:p>
        </w:tc>
        <w:tc>
          <w:tcPr>
            <w:tcW w:w="2764"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696"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设备设施名称</w:t>
            </w:r>
          </w:p>
        </w:tc>
        <w:tc>
          <w:tcPr>
            <w:tcW w:w="3051"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物料名称</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类型</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w:t>
            </w:r>
            <w:r>
              <w:rPr>
                <w:rFonts w:hint="eastAsia" w:cs="宋体"/>
                <w:kern w:val="0"/>
              </w:rPr>
              <w:t>火灾</w:t>
            </w:r>
            <w:r>
              <w:rPr>
                <w:kern w:val="0"/>
              </w:rPr>
              <w:tab/>
            </w:r>
            <w:r>
              <w:rPr>
                <w:kern w:val="0"/>
              </w:rPr>
              <w:t>□</w:t>
            </w:r>
            <w:r>
              <w:rPr>
                <w:rFonts w:hint="eastAsia" w:cs="宋体"/>
                <w:kern w:val="0"/>
              </w:rPr>
              <w:t>泄漏</w:t>
            </w:r>
            <w:r>
              <w:rPr>
                <w:kern w:val="0"/>
              </w:rPr>
              <w:tab/>
            </w:r>
            <w:r>
              <w:rPr>
                <w:kern w:val="0"/>
              </w:rPr>
              <w:t>□</w:t>
            </w:r>
            <w:r>
              <w:rPr>
                <w:rFonts w:hint="eastAsia" w:cs="宋体"/>
                <w:kern w:val="0"/>
              </w:rPr>
              <w:t>爆炸</w:t>
            </w:r>
            <w:r>
              <w:rPr>
                <w:kern w:val="0"/>
              </w:rPr>
              <w:tab/>
            </w:r>
            <w:r>
              <w:rPr>
                <w:kern w:val="0"/>
              </w:rPr>
              <w:t>□</w:t>
            </w:r>
            <w:r>
              <w:rPr>
                <w:rFonts w:hint="eastAsia" w:cs="宋体"/>
                <w:kern w:val="0"/>
              </w:rPr>
              <w:t>其它</w:t>
            </w: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污染物名称</w:t>
            </w: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数量</w:t>
            </w: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排放去向</w:t>
            </w: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4132"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3379"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已污染的范围</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可能受影响区域</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潜在的危害程度转</w:t>
            </w:r>
          </w:p>
          <w:p>
            <w:pPr>
              <w:pStyle w:val="340"/>
              <w:rPr>
                <w:kern w:val="0"/>
              </w:rPr>
            </w:pPr>
            <w:r>
              <w:rPr>
                <w:rFonts w:hint="eastAsia" w:cs="宋体"/>
                <w:kern w:val="0"/>
              </w:rPr>
              <w:t>化方式趋向</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已采取的应急措施</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建议采取措施</w:t>
            </w:r>
          </w:p>
        </w:tc>
        <w:tc>
          <w:tcPr>
            <w:tcW w:w="7511" w:type="dxa"/>
            <w:gridSpan w:val="7"/>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trPr>
        <w:tc>
          <w:tcPr>
            <w:tcW w:w="2128" w:type="dxa"/>
            <w:tcBorders>
              <w:top w:val="single" w:color="000000" w:sz="6" w:space="0"/>
              <w:left w:val="single" w:color="000000" w:sz="4" w:space="0"/>
              <w:bottom w:val="single" w:color="000000" w:sz="4" w:space="0"/>
              <w:right w:val="single" w:color="000000" w:sz="4" w:space="0"/>
            </w:tcBorders>
            <w:vAlign w:val="center"/>
          </w:tcPr>
          <w:p>
            <w:pPr>
              <w:pStyle w:val="340"/>
              <w:rPr>
                <w:kern w:val="0"/>
              </w:rPr>
            </w:pPr>
            <w:r>
              <w:rPr>
                <w:rFonts w:hint="eastAsia" w:cs="宋体"/>
                <w:kern w:val="0"/>
              </w:rPr>
              <w:t>直接人员伤亡和财</w:t>
            </w:r>
          </w:p>
          <w:p>
            <w:pPr>
              <w:pStyle w:val="340"/>
              <w:rPr>
                <w:kern w:val="0"/>
              </w:rPr>
            </w:pPr>
            <w:r>
              <w:rPr>
                <w:rFonts w:hint="eastAsia" w:cs="宋体"/>
                <w:kern w:val="0"/>
              </w:rPr>
              <w:t>产经济损失</w:t>
            </w:r>
          </w:p>
        </w:tc>
        <w:tc>
          <w:tcPr>
            <w:tcW w:w="7511" w:type="dxa"/>
            <w:gridSpan w:val="7"/>
            <w:tcBorders>
              <w:top w:val="single" w:color="000000" w:sz="6" w:space="0"/>
              <w:left w:val="single" w:color="000000" w:sz="4" w:space="0"/>
              <w:bottom w:val="single" w:color="000000" w:sz="4" w:space="0"/>
              <w:right w:val="single" w:color="000000" w:sz="4" w:space="0"/>
            </w:tcBorders>
            <w:vAlign w:val="center"/>
          </w:tcPr>
          <w:p>
            <w:pPr>
              <w:pStyle w:val="340"/>
              <w:rPr>
                <w:kern w:val="0"/>
              </w:rPr>
            </w:pPr>
          </w:p>
        </w:tc>
      </w:tr>
    </w:tbl>
    <w:p>
      <w:pPr>
        <w:ind w:firstLine="480"/>
        <w:rPr>
          <w:snapToGrid w:val="0"/>
        </w:rPr>
      </w:pPr>
      <w:r>
        <w:rPr>
          <w:snapToGrid w:val="0"/>
        </w:rPr>
        <w:t>1</w:t>
      </w:r>
      <w:r>
        <w:rPr>
          <w:rFonts w:hint="eastAsia" w:cs="宋体"/>
          <w:snapToGrid w:val="0"/>
        </w:rPr>
        <w:t>、公司突发环境事故报告表</w:t>
      </w:r>
      <w:r>
        <w:rPr>
          <w:snapToGrid w:val="0"/>
        </w:rPr>
        <w:t>(</w:t>
      </w:r>
      <w:r>
        <w:rPr>
          <w:rFonts w:hint="eastAsia" w:cs="宋体"/>
          <w:snapToGrid w:val="0"/>
        </w:rPr>
        <w:t>初报</w:t>
      </w:r>
      <w:r>
        <w:rPr>
          <w:snapToGrid w:val="0"/>
        </w:rPr>
        <w:t>)</w:t>
      </w:r>
    </w:p>
    <w:p>
      <w:pPr>
        <w:ind w:firstLine="480"/>
        <w:rPr>
          <w:snapToGrid w:val="0"/>
        </w:rPr>
        <w:sectPr>
          <w:pgSz w:w="11906" w:h="16838"/>
          <w:pgMar w:top="1134" w:right="1134" w:bottom="1134" w:left="1134" w:header="851" w:footer="992" w:gutter="0"/>
          <w:cols w:space="720" w:num="1"/>
          <w:docGrid w:type="lines" w:linePitch="381" w:charSpace="0"/>
        </w:sectPr>
      </w:pPr>
    </w:p>
    <w:p>
      <w:pPr>
        <w:ind w:firstLine="480"/>
        <w:rPr>
          <w:snapToGrid w:val="0"/>
        </w:rPr>
      </w:pPr>
    </w:p>
    <w:p>
      <w:pPr>
        <w:ind w:firstLine="480"/>
        <w:rPr>
          <w:snapToGrid w:val="0"/>
        </w:rPr>
      </w:pPr>
      <w:r>
        <w:rPr>
          <w:snapToGrid w:val="0"/>
        </w:rPr>
        <w:t>2</w:t>
      </w:r>
      <w:r>
        <w:rPr>
          <w:rFonts w:hint="eastAsia" w:cs="宋体"/>
          <w:snapToGrid w:val="0"/>
        </w:rPr>
        <w:t>、公司突发环境事件报告表</w:t>
      </w:r>
      <w:r>
        <w:rPr>
          <w:snapToGrid w:val="0"/>
        </w:rPr>
        <w:t>(</w:t>
      </w:r>
      <w:r>
        <w:rPr>
          <w:rFonts w:hint="eastAsia" w:cs="宋体"/>
          <w:snapToGrid w:val="0"/>
        </w:rPr>
        <w:t>处理结果报告</w:t>
      </w:r>
      <w:r>
        <w:rPr>
          <w:snapToGrid w:val="0"/>
        </w:rPr>
        <w:t>)</w:t>
      </w:r>
    </w:p>
    <w:tbl>
      <w:tblPr>
        <w:tblStyle w:val="48"/>
        <w:tblW w:w="0" w:type="auto"/>
        <w:jc w:val="center"/>
        <w:tblLayout w:type="fixed"/>
        <w:tblCellMar>
          <w:top w:w="0" w:type="dxa"/>
          <w:left w:w="0" w:type="dxa"/>
          <w:bottom w:w="0" w:type="dxa"/>
          <w:right w:w="0" w:type="dxa"/>
        </w:tblCellMar>
      </w:tblPr>
      <w:tblGrid>
        <w:gridCol w:w="238"/>
        <w:gridCol w:w="1825"/>
        <w:gridCol w:w="533"/>
        <w:gridCol w:w="847"/>
        <w:gridCol w:w="1662"/>
        <w:gridCol w:w="42"/>
        <w:gridCol w:w="1559"/>
        <w:gridCol w:w="2933"/>
      </w:tblGrid>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报告方式</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电话报告或网络报告</w:t>
            </w: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报告人</w:t>
            </w: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报告时间</w:t>
            </w:r>
          </w:p>
        </w:tc>
        <w:tc>
          <w:tcPr>
            <w:tcW w:w="1380" w:type="dxa"/>
            <w:gridSpan w:val="2"/>
            <w:tcBorders>
              <w:top w:val="single" w:color="000000" w:sz="6" w:space="0"/>
              <w:left w:val="single" w:color="000000" w:sz="4" w:space="0"/>
              <w:bottom w:val="single" w:color="000000" w:sz="6" w:space="0"/>
              <w:right w:val="nil"/>
            </w:tcBorders>
            <w:vAlign w:val="center"/>
          </w:tcPr>
          <w:p>
            <w:pPr>
              <w:pStyle w:val="340"/>
              <w:rPr>
                <w:kern w:val="0"/>
              </w:rPr>
            </w:pPr>
            <w:r>
              <w:rPr>
                <w:rFonts w:hint="eastAsia" w:cs="宋体"/>
                <w:kern w:val="0"/>
              </w:rPr>
              <w:t>年</w:t>
            </w:r>
          </w:p>
        </w:tc>
        <w:tc>
          <w:tcPr>
            <w:tcW w:w="1662" w:type="dxa"/>
            <w:tcBorders>
              <w:top w:val="single" w:color="000000" w:sz="6" w:space="0"/>
              <w:left w:val="nil"/>
              <w:bottom w:val="single" w:color="000000" w:sz="6" w:space="0"/>
              <w:right w:val="nil"/>
            </w:tcBorders>
            <w:vAlign w:val="center"/>
          </w:tcPr>
          <w:p>
            <w:pPr>
              <w:pStyle w:val="340"/>
              <w:rPr>
                <w:kern w:val="0"/>
              </w:rPr>
            </w:pPr>
            <w:r>
              <w:rPr>
                <w:rFonts w:hint="eastAsia" w:cs="宋体"/>
                <w:kern w:val="0"/>
              </w:rPr>
              <w:t>月</w:t>
            </w:r>
          </w:p>
        </w:tc>
        <w:tc>
          <w:tcPr>
            <w:tcW w:w="4534" w:type="dxa"/>
            <w:gridSpan w:val="3"/>
            <w:tcBorders>
              <w:top w:val="single" w:color="000000" w:sz="6" w:space="0"/>
              <w:left w:val="nil"/>
              <w:bottom w:val="single" w:color="000000" w:sz="6" w:space="0"/>
              <w:right w:val="single" w:color="000000" w:sz="4" w:space="0"/>
            </w:tcBorders>
            <w:vAlign w:val="center"/>
          </w:tcPr>
          <w:p>
            <w:pPr>
              <w:pStyle w:val="340"/>
              <w:rPr>
                <w:kern w:val="0"/>
              </w:rPr>
            </w:pPr>
            <w:r>
              <w:rPr>
                <w:rFonts w:hint="eastAsia" w:cs="宋体"/>
                <w:kern w:val="0"/>
              </w:rPr>
              <w:t>日</w:t>
            </w:r>
            <w:r>
              <w:rPr>
                <w:kern w:val="0"/>
              </w:rPr>
              <w:tab/>
            </w:r>
            <w:r>
              <w:rPr>
                <w:rFonts w:hint="eastAsia" w:cs="宋体"/>
                <w:kern w:val="0"/>
              </w:rPr>
              <w:t>时</w:t>
            </w:r>
            <w:r>
              <w:rPr>
                <w:kern w:val="0"/>
              </w:rPr>
              <w:tab/>
            </w:r>
            <w:r>
              <w:rPr>
                <w:rFonts w:hint="eastAsia" w:cs="宋体"/>
                <w:kern w:val="0"/>
              </w:rPr>
              <w:t>分</w:t>
            </w:r>
          </w:p>
        </w:tc>
      </w:tr>
      <w:tr>
        <w:tblPrEx>
          <w:tblCellMar>
            <w:top w:w="0" w:type="dxa"/>
            <w:left w:w="0" w:type="dxa"/>
            <w:bottom w:w="0" w:type="dxa"/>
            <w:right w:w="0" w:type="dxa"/>
          </w:tblCellMar>
        </w:tblPrEx>
        <w:trPr>
          <w:trHeight w:val="454" w:hRule="atLeast"/>
          <w:jc w:val="center"/>
        </w:trPr>
        <w:tc>
          <w:tcPr>
            <w:tcW w:w="2063" w:type="dxa"/>
            <w:gridSpan w:val="2"/>
            <w:vMerge w:val="restart"/>
            <w:tcBorders>
              <w:top w:val="single" w:color="000000" w:sz="6" w:space="0"/>
              <w:left w:val="single" w:color="000000" w:sz="4" w:space="0"/>
              <w:right w:val="single" w:color="000000" w:sz="4" w:space="0"/>
            </w:tcBorders>
            <w:vAlign w:val="center"/>
          </w:tcPr>
          <w:p>
            <w:pPr>
              <w:pStyle w:val="340"/>
              <w:rPr>
                <w:kern w:val="0"/>
              </w:rPr>
            </w:pPr>
            <w:r>
              <w:rPr>
                <w:rFonts w:hint="eastAsia" w:cs="宋体"/>
                <w:kern w:val="0"/>
              </w:rPr>
              <w:t>报告顺序</w:t>
            </w:r>
          </w:p>
        </w:tc>
        <w:tc>
          <w:tcPr>
            <w:tcW w:w="5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1</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公司应急指挥中心</w:t>
            </w: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当班调度通知相关部门</w:t>
            </w:r>
          </w:p>
        </w:tc>
      </w:tr>
      <w:tr>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2</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九江市环保局</w:t>
            </w: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3</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rPr>
              <w:t>九江市</w:t>
            </w:r>
            <w:r>
              <w:rPr>
                <w:rFonts w:hint="eastAsia" w:cs="宋体"/>
                <w:kern w:val="0"/>
              </w:rPr>
              <w:t>安监局</w:t>
            </w: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jc w:val="center"/>
        </w:trPr>
        <w:tc>
          <w:tcPr>
            <w:tcW w:w="2063" w:type="dxa"/>
            <w:gridSpan w:val="2"/>
            <w:vMerge w:val="continue"/>
            <w:tcBorders>
              <w:left w:val="single" w:color="000000" w:sz="4" w:space="0"/>
              <w:right w:val="single" w:color="000000" w:sz="4" w:space="0"/>
            </w:tcBorders>
            <w:vAlign w:val="center"/>
          </w:tcPr>
          <w:p>
            <w:pPr>
              <w:ind w:firstLine="480"/>
            </w:pPr>
          </w:p>
        </w:tc>
        <w:tc>
          <w:tcPr>
            <w:tcW w:w="5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4</w:t>
            </w:r>
          </w:p>
        </w:tc>
        <w:tc>
          <w:tcPr>
            <w:tcW w:w="2551" w:type="dxa"/>
            <w:gridSpan w:val="3"/>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rPr>
              <w:t>九江市消防大队</w:t>
            </w: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据事件级别逐级上报</w:t>
            </w: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单位名称</w:t>
            </w:r>
          </w:p>
        </w:tc>
        <w:tc>
          <w:tcPr>
            <w:tcW w:w="7576" w:type="dxa"/>
            <w:gridSpan w:val="6"/>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地址</w:t>
            </w:r>
          </w:p>
        </w:tc>
        <w:tc>
          <w:tcPr>
            <w:tcW w:w="1380" w:type="dxa"/>
            <w:gridSpan w:val="2"/>
            <w:tcBorders>
              <w:top w:val="single" w:color="000000" w:sz="6" w:space="0"/>
              <w:left w:val="single" w:color="000000" w:sz="4" w:space="0"/>
              <w:bottom w:val="single" w:color="000000" w:sz="6" w:space="0"/>
              <w:right w:val="nil"/>
            </w:tcBorders>
            <w:vAlign w:val="center"/>
          </w:tcPr>
          <w:p>
            <w:pPr>
              <w:pStyle w:val="340"/>
              <w:rPr>
                <w:kern w:val="0"/>
              </w:rPr>
            </w:pPr>
            <w:r>
              <w:rPr>
                <w:rFonts w:hint="eastAsia" w:cs="宋体"/>
                <w:kern w:val="0"/>
              </w:rPr>
              <w:t>省</w:t>
            </w:r>
          </w:p>
        </w:tc>
        <w:tc>
          <w:tcPr>
            <w:tcW w:w="1662" w:type="dxa"/>
            <w:tcBorders>
              <w:top w:val="single" w:color="000000" w:sz="6" w:space="0"/>
              <w:left w:val="nil"/>
              <w:bottom w:val="single" w:color="000000" w:sz="6" w:space="0"/>
              <w:right w:val="nil"/>
            </w:tcBorders>
            <w:vAlign w:val="center"/>
          </w:tcPr>
          <w:p>
            <w:pPr>
              <w:pStyle w:val="340"/>
              <w:rPr>
                <w:kern w:val="0"/>
              </w:rPr>
            </w:pPr>
            <w:r>
              <w:rPr>
                <w:rFonts w:hint="eastAsia" w:cs="宋体"/>
                <w:kern w:val="0"/>
              </w:rPr>
              <w:t>市</w:t>
            </w:r>
            <w:r>
              <w:rPr>
                <w:kern w:val="0"/>
              </w:rPr>
              <w:tab/>
            </w:r>
            <w:r>
              <w:rPr>
                <w:rFonts w:hint="eastAsia" w:cs="宋体"/>
                <w:kern w:val="0"/>
              </w:rPr>
              <w:t>区</w:t>
            </w:r>
          </w:p>
        </w:tc>
        <w:tc>
          <w:tcPr>
            <w:tcW w:w="4534" w:type="dxa"/>
            <w:gridSpan w:val="3"/>
            <w:tcBorders>
              <w:top w:val="single" w:color="000000" w:sz="6" w:space="0"/>
              <w:left w:val="nil"/>
              <w:bottom w:val="single" w:color="000000" w:sz="6" w:space="0"/>
              <w:right w:val="single" w:color="000000" w:sz="4" w:space="0"/>
            </w:tcBorders>
            <w:vAlign w:val="center"/>
          </w:tcPr>
          <w:p>
            <w:pPr>
              <w:pStyle w:val="340"/>
              <w:rPr>
                <w:kern w:val="0"/>
              </w:rPr>
            </w:pPr>
            <w:r>
              <w:rPr>
                <w:rFonts w:hint="eastAsia" w:cs="宋体"/>
                <w:kern w:val="0"/>
              </w:rPr>
              <w:t>街道</w:t>
            </w:r>
            <w:r>
              <w:rPr>
                <w:kern w:val="0"/>
              </w:rPr>
              <w:t>(</w:t>
            </w:r>
            <w:r>
              <w:rPr>
                <w:rFonts w:hint="eastAsia" w:cs="宋体"/>
                <w:kern w:val="0"/>
              </w:rPr>
              <w:t>乡、镇</w:t>
            </w:r>
            <w:r>
              <w:rPr>
                <w:kern w:val="0"/>
              </w:rPr>
              <w:t>)</w:t>
            </w:r>
            <w:r>
              <w:rPr>
                <w:kern w:val="0"/>
              </w:rPr>
              <w:tab/>
            </w:r>
            <w:r>
              <w:rPr>
                <w:rFonts w:hint="eastAsia" w:cs="宋体"/>
                <w:kern w:val="0"/>
              </w:rPr>
              <w:t>路</w:t>
            </w:r>
            <w:r>
              <w:rPr>
                <w:kern w:val="0"/>
              </w:rPr>
              <w:tab/>
            </w:r>
            <w:r>
              <w:rPr>
                <w:rFonts w:hint="eastAsia" w:cs="宋体"/>
                <w:kern w:val="0"/>
              </w:rPr>
              <w:t>号</w:t>
            </w: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法人代表</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联系电话</w:t>
            </w: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传真</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kern w:val="0"/>
              </w:rPr>
              <w:t>Email</w:t>
            </w: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发生位置</w:t>
            </w:r>
          </w:p>
        </w:tc>
        <w:tc>
          <w:tcPr>
            <w:tcW w:w="3084" w:type="dxa"/>
            <w:gridSpan w:val="4"/>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1559"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设备设施名称</w:t>
            </w: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物料名称</w:t>
            </w:r>
          </w:p>
        </w:tc>
        <w:tc>
          <w:tcPr>
            <w:tcW w:w="7576" w:type="dxa"/>
            <w:gridSpan w:val="6"/>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类型</w:t>
            </w:r>
          </w:p>
        </w:tc>
        <w:tc>
          <w:tcPr>
            <w:tcW w:w="1380" w:type="dxa"/>
            <w:gridSpan w:val="2"/>
            <w:tcBorders>
              <w:top w:val="single" w:color="000000" w:sz="6" w:space="0"/>
              <w:left w:val="single" w:color="000000" w:sz="4" w:space="0"/>
              <w:bottom w:val="single" w:color="000000" w:sz="6" w:space="0"/>
              <w:right w:val="nil"/>
            </w:tcBorders>
            <w:vAlign w:val="center"/>
          </w:tcPr>
          <w:p>
            <w:pPr>
              <w:pStyle w:val="340"/>
              <w:rPr>
                <w:kern w:val="0"/>
              </w:rPr>
            </w:pPr>
            <w:r>
              <w:rPr>
                <w:kern w:val="0"/>
              </w:rPr>
              <w:t>□</w:t>
            </w:r>
            <w:r>
              <w:rPr>
                <w:rFonts w:hint="eastAsia" w:cs="宋体"/>
                <w:kern w:val="0"/>
              </w:rPr>
              <w:t>火灾</w:t>
            </w:r>
          </w:p>
        </w:tc>
        <w:tc>
          <w:tcPr>
            <w:tcW w:w="1662" w:type="dxa"/>
            <w:tcBorders>
              <w:top w:val="single" w:color="000000" w:sz="6" w:space="0"/>
              <w:left w:val="nil"/>
              <w:bottom w:val="single" w:color="000000" w:sz="6" w:space="0"/>
              <w:right w:val="nil"/>
            </w:tcBorders>
            <w:vAlign w:val="center"/>
          </w:tcPr>
          <w:p>
            <w:pPr>
              <w:pStyle w:val="340"/>
              <w:rPr>
                <w:kern w:val="0"/>
              </w:rPr>
            </w:pPr>
            <w:r>
              <w:rPr>
                <w:kern w:val="0"/>
              </w:rPr>
              <w:t>□</w:t>
            </w:r>
            <w:r>
              <w:rPr>
                <w:rFonts w:hint="eastAsia" w:cs="宋体"/>
                <w:kern w:val="0"/>
              </w:rPr>
              <w:t>泄漏</w:t>
            </w:r>
          </w:p>
        </w:tc>
        <w:tc>
          <w:tcPr>
            <w:tcW w:w="4534" w:type="dxa"/>
            <w:gridSpan w:val="3"/>
            <w:tcBorders>
              <w:top w:val="single" w:color="000000" w:sz="6" w:space="0"/>
              <w:left w:val="nil"/>
              <w:bottom w:val="single" w:color="000000" w:sz="6" w:space="0"/>
              <w:right w:val="single" w:color="000000" w:sz="4" w:space="0"/>
            </w:tcBorders>
            <w:vAlign w:val="center"/>
          </w:tcPr>
          <w:p>
            <w:pPr>
              <w:pStyle w:val="340"/>
              <w:rPr>
                <w:kern w:val="0"/>
              </w:rPr>
            </w:pPr>
            <w:r>
              <w:rPr>
                <w:kern w:val="0"/>
              </w:rPr>
              <w:t>□</w:t>
            </w:r>
            <w:r>
              <w:rPr>
                <w:rFonts w:hint="eastAsia" w:cs="宋体"/>
                <w:kern w:val="0"/>
              </w:rPr>
              <w:t>爆炸</w:t>
            </w:r>
            <w:r>
              <w:rPr>
                <w:kern w:val="0"/>
              </w:rPr>
              <w:t xml:space="preserve">    □</w:t>
            </w:r>
            <w:r>
              <w:rPr>
                <w:rFonts w:hint="eastAsia" w:cs="宋体"/>
                <w:kern w:val="0"/>
              </w:rPr>
              <w:t>其它</w:t>
            </w: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污染物名称</w:t>
            </w:r>
          </w:p>
        </w:tc>
        <w:tc>
          <w:tcPr>
            <w:tcW w:w="4643" w:type="dxa"/>
            <w:gridSpan w:val="5"/>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数量</w:t>
            </w: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r>
              <w:rPr>
                <w:rFonts w:hint="eastAsia" w:cs="宋体"/>
                <w:kern w:val="0"/>
              </w:rPr>
              <w:t>排放去向</w:t>
            </w: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4643" w:type="dxa"/>
            <w:gridSpan w:val="5"/>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c>
          <w:tcPr>
            <w:tcW w:w="2933" w:type="dxa"/>
            <w:tcBorders>
              <w:top w:val="single" w:color="000000" w:sz="6" w:space="0"/>
              <w:left w:val="single" w:color="000000" w:sz="4" w:space="0"/>
              <w:bottom w:val="single" w:color="000000" w:sz="6" w:space="0"/>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2063" w:type="dxa"/>
            <w:gridSpan w:val="2"/>
            <w:tcBorders>
              <w:top w:val="single" w:color="000000" w:sz="6" w:space="0"/>
              <w:left w:val="single" w:color="000000" w:sz="4" w:space="0"/>
              <w:bottom w:val="nil"/>
              <w:right w:val="nil"/>
            </w:tcBorders>
            <w:vAlign w:val="center"/>
          </w:tcPr>
          <w:p>
            <w:pPr>
              <w:pStyle w:val="340"/>
              <w:rPr>
                <w:kern w:val="0"/>
              </w:rPr>
            </w:pPr>
            <w:r>
              <w:rPr>
                <w:rFonts w:hint="eastAsia" w:cs="宋体"/>
                <w:kern w:val="0"/>
              </w:rPr>
              <w:t>报告正文：</w:t>
            </w:r>
          </w:p>
        </w:tc>
        <w:tc>
          <w:tcPr>
            <w:tcW w:w="1380" w:type="dxa"/>
            <w:gridSpan w:val="2"/>
            <w:tcBorders>
              <w:top w:val="single" w:color="000000" w:sz="6" w:space="0"/>
              <w:left w:val="nil"/>
              <w:bottom w:val="nil"/>
              <w:right w:val="nil"/>
            </w:tcBorders>
            <w:vAlign w:val="center"/>
          </w:tcPr>
          <w:p>
            <w:pPr>
              <w:pStyle w:val="340"/>
              <w:rPr>
                <w:kern w:val="0"/>
              </w:rPr>
            </w:pPr>
          </w:p>
        </w:tc>
        <w:tc>
          <w:tcPr>
            <w:tcW w:w="1662" w:type="dxa"/>
            <w:tcBorders>
              <w:top w:val="single" w:color="000000" w:sz="6" w:space="0"/>
              <w:left w:val="nil"/>
              <w:bottom w:val="nil"/>
              <w:right w:val="nil"/>
            </w:tcBorders>
            <w:vAlign w:val="center"/>
          </w:tcPr>
          <w:p>
            <w:pPr>
              <w:pStyle w:val="340"/>
              <w:rPr>
                <w:kern w:val="0"/>
              </w:rPr>
            </w:pPr>
          </w:p>
        </w:tc>
        <w:tc>
          <w:tcPr>
            <w:tcW w:w="4534" w:type="dxa"/>
            <w:gridSpan w:val="3"/>
            <w:tcBorders>
              <w:top w:val="single" w:color="000000" w:sz="6" w:space="0"/>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pPr>
              <w:pStyle w:val="340"/>
              <w:rPr>
                <w:kern w:val="0"/>
              </w:rPr>
            </w:pPr>
            <w:r>
              <w:rPr>
                <w:rFonts w:hint="eastAsia" w:cs="宋体"/>
                <w:kern w:val="0"/>
              </w:rPr>
              <w:t>处理事件的措施、过程和结果：</w:t>
            </w: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3443" w:type="dxa"/>
            <w:gridSpan w:val="4"/>
            <w:tcBorders>
              <w:top w:val="nil"/>
              <w:left w:val="single" w:color="000000" w:sz="4" w:space="0"/>
              <w:bottom w:val="nil"/>
              <w:right w:val="nil"/>
            </w:tcBorders>
            <w:vAlign w:val="center"/>
          </w:tcPr>
          <w:p>
            <w:pPr>
              <w:pStyle w:val="340"/>
              <w:rPr>
                <w:kern w:val="0"/>
              </w:rPr>
            </w:pPr>
          </w:p>
          <w:p>
            <w:pPr>
              <w:pStyle w:val="340"/>
              <w:rPr>
                <w:kern w:val="0"/>
              </w:rPr>
            </w:pPr>
            <w:r>
              <w:rPr>
                <w:rFonts w:hint="eastAsia" w:cs="宋体"/>
                <w:kern w:val="0"/>
              </w:rPr>
              <w:t>污染的范围和程度：</w:t>
            </w:r>
          </w:p>
        </w:tc>
        <w:tc>
          <w:tcPr>
            <w:tcW w:w="1662" w:type="dxa"/>
            <w:tcBorders>
              <w:top w:val="nil"/>
              <w:left w:val="nil"/>
              <w:bottom w:val="nil"/>
              <w:right w:val="nil"/>
            </w:tcBorders>
            <w:vAlign w:val="center"/>
          </w:tcPr>
          <w:p>
            <w:pPr>
              <w:pStyle w:val="340"/>
              <w:rPr>
                <w:kern w:val="0"/>
              </w:rPr>
            </w:pP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pPr>
              <w:pStyle w:val="340"/>
              <w:rPr>
                <w:kern w:val="0"/>
              </w:rPr>
            </w:pPr>
          </w:p>
          <w:p>
            <w:pPr>
              <w:pStyle w:val="340"/>
              <w:rPr>
                <w:kern w:val="0"/>
              </w:rPr>
            </w:pPr>
            <w:r>
              <w:rPr>
                <w:rFonts w:hint="eastAsia" w:cs="宋体"/>
                <w:kern w:val="0"/>
              </w:rPr>
              <w:t>事件潜在或间接的危害、社会影响：</w:t>
            </w: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3443" w:type="dxa"/>
            <w:gridSpan w:val="4"/>
            <w:tcBorders>
              <w:top w:val="nil"/>
              <w:left w:val="single" w:color="000000" w:sz="4" w:space="0"/>
              <w:bottom w:val="nil"/>
              <w:right w:val="nil"/>
            </w:tcBorders>
            <w:vAlign w:val="center"/>
          </w:tcPr>
          <w:p>
            <w:pPr>
              <w:pStyle w:val="340"/>
              <w:rPr>
                <w:kern w:val="0"/>
              </w:rPr>
            </w:pPr>
          </w:p>
          <w:p>
            <w:pPr>
              <w:pStyle w:val="340"/>
              <w:rPr>
                <w:kern w:val="0"/>
              </w:rPr>
            </w:pPr>
            <w:r>
              <w:rPr>
                <w:rFonts w:hint="eastAsia" w:cs="宋体"/>
                <w:kern w:val="0"/>
              </w:rPr>
              <w:t>处理后的遗留问题：</w:t>
            </w:r>
          </w:p>
        </w:tc>
        <w:tc>
          <w:tcPr>
            <w:tcW w:w="1662" w:type="dxa"/>
            <w:tcBorders>
              <w:top w:val="nil"/>
              <w:left w:val="nil"/>
              <w:bottom w:val="nil"/>
              <w:right w:val="nil"/>
            </w:tcBorders>
            <w:vAlign w:val="center"/>
          </w:tcPr>
          <w:p>
            <w:pPr>
              <w:pStyle w:val="340"/>
              <w:rPr>
                <w:kern w:val="0"/>
              </w:rPr>
            </w:pP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pPr>
              <w:pStyle w:val="340"/>
              <w:rPr>
                <w:kern w:val="0"/>
              </w:rPr>
            </w:pPr>
          </w:p>
          <w:p>
            <w:pPr>
              <w:pStyle w:val="340"/>
              <w:rPr>
                <w:kern w:val="0"/>
              </w:rPr>
            </w:pPr>
            <w:r>
              <w:rPr>
                <w:rFonts w:hint="eastAsia" w:cs="宋体"/>
                <w:kern w:val="0"/>
              </w:rPr>
              <w:t>参加处理工作的有关部门和工作内容：</w:t>
            </w: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454" w:hRule="atLeast"/>
          <w:jc w:val="center"/>
        </w:trPr>
        <w:tc>
          <w:tcPr>
            <w:tcW w:w="5105" w:type="dxa"/>
            <w:gridSpan w:val="5"/>
            <w:tcBorders>
              <w:top w:val="nil"/>
              <w:left w:val="single" w:color="000000" w:sz="4" w:space="0"/>
              <w:bottom w:val="nil"/>
              <w:right w:val="nil"/>
            </w:tcBorders>
            <w:vAlign w:val="center"/>
          </w:tcPr>
          <w:p>
            <w:pPr>
              <w:pStyle w:val="340"/>
              <w:rPr>
                <w:kern w:val="0"/>
              </w:rPr>
            </w:pPr>
          </w:p>
          <w:p>
            <w:pPr>
              <w:pStyle w:val="340"/>
              <w:rPr>
                <w:kern w:val="0"/>
              </w:rPr>
            </w:pPr>
            <w:r>
              <w:rPr>
                <w:rFonts w:hint="eastAsia" w:cs="宋体"/>
                <w:kern w:val="0"/>
              </w:rPr>
              <w:t>有关危害与损失的证明文件等详细情况。</w:t>
            </w:r>
          </w:p>
        </w:tc>
        <w:tc>
          <w:tcPr>
            <w:tcW w:w="4534" w:type="dxa"/>
            <w:gridSpan w:val="3"/>
            <w:tcBorders>
              <w:top w:val="nil"/>
              <w:left w:val="nil"/>
              <w:bottom w:val="nil"/>
              <w:right w:val="single" w:color="000000" w:sz="4" w:space="0"/>
            </w:tcBorders>
            <w:vAlign w:val="center"/>
          </w:tcPr>
          <w:p>
            <w:pPr>
              <w:pStyle w:val="340"/>
              <w:rPr>
                <w:kern w:val="0"/>
              </w:rPr>
            </w:pPr>
          </w:p>
        </w:tc>
      </w:tr>
      <w:tr>
        <w:tblPrEx>
          <w:tblCellMar>
            <w:top w:w="0" w:type="dxa"/>
            <w:left w:w="0" w:type="dxa"/>
            <w:bottom w:w="0" w:type="dxa"/>
            <w:right w:w="0" w:type="dxa"/>
          </w:tblCellMar>
        </w:tblPrEx>
        <w:trPr>
          <w:trHeight w:val="250" w:hRule="atLeast"/>
          <w:jc w:val="center"/>
        </w:trPr>
        <w:tc>
          <w:tcPr>
            <w:tcW w:w="238" w:type="dxa"/>
            <w:tcBorders>
              <w:top w:val="nil"/>
              <w:left w:val="single" w:color="000000" w:sz="4" w:space="0"/>
              <w:bottom w:val="single" w:color="000000" w:sz="4" w:space="0"/>
              <w:right w:val="nil"/>
            </w:tcBorders>
            <w:vAlign w:val="center"/>
          </w:tcPr>
          <w:p>
            <w:pPr>
              <w:pStyle w:val="340"/>
              <w:rPr>
                <w:kern w:val="0"/>
              </w:rPr>
            </w:pPr>
          </w:p>
        </w:tc>
        <w:tc>
          <w:tcPr>
            <w:tcW w:w="1825" w:type="dxa"/>
            <w:tcBorders>
              <w:top w:val="nil"/>
              <w:left w:val="nil"/>
              <w:bottom w:val="single" w:color="000000" w:sz="4" w:space="0"/>
              <w:right w:val="nil"/>
            </w:tcBorders>
            <w:vAlign w:val="center"/>
          </w:tcPr>
          <w:p>
            <w:pPr>
              <w:pStyle w:val="340"/>
              <w:rPr>
                <w:kern w:val="0"/>
              </w:rPr>
            </w:pPr>
          </w:p>
        </w:tc>
        <w:tc>
          <w:tcPr>
            <w:tcW w:w="1380" w:type="dxa"/>
            <w:gridSpan w:val="2"/>
            <w:tcBorders>
              <w:top w:val="nil"/>
              <w:left w:val="nil"/>
              <w:bottom w:val="single" w:color="000000" w:sz="4" w:space="0"/>
              <w:right w:val="nil"/>
            </w:tcBorders>
            <w:vAlign w:val="center"/>
          </w:tcPr>
          <w:p>
            <w:pPr>
              <w:pStyle w:val="340"/>
              <w:rPr>
                <w:kern w:val="0"/>
              </w:rPr>
            </w:pPr>
          </w:p>
        </w:tc>
        <w:tc>
          <w:tcPr>
            <w:tcW w:w="1662" w:type="dxa"/>
            <w:tcBorders>
              <w:top w:val="nil"/>
              <w:left w:val="nil"/>
              <w:bottom w:val="single" w:color="000000" w:sz="4" w:space="0"/>
              <w:right w:val="nil"/>
            </w:tcBorders>
            <w:vAlign w:val="center"/>
          </w:tcPr>
          <w:p>
            <w:pPr>
              <w:pStyle w:val="340"/>
              <w:rPr>
                <w:kern w:val="0"/>
              </w:rPr>
            </w:pPr>
          </w:p>
        </w:tc>
        <w:tc>
          <w:tcPr>
            <w:tcW w:w="4534" w:type="dxa"/>
            <w:gridSpan w:val="3"/>
            <w:tcBorders>
              <w:top w:val="nil"/>
              <w:left w:val="nil"/>
              <w:bottom w:val="single" w:color="000000" w:sz="4" w:space="0"/>
              <w:right w:val="single" w:color="000000" w:sz="4" w:space="0"/>
            </w:tcBorders>
            <w:vAlign w:val="center"/>
          </w:tcPr>
          <w:p>
            <w:pPr>
              <w:pStyle w:val="340"/>
              <w:rPr>
                <w:kern w:val="0"/>
              </w:rPr>
            </w:pPr>
            <w:r>
              <w:rPr>
                <w:rFonts w:hint="eastAsia" w:cs="宋体"/>
                <w:kern w:val="0"/>
              </w:rPr>
              <w:t>（不够可附页）</w:t>
            </w:r>
          </w:p>
        </w:tc>
      </w:tr>
    </w:tbl>
    <w:p>
      <w:pPr>
        <w:ind w:firstLine="0" w:firstLineChars="0"/>
        <w:rPr>
          <w:b/>
          <w:bCs/>
          <w:sz w:val="32"/>
          <w:szCs w:val="32"/>
        </w:rPr>
        <w:sectPr>
          <w:pgSz w:w="11906" w:h="16838"/>
          <w:pgMar w:top="1134" w:right="1134" w:bottom="1134" w:left="1134" w:header="851" w:footer="992" w:gutter="0"/>
          <w:cols w:space="720" w:num="1"/>
          <w:docGrid w:type="lines" w:linePitch="381" w:charSpace="0"/>
        </w:sectPr>
      </w:pPr>
    </w:p>
    <w:p>
      <w:pPr>
        <w:ind w:firstLine="480"/>
        <w:rPr>
          <w:snapToGrid w:val="0"/>
        </w:rPr>
      </w:pPr>
      <w:r>
        <w:rPr>
          <w:snapToGrid w:val="0"/>
        </w:rPr>
        <w:t>3</w:t>
      </w:r>
      <w:r>
        <w:rPr>
          <w:rFonts w:hint="eastAsia" w:cs="宋体"/>
          <w:snapToGrid w:val="0"/>
        </w:rPr>
        <w:t>、公司突发环境事件内部信息传报表格</w:t>
      </w:r>
    </w:p>
    <w:tbl>
      <w:tblPr>
        <w:tblStyle w:val="48"/>
        <w:tblW w:w="0" w:type="auto"/>
        <w:jc w:val="center"/>
        <w:tblLayout w:type="fixed"/>
        <w:tblCellMar>
          <w:top w:w="0" w:type="dxa"/>
          <w:left w:w="108" w:type="dxa"/>
          <w:bottom w:w="0" w:type="dxa"/>
          <w:right w:w="108" w:type="dxa"/>
        </w:tblCellMar>
      </w:tblPr>
      <w:tblGrid>
        <w:gridCol w:w="1145"/>
        <w:gridCol w:w="1085"/>
        <w:gridCol w:w="1497"/>
        <w:gridCol w:w="1573"/>
        <w:gridCol w:w="229"/>
        <w:gridCol w:w="1879"/>
        <w:gridCol w:w="229"/>
        <w:gridCol w:w="1894"/>
      </w:tblGrid>
      <w:tr>
        <w:tblPrEx>
          <w:tblCellMar>
            <w:top w:w="0" w:type="dxa"/>
            <w:left w:w="108" w:type="dxa"/>
            <w:bottom w:w="0" w:type="dxa"/>
            <w:right w:w="108" w:type="dxa"/>
          </w:tblCellMar>
        </w:tblPrEx>
        <w:trPr>
          <w:cantSplit/>
          <w:trHeight w:val="455"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事故发生场所</w:t>
            </w:r>
          </w:p>
        </w:tc>
        <w:tc>
          <w:tcPr>
            <w:tcW w:w="3070" w:type="dxa"/>
            <w:gridSpan w:val="2"/>
            <w:tcBorders>
              <w:top w:val="single" w:color="auto" w:sz="6" w:space="0"/>
              <w:left w:val="single" w:color="auto" w:sz="6" w:space="0"/>
              <w:bottom w:val="single" w:color="auto" w:sz="6" w:space="0"/>
              <w:right w:val="single" w:color="auto" w:sz="6" w:space="0"/>
            </w:tcBorders>
            <w:vAlign w:val="center"/>
          </w:tcPr>
          <w:p>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环境负责人</w:t>
            </w:r>
          </w:p>
        </w:tc>
        <w:tc>
          <w:tcPr>
            <w:tcW w:w="2123" w:type="dxa"/>
            <w:gridSpan w:val="2"/>
            <w:tcBorders>
              <w:top w:val="single" w:color="auto" w:sz="6" w:space="0"/>
              <w:left w:val="single" w:color="auto" w:sz="6" w:space="0"/>
              <w:bottom w:val="single" w:color="auto" w:sz="6" w:space="0"/>
              <w:right w:val="single" w:color="auto" w:sz="6" w:space="0"/>
            </w:tcBorders>
            <w:vAlign w:val="center"/>
          </w:tcPr>
          <w:p>
            <w:pPr>
              <w:pStyle w:val="340"/>
            </w:pPr>
          </w:p>
        </w:tc>
      </w:tr>
      <w:tr>
        <w:tblPrEx>
          <w:tblCellMar>
            <w:top w:w="0" w:type="dxa"/>
            <w:left w:w="108" w:type="dxa"/>
            <w:bottom w:w="0" w:type="dxa"/>
            <w:right w:w="108" w:type="dxa"/>
          </w:tblCellMar>
        </w:tblPrEx>
        <w:trPr>
          <w:cantSplit/>
          <w:trHeight w:val="449"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事故责任人</w:t>
            </w:r>
          </w:p>
        </w:tc>
        <w:tc>
          <w:tcPr>
            <w:tcW w:w="3070" w:type="dxa"/>
            <w:gridSpan w:val="2"/>
            <w:tcBorders>
              <w:top w:val="single" w:color="auto" w:sz="6" w:space="0"/>
              <w:left w:val="single" w:color="auto" w:sz="6" w:space="0"/>
              <w:bottom w:val="single" w:color="auto" w:sz="6" w:space="0"/>
              <w:right w:val="single" w:color="auto" w:sz="6" w:space="0"/>
            </w:tcBorders>
            <w:vAlign w:val="center"/>
          </w:tcPr>
          <w:p>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事故发生时间</w:t>
            </w:r>
          </w:p>
        </w:tc>
        <w:tc>
          <w:tcPr>
            <w:tcW w:w="2123" w:type="dxa"/>
            <w:gridSpan w:val="2"/>
            <w:tcBorders>
              <w:top w:val="single" w:color="auto" w:sz="6" w:space="0"/>
              <w:left w:val="single" w:color="auto" w:sz="6" w:space="0"/>
              <w:bottom w:val="single" w:color="auto" w:sz="6" w:space="0"/>
              <w:right w:val="single" w:color="auto" w:sz="6" w:space="0"/>
            </w:tcBorders>
            <w:vAlign w:val="center"/>
          </w:tcPr>
          <w:p>
            <w:pPr>
              <w:pStyle w:val="340"/>
            </w:pPr>
          </w:p>
        </w:tc>
      </w:tr>
      <w:tr>
        <w:tblPrEx>
          <w:tblCellMar>
            <w:top w:w="0" w:type="dxa"/>
            <w:left w:w="108" w:type="dxa"/>
            <w:bottom w:w="0" w:type="dxa"/>
            <w:right w:w="108" w:type="dxa"/>
          </w:tblCellMar>
        </w:tblPrEx>
        <w:trPr>
          <w:cantSplit/>
          <w:trHeight w:val="898"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rPr>
                <w:kern w:val="0"/>
              </w:rPr>
            </w:pPr>
            <w:r>
              <w:rPr>
                <w:rFonts w:hint="eastAsia" w:cs="宋体"/>
                <w:kern w:val="0"/>
              </w:rPr>
              <w:t>是否违反相关法</w:t>
            </w:r>
          </w:p>
          <w:p>
            <w:pPr>
              <w:pStyle w:val="340"/>
            </w:pPr>
            <w:r>
              <w:rPr>
                <w:rFonts w:hint="eastAsia" w:cs="宋体"/>
                <w:kern w:val="0"/>
              </w:rPr>
              <w:t>律法规</w:t>
            </w:r>
          </w:p>
        </w:tc>
        <w:tc>
          <w:tcPr>
            <w:tcW w:w="7301" w:type="dxa"/>
            <w:gridSpan w:val="6"/>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是</w:t>
            </w:r>
            <w:r>
              <w:rPr>
                <w:kern w:val="0"/>
              </w:rPr>
              <w:t xml:space="preserve">□    </w:t>
            </w:r>
            <w:r>
              <w:rPr>
                <w:rFonts w:hint="eastAsia" w:cs="宋体"/>
                <w:kern w:val="0"/>
              </w:rPr>
              <w:t>否</w:t>
            </w:r>
            <w:r>
              <w:rPr>
                <w:kern w:val="0"/>
              </w:rPr>
              <w:t>□</w:t>
            </w:r>
          </w:p>
        </w:tc>
      </w:tr>
      <w:tr>
        <w:tblPrEx>
          <w:tblCellMar>
            <w:top w:w="0" w:type="dxa"/>
            <w:left w:w="108" w:type="dxa"/>
            <w:bottom w:w="0" w:type="dxa"/>
            <w:right w:w="108" w:type="dxa"/>
          </w:tblCellMar>
        </w:tblPrEx>
        <w:trPr>
          <w:cantSplit/>
          <w:trHeight w:val="3090"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事故发生经过</w:t>
            </w:r>
          </w:p>
        </w:tc>
        <w:tc>
          <w:tcPr>
            <w:tcW w:w="7301" w:type="dxa"/>
            <w:gridSpan w:val="6"/>
            <w:tcBorders>
              <w:top w:val="single" w:color="auto" w:sz="6" w:space="0"/>
              <w:left w:val="single" w:color="auto" w:sz="6" w:space="0"/>
              <w:bottom w:val="single" w:color="auto" w:sz="6" w:space="0"/>
              <w:right w:val="single" w:color="auto" w:sz="6" w:space="0"/>
            </w:tcBorders>
            <w:vAlign w:val="center"/>
          </w:tcPr>
          <w:p>
            <w:pPr>
              <w:pStyle w:val="340"/>
              <w:rPr>
                <w:kern w:val="0"/>
              </w:rPr>
            </w:pPr>
          </w:p>
          <w:p>
            <w:pPr>
              <w:pStyle w:val="340"/>
              <w:rPr>
                <w:kern w:val="0"/>
              </w:rPr>
            </w:pPr>
          </w:p>
          <w:p>
            <w:pPr>
              <w:pStyle w:val="340"/>
              <w:rPr>
                <w:kern w:val="0"/>
              </w:rPr>
            </w:pPr>
          </w:p>
          <w:p>
            <w:pPr>
              <w:pStyle w:val="340"/>
              <w:rPr>
                <w:kern w:val="0"/>
              </w:rPr>
            </w:pPr>
          </w:p>
          <w:p>
            <w:pPr>
              <w:pStyle w:val="340"/>
            </w:pPr>
            <w:r>
              <w:rPr>
                <w:rFonts w:hint="eastAsia" w:cs="宋体"/>
                <w:kern w:val="0"/>
              </w:rPr>
              <w:t>签名：日期：</w:t>
            </w:r>
          </w:p>
        </w:tc>
      </w:tr>
      <w:tr>
        <w:tblPrEx>
          <w:tblCellMar>
            <w:top w:w="0" w:type="dxa"/>
            <w:left w:w="108" w:type="dxa"/>
            <w:bottom w:w="0" w:type="dxa"/>
            <w:right w:w="108" w:type="dxa"/>
          </w:tblCellMar>
        </w:tblPrEx>
        <w:trPr>
          <w:cantSplit/>
          <w:trHeight w:val="2679"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事故发生原因</w:t>
            </w:r>
          </w:p>
        </w:tc>
        <w:tc>
          <w:tcPr>
            <w:tcW w:w="7301" w:type="dxa"/>
            <w:gridSpan w:val="6"/>
            <w:tcBorders>
              <w:top w:val="single" w:color="auto" w:sz="6" w:space="0"/>
              <w:left w:val="single" w:color="auto" w:sz="6" w:space="0"/>
              <w:bottom w:val="single" w:color="auto" w:sz="6" w:space="0"/>
              <w:right w:val="single" w:color="auto" w:sz="6" w:space="0"/>
            </w:tcBorders>
            <w:vAlign w:val="center"/>
          </w:tcPr>
          <w:p>
            <w:pPr>
              <w:pStyle w:val="340"/>
              <w:rPr>
                <w:kern w:val="0"/>
              </w:rPr>
            </w:pPr>
          </w:p>
          <w:p>
            <w:pPr>
              <w:pStyle w:val="340"/>
              <w:rPr>
                <w:kern w:val="0"/>
              </w:rPr>
            </w:pPr>
          </w:p>
          <w:p>
            <w:pPr>
              <w:pStyle w:val="340"/>
              <w:rPr>
                <w:kern w:val="0"/>
              </w:rPr>
            </w:pPr>
          </w:p>
          <w:p>
            <w:pPr>
              <w:pStyle w:val="340"/>
              <w:rPr>
                <w:kern w:val="0"/>
              </w:rPr>
            </w:pPr>
          </w:p>
          <w:p>
            <w:pPr>
              <w:pStyle w:val="340"/>
            </w:pPr>
            <w:r>
              <w:rPr>
                <w:rFonts w:hint="eastAsia" w:cs="宋体"/>
                <w:kern w:val="0"/>
              </w:rPr>
              <w:t>签名：日期：</w:t>
            </w:r>
          </w:p>
        </w:tc>
      </w:tr>
      <w:tr>
        <w:tblPrEx>
          <w:tblCellMar>
            <w:top w:w="0" w:type="dxa"/>
            <w:left w:w="108" w:type="dxa"/>
            <w:bottom w:w="0" w:type="dxa"/>
            <w:right w:w="108" w:type="dxa"/>
          </w:tblCellMar>
        </w:tblPrEx>
        <w:trPr>
          <w:cantSplit/>
          <w:trHeight w:val="2547"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解决方法及措施</w:t>
            </w:r>
          </w:p>
        </w:tc>
        <w:tc>
          <w:tcPr>
            <w:tcW w:w="7301" w:type="dxa"/>
            <w:gridSpan w:val="6"/>
            <w:tcBorders>
              <w:top w:val="single" w:color="auto" w:sz="6" w:space="0"/>
              <w:left w:val="single" w:color="auto" w:sz="6" w:space="0"/>
              <w:bottom w:val="single" w:color="auto" w:sz="6" w:space="0"/>
              <w:right w:val="single" w:color="auto" w:sz="6" w:space="0"/>
            </w:tcBorders>
            <w:vAlign w:val="center"/>
          </w:tcPr>
          <w:p>
            <w:pPr>
              <w:pStyle w:val="340"/>
              <w:rPr>
                <w:kern w:val="0"/>
              </w:rPr>
            </w:pPr>
          </w:p>
          <w:p>
            <w:pPr>
              <w:pStyle w:val="340"/>
              <w:rPr>
                <w:kern w:val="0"/>
              </w:rPr>
            </w:pPr>
          </w:p>
          <w:p>
            <w:pPr>
              <w:pStyle w:val="340"/>
              <w:rPr>
                <w:kern w:val="0"/>
              </w:rPr>
            </w:pPr>
          </w:p>
          <w:p>
            <w:pPr>
              <w:pStyle w:val="340"/>
              <w:rPr>
                <w:kern w:val="0"/>
              </w:rPr>
            </w:pPr>
          </w:p>
          <w:p>
            <w:pPr>
              <w:pStyle w:val="340"/>
            </w:pPr>
            <w:r>
              <w:rPr>
                <w:rFonts w:hint="eastAsia" w:cs="宋体"/>
                <w:kern w:val="0"/>
              </w:rPr>
              <w:t>签名：日期：</w:t>
            </w:r>
          </w:p>
        </w:tc>
      </w:tr>
      <w:tr>
        <w:tblPrEx>
          <w:tblCellMar>
            <w:top w:w="0" w:type="dxa"/>
            <w:left w:w="108" w:type="dxa"/>
            <w:bottom w:w="0" w:type="dxa"/>
            <w:right w:w="108" w:type="dxa"/>
          </w:tblCellMar>
        </w:tblPrEx>
        <w:trPr>
          <w:cantSplit/>
          <w:trHeight w:val="685" w:hRule="atLeast"/>
          <w:jc w:val="center"/>
        </w:trPr>
        <w:tc>
          <w:tcPr>
            <w:tcW w:w="1145" w:type="dxa"/>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评定人</w:t>
            </w:r>
          </w:p>
        </w:tc>
        <w:tc>
          <w:tcPr>
            <w:tcW w:w="1085" w:type="dxa"/>
            <w:tcBorders>
              <w:top w:val="single" w:color="auto" w:sz="6" w:space="0"/>
              <w:left w:val="single" w:color="auto" w:sz="6" w:space="0"/>
              <w:bottom w:val="single" w:color="auto" w:sz="6" w:space="0"/>
              <w:right w:val="single" w:color="auto" w:sz="6" w:space="0"/>
            </w:tcBorders>
            <w:vAlign w:val="center"/>
          </w:tcPr>
          <w:p>
            <w:pPr>
              <w:pStyle w:val="340"/>
            </w:pPr>
          </w:p>
        </w:tc>
        <w:tc>
          <w:tcPr>
            <w:tcW w:w="1497" w:type="dxa"/>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评定部门</w:t>
            </w:r>
          </w:p>
        </w:tc>
        <w:tc>
          <w:tcPr>
            <w:tcW w:w="1802" w:type="dxa"/>
            <w:gridSpan w:val="2"/>
            <w:tcBorders>
              <w:top w:val="single" w:color="auto" w:sz="6" w:space="0"/>
              <w:left w:val="single" w:color="auto" w:sz="6" w:space="0"/>
              <w:bottom w:val="single" w:color="auto" w:sz="6" w:space="0"/>
              <w:right w:val="single" w:color="auto" w:sz="6" w:space="0"/>
            </w:tcBorders>
            <w:vAlign w:val="center"/>
          </w:tcPr>
          <w:p>
            <w:pPr>
              <w:pStyle w:val="340"/>
            </w:pPr>
          </w:p>
        </w:tc>
        <w:tc>
          <w:tcPr>
            <w:tcW w:w="2108"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报告日期</w:t>
            </w:r>
          </w:p>
        </w:tc>
        <w:tc>
          <w:tcPr>
            <w:tcW w:w="1894" w:type="dxa"/>
            <w:tcBorders>
              <w:top w:val="single" w:color="auto" w:sz="6" w:space="0"/>
              <w:left w:val="single" w:color="auto" w:sz="6" w:space="0"/>
              <w:bottom w:val="single" w:color="auto" w:sz="6" w:space="0"/>
              <w:right w:val="single" w:color="auto" w:sz="6" w:space="0"/>
            </w:tcBorders>
            <w:vAlign w:val="center"/>
          </w:tcPr>
          <w:p>
            <w:pPr>
              <w:pStyle w:val="340"/>
            </w:pPr>
          </w:p>
        </w:tc>
      </w:tr>
      <w:tr>
        <w:tblPrEx>
          <w:tblCellMar>
            <w:top w:w="0" w:type="dxa"/>
            <w:left w:w="108" w:type="dxa"/>
            <w:bottom w:w="0" w:type="dxa"/>
            <w:right w:w="108" w:type="dxa"/>
          </w:tblCellMar>
        </w:tblPrEx>
        <w:trPr>
          <w:cantSplit/>
          <w:trHeight w:val="993" w:hRule="atLeast"/>
          <w:jc w:val="center"/>
        </w:trPr>
        <w:tc>
          <w:tcPr>
            <w:tcW w:w="2230" w:type="dxa"/>
            <w:gridSpan w:val="2"/>
            <w:tcBorders>
              <w:top w:val="single" w:color="auto" w:sz="6" w:space="0"/>
              <w:left w:val="single" w:color="auto" w:sz="6" w:space="0"/>
              <w:bottom w:val="single" w:color="auto" w:sz="6" w:space="0"/>
              <w:right w:val="single" w:color="auto" w:sz="6" w:space="0"/>
            </w:tcBorders>
            <w:vAlign w:val="center"/>
          </w:tcPr>
          <w:p>
            <w:pPr>
              <w:pStyle w:val="340"/>
            </w:pPr>
            <w:r>
              <w:rPr>
                <w:rFonts w:hint="eastAsia" w:cs="宋体"/>
                <w:kern w:val="0"/>
              </w:rPr>
              <w:t>管理者代表确认</w:t>
            </w:r>
          </w:p>
        </w:tc>
        <w:tc>
          <w:tcPr>
            <w:tcW w:w="7301" w:type="dxa"/>
            <w:gridSpan w:val="6"/>
            <w:tcBorders>
              <w:top w:val="single" w:color="auto" w:sz="6" w:space="0"/>
              <w:left w:val="single" w:color="auto" w:sz="6" w:space="0"/>
              <w:bottom w:val="single" w:color="auto" w:sz="6" w:space="0"/>
              <w:right w:val="single" w:color="auto" w:sz="6" w:space="0"/>
            </w:tcBorders>
            <w:vAlign w:val="center"/>
          </w:tcPr>
          <w:p>
            <w:pPr>
              <w:pStyle w:val="340"/>
            </w:pPr>
          </w:p>
        </w:tc>
      </w:tr>
    </w:tbl>
    <w:p>
      <w:pPr>
        <w:ind w:firstLine="0" w:firstLineChars="0"/>
        <w:rPr>
          <w:b/>
          <w:bCs/>
          <w:sz w:val="32"/>
          <w:szCs w:val="32"/>
        </w:rPr>
      </w:pPr>
    </w:p>
    <w:p>
      <w:pPr>
        <w:ind w:firstLine="0" w:firstLineChars="0"/>
        <w:rPr>
          <w:b/>
          <w:bCs/>
          <w:sz w:val="32"/>
          <w:szCs w:val="32"/>
        </w:rPr>
      </w:pPr>
    </w:p>
    <w:p>
      <w:pPr>
        <w:ind w:firstLine="0" w:firstLineChars="0"/>
        <w:rPr>
          <w:b/>
          <w:bCs/>
          <w:sz w:val="32"/>
          <w:szCs w:val="32"/>
        </w:rPr>
      </w:pPr>
    </w:p>
    <w:p>
      <w:pPr>
        <w:ind w:firstLine="0" w:firstLineChars="0"/>
        <w:rPr>
          <w:b/>
          <w:bCs/>
          <w:sz w:val="32"/>
          <w:szCs w:val="32"/>
        </w:rPr>
        <w:sectPr>
          <w:pgSz w:w="11906" w:h="16838"/>
          <w:pgMar w:top="1134" w:right="851" w:bottom="1134" w:left="567" w:header="851" w:footer="992" w:gutter="0"/>
          <w:cols w:space="720" w:num="1"/>
          <w:docGrid w:type="lines" w:linePitch="381" w:charSpace="0"/>
        </w:sectPr>
      </w:pPr>
    </w:p>
    <w:p>
      <w:pPr>
        <w:ind w:firstLine="480"/>
      </w:pPr>
      <w:r>
        <w:t>4</w:t>
      </w:r>
      <w:r>
        <w:rPr>
          <w:rFonts w:hint="eastAsia"/>
        </w:rPr>
        <w:t>、公司培训签到及考评表</w:t>
      </w:r>
    </w:p>
    <w:p>
      <w:pPr>
        <w:ind w:firstLine="480"/>
        <w:rPr>
          <w:rFonts w:eastAsia="楷体_GB2312"/>
          <w:snapToGrid w:val="0"/>
        </w:rPr>
      </w:pPr>
      <w:r>
        <w:rPr>
          <w:kern w:val="0"/>
        </w:rPr>
        <w:t>□</w:t>
      </w:r>
      <w:r>
        <w:rPr>
          <w:rFonts w:hint="eastAsia" w:cs="宋体"/>
          <w:kern w:val="0"/>
        </w:rPr>
        <w:t>新进人员</w:t>
      </w:r>
      <w:r>
        <w:rPr>
          <w:kern w:val="0"/>
        </w:rPr>
        <w:t xml:space="preserve">  □</w:t>
      </w:r>
      <w:r>
        <w:rPr>
          <w:rFonts w:hint="eastAsia" w:cs="宋体"/>
          <w:kern w:val="0"/>
        </w:rPr>
        <w:t>职前</w:t>
      </w:r>
      <w:r>
        <w:rPr>
          <w:kern w:val="0"/>
        </w:rPr>
        <w:t xml:space="preserve">  □</w:t>
      </w:r>
      <w:r>
        <w:rPr>
          <w:rFonts w:hint="eastAsia" w:cs="宋体"/>
          <w:kern w:val="0"/>
        </w:rPr>
        <w:t>在职</w:t>
      </w:r>
      <w:r>
        <w:rPr>
          <w:kern w:val="0"/>
        </w:rPr>
        <w:t xml:space="preserve">   □</w:t>
      </w:r>
      <w:r>
        <w:rPr>
          <w:rFonts w:hint="eastAsia" w:cs="宋体"/>
          <w:kern w:val="0"/>
        </w:rPr>
        <w:t>专业</w:t>
      </w:r>
    </w:p>
    <w:tbl>
      <w:tblPr>
        <w:tblStyle w:val="4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62"/>
        <w:gridCol w:w="1070"/>
        <w:gridCol w:w="1070"/>
        <w:gridCol w:w="1071"/>
        <w:gridCol w:w="965"/>
        <w:gridCol w:w="993"/>
        <w:gridCol w:w="1256"/>
        <w:gridCol w:w="1072"/>
        <w:gridCol w:w="10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4173" w:type="dxa"/>
            <w:gridSpan w:val="4"/>
            <w:vAlign w:val="center"/>
          </w:tcPr>
          <w:p>
            <w:pPr>
              <w:pStyle w:val="340"/>
              <w:jc w:val="left"/>
              <w:rPr>
                <w:snapToGrid w:val="0"/>
                <w:kern w:val="0"/>
              </w:rPr>
            </w:pPr>
            <w:r>
              <w:rPr>
                <w:rFonts w:hint="eastAsia" w:cs="宋体"/>
                <w:snapToGrid w:val="0"/>
                <w:kern w:val="0"/>
              </w:rPr>
              <w:t>日期：</w:t>
            </w:r>
          </w:p>
        </w:tc>
        <w:tc>
          <w:tcPr>
            <w:tcW w:w="3214" w:type="dxa"/>
            <w:gridSpan w:val="3"/>
            <w:vAlign w:val="center"/>
          </w:tcPr>
          <w:p>
            <w:pPr>
              <w:pStyle w:val="340"/>
              <w:jc w:val="left"/>
              <w:rPr>
                <w:snapToGrid w:val="0"/>
                <w:kern w:val="0"/>
              </w:rPr>
            </w:pPr>
            <w:r>
              <w:rPr>
                <w:rFonts w:hint="eastAsia" w:cs="宋体"/>
                <w:snapToGrid w:val="0"/>
                <w:kern w:val="0"/>
              </w:rPr>
              <w:t>地点：</w:t>
            </w:r>
          </w:p>
        </w:tc>
        <w:tc>
          <w:tcPr>
            <w:tcW w:w="2144" w:type="dxa"/>
            <w:gridSpan w:val="2"/>
            <w:vAlign w:val="center"/>
          </w:tcPr>
          <w:p>
            <w:pPr>
              <w:pStyle w:val="340"/>
              <w:jc w:val="left"/>
              <w:rPr>
                <w:snapToGrid w:val="0"/>
                <w:kern w:val="0"/>
              </w:rPr>
            </w:pPr>
            <w:r>
              <w:rPr>
                <w:rFonts w:hint="eastAsia" w:cs="宋体"/>
                <w:snapToGrid w:val="0"/>
                <w:kern w:val="0"/>
              </w:rPr>
              <w:t>授课人：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pPr>
              <w:pStyle w:val="340"/>
              <w:jc w:val="left"/>
              <w:rPr>
                <w:snapToGrid w:val="0"/>
                <w:kern w:val="0"/>
              </w:rPr>
            </w:pPr>
            <w:r>
              <w:rPr>
                <w:rFonts w:hint="eastAsia" w:cs="宋体"/>
                <w:snapToGrid w:val="0"/>
                <w:kern w:val="0"/>
              </w:rPr>
              <w:t>课程名称：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Merge w:val="restart"/>
            <w:vAlign w:val="center"/>
          </w:tcPr>
          <w:p>
            <w:pPr>
              <w:pStyle w:val="340"/>
              <w:rPr>
                <w:snapToGrid w:val="0"/>
                <w:kern w:val="0"/>
              </w:rPr>
            </w:pPr>
            <w:r>
              <w:rPr>
                <w:rFonts w:hint="eastAsia" w:cs="宋体"/>
                <w:snapToGrid w:val="0"/>
                <w:kern w:val="0"/>
              </w:rPr>
              <w:t>序号</w:t>
            </w:r>
          </w:p>
        </w:tc>
        <w:tc>
          <w:tcPr>
            <w:tcW w:w="1070" w:type="dxa"/>
            <w:vMerge w:val="restart"/>
            <w:vAlign w:val="center"/>
          </w:tcPr>
          <w:p>
            <w:pPr>
              <w:pStyle w:val="340"/>
              <w:rPr>
                <w:snapToGrid w:val="0"/>
                <w:kern w:val="0"/>
              </w:rPr>
            </w:pPr>
            <w:r>
              <w:rPr>
                <w:rFonts w:hint="eastAsia" w:cs="宋体"/>
                <w:snapToGrid w:val="0"/>
                <w:kern w:val="0"/>
              </w:rPr>
              <w:t>姓名</w:t>
            </w:r>
          </w:p>
        </w:tc>
        <w:tc>
          <w:tcPr>
            <w:tcW w:w="1070" w:type="dxa"/>
            <w:vMerge w:val="restart"/>
            <w:vAlign w:val="center"/>
          </w:tcPr>
          <w:p>
            <w:pPr>
              <w:pStyle w:val="340"/>
              <w:rPr>
                <w:snapToGrid w:val="0"/>
                <w:kern w:val="0"/>
              </w:rPr>
            </w:pPr>
            <w:r>
              <w:rPr>
                <w:rFonts w:hint="eastAsia" w:cs="宋体"/>
                <w:snapToGrid w:val="0"/>
                <w:kern w:val="0"/>
              </w:rPr>
              <w:t>部门</w:t>
            </w:r>
          </w:p>
        </w:tc>
        <w:tc>
          <w:tcPr>
            <w:tcW w:w="1071" w:type="dxa"/>
            <w:vMerge w:val="restart"/>
            <w:vAlign w:val="center"/>
          </w:tcPr>
          <w:p>
            <w:pPr>
              <w:pStyle w:val="340"/>
              <w:rPr>
                <w:snapToGrid w:val="0"/>
                <w:kern w:val="0"/>
              </w:rPr>
            </w:pPr>
            <w:r>
              <w:rPr>
                <w:rFonts w:hint="eastAsia" w:cs="宋体"/>
                <w:snapToGrid w:val="0"/>
                <w:kern w:val="0"/>
              </w:rPr>
              <w:t>工号</w:t>
            </w:r>
          </w:p>
        </w:tc>
        <w:tc>
          <w:tcPr>
            <w:tcW w:w="3214" w:type="dxa"/>
            <w:gridSpan w:val="3"/>
            <w:tcBorders>
              <w:bottom w:val="single" w:color="auto" w:sz="4" w:space="0"/>
            </w:tcBorders>
            <w:vAlign w:val="center"/>
          </w:tcPr>
          <w:p>
            <w:pPr>
              <w:pStyle w:val="340"/>
              <w:rPr>
                <w:snapToGrid w:val="0"/>
                <w:kern w:val="0"/>
              </w:rPr>
            </w:pPr>
            <w:r>
              <w:rPr>
                <w:rFonts w:hint="eastAsia" w:cs="宋体"/>
                <w:snapToGrid w:val="0"/>
                <w:kern w:val="0"/>
              </w:rPr>
              <w:t>考核</w:t>
            </w:r>
          </w:p>
        </w:tc>
        <w:tc>
          <w:tcPr>
            <w:tcW w:w="2144" w:type="dxa"/>
            <w:gridSpan w:val="2"/>
            <w:tcBorders>
              <w:bottom w:val="single" w:color="auto" w:sz="4" w:space="0"/>
            </w:tcBorders>
            <w:vAlign w:val="center"/>
          </w:tcPr>
          <w:p>
            <w:pPr>
              <w:pStyle w:val="340"/>
              <w:rPr>
                <w:snapToGrid w:val="0"/>
                <w:kern w:val="0"/>
              </w:rPr>
            </w:pPr>
            <w:r>
              <w:rPr>
                <w:rFonts w:hint="eastAsia" w:cs="宋体"/>
                <w:snapToGrid w:val="0"/>
                <w:kern w:val="0"/>
              </w:rPr>
              <w:t>结果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Merge w:val="continue"/>
            <w:vAlign w:val="center"/>
          </w:tcPr>
          <w:p>
            <w:pPr>
              <w:ind w:firstLine="480"/>
            </w:pPr>
          </w:p>
        </w:tc>
        <w:tc>
          <w:tcPr>
            <w:tcW w:w="1070" w:type="dxa"/>
            <w:vMerge w:val="continue"/>
            <w:vAlign w:val="center"/>
          </w:tcPr>
          <w:p>
            <w:pPr>
              <w:ind w:firstLine="480"/>
            </w:pPr>
          </w:p>
        </w:tc>
        <w:tc>
          <w:tcPr>
            <w:tcW w:w="1070" w:type="dxa"/>
            <w:vMerge w:val="continue"/>
            <w:vAlign w:val="center"/>
          </w:tcPr>
          <w:p>
            <w:pPr>
              <w:ind w:firstLine="480"/>
            </w:pPr>
          </w:p>
        </w:tc>
        <w:tc>
          <w:tcPr>
            <w:tcW w:w="1071" w:type="dxa"/>
            <w:vMerge w:val="continue"/>
            <w:vAlign w:val="center"/>
          </w:tcPr>
          <w:p>
            <w:pPr>
              <w:ind w:firstLine="480"/>
            </w:pPr>
          </w:p>
        </w:tc>
        <w:tc>
          <w:tcPr>
            <w:tcW w:w="965" w:type="dxa"/>
            <w:tcBorders>
              <w:top w:val="single" w:color="auto" w:sz="4" w:space="0"/>
            </w:tcBorders>
            <w:vAlign w:val="center"/>
          </w:tcPr>
          <w:p>
            <w:pPr>
              <w:pStyle w:val="340"/>
              <w:rPr>
                <w:snapToGrid w:val="0"/>
                <w:kern w:val="0"/>
              </w:rPr>
            </w:pPr>
            <w:r>
              <w:rPr>
                <w:rFonts w:hint="eastAsia" w:cs="宋体"/>
                <w:snapToGrid w:val="0"/>
                <w:kern w:val="0"/>
              </w:rPr>
              <w:t>口试</w:t>
            </w:r>
          </w:p>
        </w:tc>
        <w:tc>
          <w:tcPr>
            <w:tcW w:w="993" w:type="dxa"/>
            <w:tcBorders>
              <w:top w:val="single" w:color="auto" w:sz="4" w:space="0"/>
            </w:tcBorders>
            <w:vAlign w:val="center"/>
          </w:tcPr>
          <w:p>
            <w:pPr>
              <w:pStyle w:val="340"/>
              <w:rPr>
                <w:snapToGrid w:val="0"/>
                <w:kern w:val="0"/>
              </w:rPr>
            </w:pPr>
            <w:r>
              <w:rPr>
                <w:rFonts w:hint="eastAsia" w:cs="宋体"/>
                <w:snapToGrid w:val="0"/>
                <w:kern w:val="0"/>
              </w:rPr>
              <w:t>笔试</w:t>
            </w:r>
          </w:p>
        </w:tc>
        <w:tc>
          <w:tcPr>
            <w:tcW w:w="1256" w:type="dxa"/>
            <w:tcBorders>
              <w:top w:val="single" w:color="auto" w:sz="4" w:space="0"/>
            </w:tcBorders>
            <w:vAlign w:val="center"/>
          </w:tcPr>
          <w:p>
            <w:pPr>
              <w:pStyle w:val="340"/>
              <w:rPr>
                <w:snapToGrid w:val="0"/>
                <w:kern w:val="0"/>
              </w:rPr>
            </w:pPr>
            <w:r>
              <w:rPr>
                <w:rFonts w:hint="eastAsia" w:cs="宋体"/>
                <w:snapToGrid w:val="0"/>
                <w:kern w:val="0"/>
              </w:rPr>
              <w:t>实际操作</w:t>
            </w:r>
          </w:p>
        </w:tc>
        <w:tc>
          <w:tcPr>
            <w:tcW w:w="1072" w:type="dxa"/>
            <w:tcBorders>
              <w:top w:val="single" w:color="auto" w:sz="4" w:space="0"/>
            </w:tcBorders>
            <w:vAlign w:val="center"/>
          </w:tcPr>
          <w:p>
            <w:pPr>
              <w:pStyle w:val="340"/>
              <w:rPr>
                <w:snapToGrid w:val="0"/>
                <w:kern w:val="0"/>
              </w:rPr>
            </w:pPr>
            <w:r>
              <w:rPr>
                <w:rFonts w:hint="eastAsia" w:cs="宋体"/>
                <w:snapToGrid w:val="0"/>
                <w:kern w:val="0"/>
              </w:rPr>
              <w:t>合格</w:t>
            </w:r>
          </w:p>
        </w:tc>
        <w:tc>
          <w:tcPr>
            <w:tcW w:w="1072" w:type="dxa"/>
            <w:tcBorders>
              <w:top w:val="single" w:color="auto" w:sz="4" w:space="0"/>
            </w:tcBorders>
            <w:vAlign w:val="center"/>
          </w:tcPr>
          <w:p>
            <w:pPr>
              <w:pStyle w:val="340"/>
              <w:rPr>
                <w:snapToGrid w:val="0"/>
                <w:kern w:val="0"/>
              </w:rPr>
            </w:pPr>
            <w:r>
              <w:rPr>
                <w:rFonts w:hint="eastAsia" w:cs="宋体"/>
                <w:snapToGrid w:val="0"/>
                <w:kern w:val="0"/>
              </w:rPr>
              <w:t>不合格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2</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3</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4</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5</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6</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7</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8</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9</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10</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11</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12</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13</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14</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62" w:type="dxa"/>
            <w:vAlign w:val="center"/>
          </w:tcPr>
          <w:p>
            <w:pPr>
              <w:pStyle w:val="340"/>
              <w:rPr>
                <w:snapToGrid w:val="0"/>
                <w:kern w:val="0"/>
              </w:rPr>
            </w:pPr>
            <w:r>
              <w:rPr>
                <w:snapToGrid w:val="0"/>
                <w:kern w:val="0"/>
              </w:rPr>
              <w:t>15</w:t>
            </w:r>
          </w:p>
        </w:tc>
        <w:tc>
          <w:tcPr>
            <w:tcW w:w="1070" w:type="dxa"/>
            <w:vAlign w:val="center"/>
          </w:tcPr>
          <w:p>
            <w:pPr>
              <w:pStyle w:val="340"/>
              <w:rPr>
                <w:snapToGrid w:val="0"/>
                <w:kern w:val="0"/>
              </w:rPr>
            </w:pPr>
          </w:p>
        </w:tc>
        <w:tc>
          <w:tcPr>
            <w:tcW w:w="1070" w:type="dxa"/>
            <w:vAlign w:val="center"/>
          </w:tcPr>
          <w:p>
            <w:pPr>
              <w:pStyle w:val="340"/>
              <w:rPr>
                <w:snapToGrid w:val="0"/>
                <w:kern w:val="0"/>
              </w:rPr>
            </w:pPr>
          </w:p>
        </w:tc>
        <w:tc>
          <w:tcPr>
            <w:tcW w:w="1071" w:type="dxa"/>
            <w:vAlign w:val="center"/>
          </w:tcPr>
          <w:p>
            <w:pPr>
              <w:pStyle w:val="340"/>
              <w:rPr>
                <w:snapToGrid w:val="0"/>
                <w:kern w:val="0"/>
              </w:rPr>
            </w:pPr>
          </w:p>
        </w:tc>
        <w:tc>
          <w:tcPr>
            <w:tcW w:w="965" w:type="dxa"/>
            <w:vAlign w:val="center"/>
          </w:tcPr>
          <w:p>
            <w:pPr>
              <w:pStyle w:val="340"/>
              <w:rPr>
                <w:snapToGrid w:val="0"/>
                <w:kern w:val="0"/>
              </w:rPr>
            </w:pPr>
          </w:p>
        </w:tc>
        <w:tc>
          <w:tcPr>
            <w:tcW w:w="993" w:type="dxa"/>
            <w:vAlign w:val="center"/>
          </w:tcPr>
          <w:p>
            <w:pPr>
              <w:pStyle w:val="340"/>
              <w:rPr>
                <w:snapToGrid w:val="0"/>
                <w:kern w:val="0"/>
              </w:rPr>
            </w:pPr>
          </w:p>
        </w:tc>
        <w:tc>
          <w:tcPr>
            <w:tcW w:w="1256" w:type="dxa"/>
            <w:vAlign w:val="center"/>
          </w:tcPr>
          <w:p>
            <w:pPr>
              <w:pStyle w:val="340"/>
              <w:rPr>
                <w:snapToGrid w:val="0"/>
                <w:kern w:val="0"/>
              </w:rPr>
            </w:pPr>
          </w:p>
        </w:tc>
        <w:tc>
          <w:tcPr>
            <w:tcW w:w="1072" w:type="dxa"/>
            <w:vAlign w:val="center"/>
          </w:tcPr>
          <w:p>
            <w:pPr>
              <w:pStyle w:val="340"/>
              <w:rPr>
                <w:snapToGrid w:val="0"/>
                <w:kern w:val="0"/>
              </w:rPr>
            </w:pPr>
          </w:p>
        </w:tc>
        <w:tc>
          <w:tcPr>
            <w:tcW w:w="1072" w:type="dxa"/>
            <w:vAlign w:val="center"/>
          </w:tcPr>
          <w:p>
            <w:pPr>
              <w:pStyle w:val="340"/>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pPr>
              <w:pStyle w:val="340"/>
              <w:rPr>
                <w:snapToGrid w:val="0"/>
                <w:kern w:val="0"/>
              </w:rPr>
            </w:pPr>
            <w:r>
              <w:rPr>
                <w:rFonts w:hint="eastAsia" w:cs="宋体"/>
                <w:snapToGrid w:val="0"/>
                <w:kern w:val="0"/>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575" w:hRule="atLeast"/>
          <w:jc w:val="center"/>
        </w:trPr>
        <w:tc>
          <w:tcPr>
            <w:tcW w:w="9531" w:type="dxa"/>
            <w:gridSpan w:val="9"/>
          </w:tcPr>
          <w:p>
            <w:pPr>
              <w:pStyle w:val="340"/>
              <w:jc w:val="both"/>
              <w:rPr>
                <w:kern w:val="0"/>
              </w:rPr>
            </w:pPr>
            <w:r>
              <w:rPr>
                <w:rFonts w:hint="eastAsia" w:cs="宋体"/>
                <w:kern w:val="0"/>
              </w:rPr>
              <w:t>讲师评核方式：</w:t>
            </w:r>
            <w:r>
              <w:rPr>
                <w:kern w:val="0"/>
              </w:rPr>
              <w:t xml:space="preserve">         □</w:t>
            </w:r>
            <w:r>
              <w:rPr>
                <w:rFonts w:hint="eastAsia" w:cs="宋体"/>
                <w:kern w:val="0"/>
              </w:rPr>
              <w:t>笔试实到人数：</w:t>
            </w:r>
          </w:p>
          <w:p>
            <w:pPr>
              <w:pStyle w:val="340"/>
              <w:ind w:firstLine="2415" w:firstLineChars="1150"/>
              <w:jc w:val="both"/>
              <w:rPr>
                <w:kern w:val="0"/>
              </w:rPr>
            </w:pPr>
            <w:r>
              <w:rPr>
                <w:kern w:val="0"/>
              </w:rPr>
              <w:t>□</w:t>
            </w:r>
            <w:r>
              <w:rPr>
                <w:rFonts w:hint="eastAsia" w:cs="宋体"/>
                <w:kern w:val="0"/>
              </w:rPr>
              <w:t>口试缺席人数：</w:t>
            </w:r>
          </w:p>
          <w:p>
            <w:pPr>
              <w:pStyle w:val="340"/>
              <w:ind w:firstLine="2415" w:firstLineChars="1150"/>
              <w:jc w:val="both"/>
              <w:rPr>
                <w:snapToGrid w:val="0"/>
                <w:kern w:val="0"/>
              </w:rPr>
            </w:pPr>
            <w:r>
              <w:rPr>
                <w:kern w:val="0"/>
              </w:rPr>
              <w:t>□</w:t>
            </w:r>
            <w:r>
              <w:rPr>
                <w:rFonts w:hint="eastAsia" w:cs="宋体"/>
                <w:kern w:val="0"/>
              </w:rPr>
              <w:t>现场操作讲师签名：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9531" w:type="dxa"/>
            <w:gridSpan w:val="9"/>
            <w:vAlign w:val="center"/>
          </w:tcPr>
          <w:p>
            <w:pPr>
              <w:pStyle w:val="340"/>
              <w:rPr>
                <w:snapToGrid w:val="0"/>
                <w:kern w:val="0"/>
              </w:rPr>
            </w:pPr>
            <w:r>
              <w:rPr>
                <w:rFonts w:hint="eastAsia" w:cs="宋体"/>
                <w:kern w:val="0"/>
              </w:rPr>
              <w:t>编制</w:t>
            </w:r>
            <w:r>
              <w:rPr>
                <w:kern w:val="0"/>
              </w:rPr>
              <w:t>/</w:t>
            </w:r>
            <w:r>
              <w:rPr>
                <w:rFonts w:hint="eastAsia" w:cs="宋体"/>
                <w:kern w:val="0"/>
              </w:rPr>
              <w:t>日期：审批</w:t>
            </w:r>
            <w:r>
              <w:rPr>
                <w:kern w:val="0"/>
              </w:rPr>
              <w:t>/</w:t>
            </w:r>
            <w:r>
              <w:rPr>
                <w:rFonts w:hint="eastAsia" w:cs="宋体"/>
                <w:kern w:val="0"/>
              </w:rPr>
              <w:t>日期：</w:t>
            </w:r>
          </w:p>
        </w:tc>
      </w:tr>
    </w:tbl>
    <w:p>
      <w:pPr>
        <w:ind w:firstLine="480"/>
        <w:rPr>
          <w:rFonts w:eastAsia="楷体_GB2312"/>
          <w:snapToGrid w:val="0"/>
        </w:rPr>
      </w:pPr>
    </w:p>
    <w:p>
      <w:pPr>
        <w:ind w:firstLine="0" w:firstLineChars="0"/>
        <w:rPr>
          <w:b/>
          <w:bCs/>
          <w:sz w:val="32"/>
          <w:szCs w:val="32"/>
        </w:rPr>
        <w:sectPr>
          <w:pgSz w:w="11906" w:h="16838"/>
          <w:pgMar w:top="1134" w:right="851" w:bottom="1134" w:left="567" w:header="851" w:footer="992" w:gutter="0"/>
          <w:cols w:space="720" w:num="1"/>
          <w:docGrid w:type="lines" w:linePitch="381" w:charSpace="0"/>
        </w:sectPr>
      </w:pPr>
    </w:p>
    <w:p>
      <w:pPr>
        <w:ind w:firstLine="480"/>
        <w:rPr>
          <w:snapToGrid w:val="0"/>
        </w:rPr>
      </w:pPr>
      <w:r>
        <w:rPr>
          <w:snapToGrid w:val="0"/>
        </w:rPr>
        <w:t>5</w:t>
      </w:r>
      <w:r>
        <w:rPr>
          <w:rFonts w:hint="eastAsia" w:cs="宋体"/>
          <w:snapToGrid w:val="0"/>
        </w:rPr>
        <w:t>、应急预案与响应措施演练记录</w:t>
      </w:r>
    </w:p>
    <w:p>
      <w:pPr>
        <w:ind w:firstLine="480"/>
        <w:rPr>
          <w:snapToGrid w:val="0"/>
        </w:rPr>
      </w:pPr>
      <w:r>
        <w:rPr>
          <w:rFonts w:hint="eastAsia" w:cs="宋体"/>
          <w:snapToGrid w:val="0"/>
        </w:rPr>
        <w:t>编号：</w:t>
      </w:r>
    </w:p>
    <w:tbl>
      <w:tblPr>
        <w:tblStyle w:val="4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351"/>
        <w:gridCol w:w="2394"/>
        <w:gridCol w:w="2419"/>
        <w:gridCol w:w="236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3" w:hRule="atLeast"/>
          <w:jc w:val="center"/>
        </w:trPr>
        <w:tc>
          <w:tcPr>
            <w:tcW w:w="2351" w:type="dxa"/>
            <w:vAlign w:val="center"/>
          </w:tcPr>
          <w:p>
            <w:pPr>
              <w:pStyle w:val="340"/>
              <w:jc w:val="left"/>
              <w:rPr>
                <w:snapToGrid w:val="0"/>
                <w:kern w:val="0"/>
              </w:rPr>
            </w:pPr>
            <w:r>
              <w:rPr>
                <w:rFonts w:hint="eastAsia" w:cs="宋体"/>
                <w:snapToGrid w:val="0"/>
                <w:kern w:val="0"/>
              </w:rPr>
              <w:t>演练时间</w:t>
            </w:r>
          </w:p>
        </w:tc>
        <w:tc>
          <w:tcPr>
            <w:tcW w:w="2394" w:type="dxa"/>
            <w:vAlign w:val="center"/>
          </w:tcPr>
          <w:p>
            <w:pPr>
              <w:pStyle w:val="340"/>
              <w:jc w:val="left"/>
              <w:rPr>
                <w:snapToGrid w:val="0"/>
                <w:kern w:val="0"/>
              </w:rPr>
            </w:pPr>
          </w:p>
        </w:tc>
        <w:tc>
          <w:tcPr>
            <w:tcW w:w="2419" w:type="dxa"/>
            <w:vAlign w:val="center"/>
          </w:tcPr>
          <w:p>
            <w:pPr>
              <w:pStyle w:val="340"/>
              <w:jc w:val="left"/>
              <w:rPr>
                <w:snapToGrid w:val="0"/>
                <w:kern w:val="0"/>
              </w:rPr>
            </w:pPr>
            <w:r>
              <w:rPr>
                <w:rFonts w:hint="eastAsia" w:cs="宋体"/>
                <w:snapToGrid w:val="0"/>
                <w:kern w:val="0"/>
              </w:rPr>
              <w:t>演练地点</w:t>
            </w:r>
          </w:p>
        </w:tc>
        <w:tc>
          <w:tcPr>
            <w:tcW w:w="2367" w:type="dxa"/>
            <w:vAlign w:val="center"/>
          </w:tcPr>
          <w:p>
            <w:pPr>
              <w:pStyle w:val="340"/>
              <w:jc w:val="left"/>
              <w:rPr>
                <w:snapToGrid w:val="0"/>
                <w:kern w:val="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13" w:hRule="atLeast"/>
          <w:jc w:val="center"/>
        </w:trPr>
        <w:tc>
          <w:tcPr>
            <w:tcW w:w="9531" w:type="dxa"/>
            <w:gridSpan w:val="4"/>
          </w:tcPr>
          <w:p>
            <w:pPr>
              <w:pStyle w:val="340"/>
              <w:jc w:val="both"/>
              <w:rPr>
                <w:rFonts w:eastAsia="楷体_GB2312"/>
                <w:snapToGrid w:val="0"/>
                <w:kern w:val="0"/>
              </w:rPr>
            </w:pPr>
            <w:r>
              <w:rPr>
                <w:rFonts w:hint="eastAsia" w:cs="宋体"/>
                <w:kern w:val="0"/>
              </w:rPr>
              <w:t>演练目的：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536" w:hRule="atLeast"/>
          <w:jc w:val="center"/>
        </w:trPr>
        <w:tc>
          <w:tcPr>
            <w:tcW w:w="9531" w:type="dxa"/>
            <w:gridSpan w:val="4"/>
          </w:tcPr>
          <w:p>
            <w:pPr>
              <w:pStyle w:val="340"/>
              <w:jc w:val="left"/>
              <w:rPr>
                <w:rFonts w:eastAsia="楷体_GB2312"/>
                <w:snapToGrid w:val="0"/>
                <w:kern w:val="0"/>
              </w:rPr>
            </w:pPr>
            <w:r>
              <w:rPr>
                <w:rFonts w:hint="eastAsia" w:cs="宋体"/>
                <w:kern w:val="0"/>
              </w:rPr>
              <w:t>参加单位：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5" w:hRule="atLeast"/>
          <w:jc w:val="center"/>
        </w:trPr>
        <w:tc>
          <w:tcPr>
            <w:tcW w:w="9531" w:type="dxa"/>
            <w:gridSpan w:val="4"/>
          </w:tcPr>
          <w:p>
            <w:pPr>
              <w:pStyle w:val="340"/>
              <w:jc w:val="left"/>
              <w:rPr>
                <w:rFonts w:eastAsia="楷体_GB2312"/>
                <w:snapToGrid w:val="0"/>
                <w:kern w:val="0"/>
              </w:rPr>
            </w:pPr>
            <w:r>
              <w:rPr>
                <w:rFonts w:hint="eastAsia" w:cs="宋体"/>
                <w:kern w:val="0"/>
              </w:rPr>
              <w:t>演练过程：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9531" w:type="dxa"/>
            <w:gridSpan w:val="4"/>
          </w:tcPr>
          <w:p>
            <w:pPr>
              <w:pStyle w:val="340"/>
              <w:jc w:val="left"/>
              <w:rPr>
                <w:kern w:val="0"/>
              </w:rPr>
            </w:pPr>
            <w:r>
              <w:rPr>
                <w:rFonts w:hint="eastAsia" w:cs="宋体"/>
                <w:kern w:val="0"/>
              </w:rPr>
              <w:t>演练效果：</w:t>
            </w:r>
          </w:p>
          <w:p>
            <w:pPr>
              <w:pStyle w:val="340"/>
              <w:jc w:val="left"/>
              <w:rPr>
                <w:kern w:val="0"/>
              </w:rPr>
            </w:pPr>
          </w:p>
          <w:p>
            <w:pPr>
              <w:pStyle w:val="340"/>
              <w:jc w:val="left"/>
              <w:rPr>
                <w:kern w:val="0"/>
              </w:rPr>
            </w:pPr>
          </w:p>
          <w:p>
            <w:pPr>
              <w:pStyle w:val="340"/>
              <w:jc w:val="left"/>
              <w:rPr>
                <w:kern w:val="0"/>
              </w:rPr>
            </w:pPr>
          </w:p>
          <w:p>
            <w:pPr>
              <w:pStyle w:val="340"/>
              <w:jc w:val="left"/>
              <w:rPr>
                <w:kern w:val="0"/>
              </w:rPr>
            </w:pPr>
            <w:r>
              <w:rPr>
                <w:rFonts w:hint="eastAsia" w:cs="宋体"/>
                <w:kern w:val="0"/>
              </w:rPr>
              <w:t>主管部门（章）：</w:t>
            </w:r>
          </w:p>
          <w:p>
            <w:pPr>
              <w:pStyle w:val="340"/>
              <w:jc w:val="left"/>
              <w:rPr>
                <w:kern w:val="0"/>
              </w:rPr>
            </w:pPr>
          </w:p>
          <w:p>
            <w:pPr>
              <w:pStyle w:val="340"/>
              <w:jc w:val="left"/>
              <w:rPr>
                <w:kern w:val="0"/>
              </w:rPr>
            </w:pPr>
          </w:p>
          <w:p>
            <w:pPr>
              <w:pStyle w:val="340"/>
              <w:tabs>
                <w:tab w:val="left" w:pos="3465"/>
              </w:tabs>
              <w:jc w:val="left"/>
              <w:rPr>
                <w:kern w:val="0"/>
              </w:rPr>
            </w:pPr>
            <w:r>
              <w:rPr>
                <w:kern w:val="0"/>
              </w:rPr>
              <w:tab/>
            </w:r>
          </w:p>
          <w:p>
            <w:pPr>
              <w:pStyle w:val="340"/>
              <w:jc w:val="left"/>
              <w:rPr>
                <w:kern w:val="0"/>
              </w:rPr>
            </w:pPr>
          </w:p>
          <w:p>
            <w:pPr>
              <w:pStyle w:val="340"/>
              <w:jc w:val="left"/>
              <w:rPr>
                <w:rFonts w:eastAsia="楷体_GB2312"/>
                <w:snapToGrid w:val="0"/>
                <w:kern w:val="0"/>
              </w:rPr>
            </w:pPr>
            <w:r>
              <w:rPr>
                <w:rFonts w:hint="eastAsia" w:cs="宋体"/>
                <w:kern w:val="0"/>
              </w:rPr>
              <w:t>主管领导：</w:t>
            </w:r>
          </w:p>
        </w:tc>
      </w:tr>
    </w:tbl>
    <w:p>
      <w:pPr>
        <w:ind w:firstLine="480"/>
      </w:pPr>
    </w:p>
    <w:p>
      <w:pPr>
        <w:pStyle w:val="58"/>
        <w:rPr>
          <w:rFonts w:ascii="Times New Roman" w:hAnsi="Times New Roman"/>
          <w:color w:val="auto"/>
          <w:kern w:val="21"/>
        </w:rPr>
      </w:pPr>
    </w:p>
    <w:sectPr>
      <w:pgSz w:w="11906" w:h="16838"/>
      <w:pgMar w:top="1440" w:right="1080" w:bottom="1440" w:left="1080" w:header="567" w:footer="992" w:gutter="0"/>
      <w:cols w:space="720" w:num="1"/>
      <w:docGrid w:type="lines" w:linePitch="318"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50"/>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2FF" w:usb1="400004FF" w:usb2="00000000" w:usb3="00000000" w:csb0="2000019F"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10006FF" w:usb1="4000205B" w:usb2="00000010" w:usb3="00000000" w:csb0="2000019F" w:csb1="00000000"/>
  </w:font>
  <w:font w:name="”“Times New Roman”“">
    <w:altName w:val="宋体"/>
    <w:panose1 w:val="00000000000000000000"/>
    <w:charset w:val="86"/>
    <w:family w:val="roman"/>
    <w:pitch w:val="default"/>
    <w:sig w:usb0="00000000" w:usb1="00000000" w:usb2="00000010" w:usb3="00000000" w:csb0="00040000" w:csb1="00000000"/>
  </w:font>
  <w:font w:name="楷体_GB2312">
    <w:panose1 w:val="02010609030101010101"/>
    <w:charset w:val="86"/>
    <w:family w:val="modern"/>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Arial Unicode MS">
    <w:panose1 w:val="020B0604020202020204"/>
    <w:charset w:val="86"/>
    <w:family w:val="roman"/>
    <w:pitch w:val="default"/>
    <w:sig w:usb0="FFFFFFFF" w:usb1="E9FFFFFF" w:usb2="0000003F" w:usb3="00000000" w:csb0="603F01FF" w:csb1="FFFF0000"/>
  </w:font>
  <w:font w:name="華康細圓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087" w:usb1="28AF4000" w:usb2="00000016" w:usb3="00000000" w:csb0="00100009" w:csb1="00000000"/>
  </w:font>
  <w:font w:name="华文新魏">
    <w:panose1 w:val="02010800040101010101"/>
    <w:charset w:val="86"/>
    <w:family w:val="auto"/>
    <w:pitch w:val="default"/>
    <w:sig w:usb0="00000001" w:usb1="080F0000" w:usb2="00000000" w:usb3="00000000" w:csb0="00040000" w:csb1="00000000"/>
  </w:font>
  <w:font w:name="ˎ̥">
    <w:altName w:val="Times New Roman"/>
    <w:panose1 w:val="00000000000000000000"/>
    <w:charset w:val="00"/>
    <w:family w:val="roman"/>
    <w:pitch w:val="default"/>
    <w:sig w:usb0="00000000" w:usb1="00000000" w:usb2="00000000" w:usb3="00000000" w:csb0="00040001" w:csb1="00000000"/>
  </w:font>
  <w:font w:name="Garamond">
    <w:altName w:val="Segoe Print"/>
    <w:panose1 w:val="00000000000000000000"/>
    <w:charset w:val="00"/>
    <w:family w:val="roman"/>
    <w:pitch w:val="default"/>
    <w:sig w:usb0="00000000" w:usb1="00000000" w:usb2="00000000" w:usb3="00000000" w:csb0="0000009F" w:csb1="DFD70000"/>
  </w:font>
  <w:font w:name="Segoe Print">
    <w:panose1 w:val="02000600000000000000"/>
    <w:charset w:val="00"/>
    <w:family w:val="auto"/>
    <w:pitch w:val="default"/>
    <w:sig w:usb0="0000028F" w:usb1="00000000" w:usb2="00000000" w:usb3="00000000" w:csb0="2000009F" w:csb1="47010000"/>
  </w:font>
  <w:font w:name="_x001A_">
    <w:altName w:val="Times New Roman"/>
    <w:panose1 w:val="00000000000000000000"/>
    <w:charset w:val="00"/>
    <w:family w:val="roman"/>
    <w:pitch w:val="default"/>
    <w:sig w:usb0="00000000" w:usb1="00000000" w:usb2="00000000" w:usb3="00000000" w:csb0="00040001" w:csb1="00000000"/>
  </w:font>
  <w:font w:name="Batang">
    <w:panose1 w:val="02030600000101010101"/>
    <w:charset w:val="81"/>
    <w:family w:val="roman"/>
    <w:pitch w:val="default"/>
    <w:sig w:usb0="B00002AF" w:usb1="69D77CFB" w:usb2="00000030" w:usb3="00000000" w:csb0="4008009F" w:csb1="DFD70000"/>
  </w:font>
  <w:font w:name="微软雅黑">
    <w:panose1 w:val="020B0503020204020204"/>
    <w:charset w:val="86"/>
    <w:family w:val="swiss"/>
    <w:pitch w:val="default"/>
    <w:sig w:usb0="80000287" w:usb1="280F3C52" w:usb2="00000016" w:usb3="00000000" w:csb0="0004001F" w:csb1="00000000"/>
  </w:font>
  <w:font w:name="..">
    <w:altName w:val="hakuyoxingshu7000"/>
    <w:panose1 w:val="00000000000000000000"/>
    <w:charset w:val="00"/>
    <w:family w:val="roman"/>
    <w:pitch w:val="default"/>
    <w:sig w:usb0="00000000" w:usb1="00000000" w:usb2="00000000" w:usb3="00000000" w:csb0="00040001" w:csb1="00000000"/>
  </w:font>
  <w:font w:name="hakuyoxingshu7000">
    <w:panose1 w:val="02000600000000000000"/>
    <w:charset w:val="86"/>
    <w:family w:val="auto"/>
    <w:pitch w:val="default"/>
    <w:sig w:usb0="FFFFFFFF" w:usb1="E9FFFFFF" w:usb2="0000003F" w:usb3="00000000" w:csb0="603F00FF" w:csb1="FFFF0000"/>
  </w:font>
  <w:font w:name="MS Mincho">
    <w:panose1 w:val="02020609040205080304"/>
    <w:charset w:val="80"/>
    <w:family w:val="modern"/>
    <w:pitch w:val="default"/>
    <w:sig w:usb0="E00002FF" w:usb1="6AC7FDFB" w:usb2="00000012" w:usb3="00000000" w:csb0="4002009F" w:csb1="DFD70000"/>
  </w:font>
  <w:font w:name="MingLiU">
    <w:panose1 w:val="02020509000000000000"/>
    <w:charset w:val="88"/>
    <w:family w:val="modern"/>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right="360" w:firstLine="0" w:firstLineChars="0"/>
    </w:pPr>
    <w:r>
      <w:pict>
        <v:shape id="文本框 1025" o:spid="_x0000_s3073" o:spt="202" type="#_x0000_t202" style="position:absolute;left:0pt;margin-left:232.4pt;margin-top:-4.95pt;height:37.95pt;width:42.5pt;mso-position-horizontal-relative:margin;z-index:251660288;mso-width-relative:page;mso-height-relative:page;" filled="f" stroked="f" coordsize="21600,21600" o:gfxdata="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FgAA&#10;AGRycy9QSwECFAAUAAAACACHTuJAtCy719gAAAAJAQAADwAAAAAAAAABACAAAAA4AAAAZHJzL2Rv&#10;d25yZXYueG1sUEsBAhQAFAAAAAgAh07iQO9IpViyAQAAPQMAAA4AAAAAAAAAAQAgAAAAPQEAAGRy&#10;cy9lMm9Eb2MueG1sUEsFBgAAAAAGAAYAWQEAAGEFAAAAAA==&#10;">
          <v:path/>
          <v:fill on="f" focussize="0,0"/>
          <v:stroke on="f" joinstyle="miter"/>
          <v:imagedata o:title=""/>
          <o:lock v:ext="edit"/>
          <v:textbox inset="0mm,0mm,0mm,0mm">
            <w:txbxContent>
              <w:p>
                <w:pPr>
                  <w:snapToGrid w:val="0"/>
                  <w:ind w:firstLine="36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16</w:t>
                </w:r>
                <w:r>
                  <w:rPr>
                    <w:rFonts w:hint="eastAsia"/>
                    <w:sz w:val="18"/>
                  </w:rPr>
                  <w:fldChar w:fldCharType="end"/>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ind w:firstLine="400"/>
      <w:rPr>
        <w:sz w:val="20"/>
        <w:szCs w:val="20"/>
      </w:rPr>
    </w:pPr>
    <w:r>
      <w:rPr>
        <w:sz w:val="20"/>
      </w:rPr>
      <w:pict>
        <v:shape id="_x0000_s3077" o:spid="_x0000_s3077" o:spt="202" type="#_x0000_t202" style="position:absolute;left:0pt;margin-top:0pt;height:144pt;width:144pt;mso-position-horizontal:center;mso-position-horizontal-relative:margin;mso-wrap-style:none;z-index:251681792;mso-width-relative:page;mso-height-relative:page;" filled="f" stroked="f" coordsize="21600,21600" o:gfxdata="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FgAAAGRycy9Q&#10;SwECFAAUAAAACACHTuJAzql5uc8AAAAFAQAADwAAAAAAAAABACAAAAA4AAAAZHJzL2Rvd25yZXYu&#10;eG1sUEsBAhQAFAAAAAgAh07iQIbsiAa1AQAAVAMAAA4AAAAAAAAAAQAgAAAANAEAAGRycy9lMm9E&#10;b2MueG1sUEsFBgAAAAAGAAYAWQEAAFsFAAAAAA==&#10;">
          <v:path/>
          <v:fill on="f" focussize="0,0"/>
          <v:stroke on="f" joinstyle="miter"/>
          <v:imagedata o:title=""/>
          <o:lock v:ext="edit"/>
          <v:textbox inset="0mm,0mm,0mm,0mm" style="mso-fit-shape-to-text:t;">
            <w:txbxContent>
              <w:p>
                <w:pPr>
                  <w:pStyle w:val="30"/>
                  <w:ind w:firstLine="360"/>
                </w:pPr>
                <w:r>
                  <w:rPr>
                    <w:rFonts w:hint="eastAsia"/>
                  </w:rPr>
                  <w:fldChar w:fldCharType="begin"/>
                </w:r>
                <w:r>
                  <w:rPr>
                    <w:rFonts w:hint="eastAsia"/>
                  </w:rPr>
                  <w:instrText xml:space="preserve"> PAGE  \* MERGEFORMAT </w:instrText>
                </w:r>
                <w:r>
                  <w:rPr>
                    <w:rFonts w:hint="eastAsia"/>
                  </w:rPr>
                  <w:fldChar w:fldCharType="separate"/>
                </w:r>
                <w:r>
                  <w:t>53</w:t>
                </w:r>
                <w:r>
                  <w:rPr>
                    <w:rFonts w:hint="eastAsia"/>
                  </w:rP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right="360"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0"/>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1"/>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center"/>
      <w:rPr>
        <w:rFonts w:ascii="宋体" w:hAnsi="宋体" w:cs="宋体"/>
        <w:sz w:val="18"/>
        <w:szCs w:val="18"/>
      </w:rPr>
    </w:pPr>
    <w:r>
      <w:rPr>
        <w:rFonts w:hint="eastAsia" w:ascii="宋体" w:hAnsi="宋体" w:cs="宋体"/>
        <w:sz w:val="18"/>
        <w:szCs w:val="18"/>
      </w:rPr>
      <w:t>湖口县金砂湾工业园集中污水处理厂突发环境事件应急预案</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center"/>
    </w:pPr>
    <w:r>
      <w:rPr>
        <w:rFonts w:hint="eastAsia" w:ascii="宋体" w:hAnsi="宋体" w:cs="宋体"/>
        <w:sz w:val="18"/>
        <w:szCs w:val="18"/>
      </w:rPr>
      <w:t>湖口县金砂湾工业园集中污水处理厂突发环境事件应急预案</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ind w:firstLine="440"/>
      <w:rPr>
        <w:sz w:val="20"/>
        <w:szCs w:val="20"/>
      </w:rPr>
    </w:pPr>
    <w:r>
      <w:rPr>
        <w:rFonts w:ascii="Times New Roman" w:hAnsi="Times New Roman" w:cs="黑体"/>
        <w:sz w:val="22"/>
        <w:szCs w:val="22"/>
        <w:lang w:eastAsia="en-US"/>
      </w:rPr>
      <w:pict>
        <v:shape id="_x0000_s3074" o:spid="_x0000_s3074" o:spt="202" type="#_x0000_t202" style="position:absolute;left:0pt;margin-left:125.7pt;margin-top:36.2pt;height:19.4pt;width:342.35pt;mso-position-horizontal-relative:page;mso-position-vertical-relative:page;z-index:-251635712;mso-width-relative:page;mso-height-relative:page;" filled="f" stroked="f" coordsize="21600,21600" o:gfxdata="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WAAAAZHJzL1BLAQIUABQA&#10;AAAIAIdO4kDHqSSN2QAAAAoBAAAPAAAAAAAAAAEAIAAAADgAAABkcnMvZG93bnJldi54bWxQSwEC&#10;FAAUAAAACACHTuJA/suoW6QBAAAuAwAADgAAAAAAAAABACAAAAA+AQAAZHJzL2Uyb0RvYy54bWxQ&#10;SwUGAAAAAAYABgBZAQAAVAUAAAAA&#10;">
          <v:path/>
          <v:fill on="f" focussize="0,0"/>
          <v:stroke on="f" joinstyle="miter"/>
          <v:imagedata o:title=""/>
          <o:lock v:ext="edit"/>
          <v:textbox inset="0mm,0mm,0mm,0mm">
            <w:txbxContent>
              <w:p>
                <w:pPr>
                  <w:pStyle w:val="31"/>
                  <w:pBdr>
                    <w:bottom w:val="single" w:color="auto" w:sz="4" w:space="1"/>
                  </w:pBdr>
                  <w:ind w:firstLine="420"/>
                  <w:rPr>
                    <w:sz w:val="21"/>
                    <w:szCs w:val="21"/>
                  </w:rPr>
                </w:pPr>
                <w:r>
                  <w:rPr>
                    <w:rFonts w:hint="eastAsia" w:cs="宋体"/>
                    <w:sz w:val="21"/>
                    <w:szCs w:val="21"/>
                  </w:rPr>
                  <w:t>湖口县金砂湾工业园污水处理厂突发环境事件应急预案</w:t>
                </w:r>
              </w:p>
              <w:p>
                <w:pPr>
                  <w:ind w:firstLine="480"/>
                </w:pPr>
              </w:p>
            </w:txbxContent>
          </v:textbox>
        </v:shape>
      </w:pict>
    </w:r>
    <w:r>
      <w:rPr>
        <w:rFonts w:ascii="Times New Roman" w:hAnsi="Times New Roman" w:cs="黑体"/>
        <w:sz w:val="22"/>
        <w:szCs w:val="22"/>
        <w:lang w:eastAsia="en-US"/>
      </w:rPr>
      <w:pict>
        <v:group id="_x0000_s3075" o:spid="_x0000_s3075" o:spt="203" style="position:absolute;left:0pt;margin-left:88.4pt;margin-top:55.5pt;height:0.1pt;width:437.6pt;mso-position-horizontal-relative:page;mso-position-vertical-relative:page;z-index:-251636736;mso-width-relative:page;mso-height-relative:page;" coordorigin="1768,1110" coordsize="8752,2203" o:gfxdata="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BYAAABkcnMvUEsBAhQAFAAAAAgAh07iQIqGbNXYAAAA&#10;DAEAAA8AAAAAAAAAAQAgAAAAOAAAAGRycy9kb3ducmV2LnhtbFBLAQIUABQAAAAIAIdO4kDLUGSL&#10;eQIAAGsFAAAOAAAAAAAAAAEAIAAAAD0BAABkcnMvZTJvRG9jLnhtbFBLBQYAAAAABgAGAFkBAAAo&#10;BgAAAAA=&#10;">
          <o:lock v:ext="edit"/>
          <v:shape id="_x0000_s3076" o:spid="_x0000_s3076" o:spt="100" style="position:absolute;left:1768;top:1110;height:2;width:8752;" filled="f" coordsize="8752,1" o:gfxdata="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" adj="" path="m0,0l8751,0e">
            <v:path o:connecttype="segments"/>
            <v:fill on="f" focussize="0,0"/>
            <v:stroke weight="0.47992125984252pt" joinstyle="round"/>
            <v:imagedata o:title=""/>
            <o:lock v:ext="edit"/>
          </v:shape>
        </v:group>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center"/>
    </w:pPr>
    <w:r>
      <w:rPr>
        <w:rFonts w:hint="eastAsia" w:ascii="宋体" w:hAnsi="宋体" w:cs="宋体"/>
        <w:sz w:val="18"/>
        <w:szCs w:val="18"/>
      </w:rPr>
      <w:t>江西瓷城工业区污水处理厂突发环境事件应急预案</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40" w:lineRule="auto"/>
      <w:ind w:firstLine="0" w:firstLineChars="0"/>
      <w:jc w:val="center"/>
    </w:pPr>
    <w:r>
      <w:rPr>
        <w:rFonts w:hint="eastAsia" w:ascii="宋体" w:hAnsi="宋体" w:cs="宋体"/>
        <w:sz w:val="18"/>
        <w:szCs w:val="18"/>
      </w:rPr>
      <w:t>湖口县金砂湾工业园污水处理厂突发环境事件应急预案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A090416"/>
    <w:multiLevelType w:val="multilevel"/>
    <w:tmpl w:val="1A090416"/>
    <w:lvl w:ilvl="0" w:tentative="0">
      <w:start w:val="1"/>
      <w:numFmt w:val="lowerLetter"/>
      <w:lvlText w:val="%1."/>
      <w:lvlJc w:val="left"/>
      <w:pPr>
        <w:tabs>
          <w:tab w:val="left" w:pos="0"/>
        </w:tabs>
        <w:ind w:left="720" w:hanging="360"/>
      </w:pPr>
      <w:rPr>
        <w:rFonts w:hint="default"/>
      </w:rPr>
    </w:lvl>
    <w:lvl w:ilvl="1" w:tentative="0">
      <w:start w:val="1"/>
      <w:numFmt w:val="lowerLetter"/>
      <w:lvlText w:val="%2."/>
      <w:lvlJc w:val="left"/>
      <w:pPr>
        <w:tabs>
          <w:tab w:val="left" w:pos="0"/>
        </w:tabs>
        <w:ind w:left="1440" w:hanging="360"/>
      </w:pPr>
    </w:lvl>
    <w:lvl w:ilvl="2" w:tentative="0">
      <w:start w:val="1"/>
      <w:numFmt w:val="lowerRoman"/>
      <w:lvlText w:val="%3."/>
      <w:lvlJc w:val="right"/>
      <w:pPr>
        <w:tabs>
          <w:tab w:val="left" w:pos="0"/>
        </w:tabs>
        <w:ind w:left="2160" w:hanging="180"/>
      </w:pPr>
    </w:lvl>
    <w:lvl w:ilvl="3" w:tentative="0">
      <w:start w:val="1"/>
      <w:numFmt w:val="decimal"/>
      <w:lvlText w:val="%4."/>
      <w:lvlJc w:val="left"/>
      <w:pPr>
        <w:tabs>
          <w:tab w:val="left" w:pos="0"/>
        </w:tabs>
        <w:ind w:left="2880" w:hanging="360"/>
      </w:pPr>
    </w:lvl>
    <w:lvl w:ilvl="4" w:tentative="0">
      <w:start w:val="1"/>
      <w:numFmt w:val="lowerLetter"/>
      <w:lvlText w:val="%5."/>
      <w:lvlJc w:val="left"/>
      <w:pPr>
        <w:tabs>
          <w:tab w:val="left" w:pos="0"/>
        </w:tabs>
        <w:ind w:left="3600" w:hanging="360"/>
      </w:pPr>
    </w:lvl>
    <w:lvl w:ilvl="5" w:tentative="0">
      <w:start w:val="1"/>
      <w:numFmt w:val="lowerRoman"/>
      <w:lvlText w:val="%6."/>
      <w:lvlJc w:val="right"/>
      <w:pPr>
        <w:tabs>
          <w:tab w:val="left" w:pos="0"/>
        </w:tabs>
        <w:ind w:left="4320" w:hanging="180"/>
      </w:pPr>
    </w:lvl>
    <w:lvl w:ilvl="6" w:tentative="0">
      <w:start w:val="1"/>
      <w:numFmt w:val="decimal"/>
      <w:lvlText w:val="%7."/>
      <w:lvlJc w:val="left"/>
      <w:pPr>
        <w:tabs>
          <w:tab w:val="left" w:pos="0"/>
        </w:tabs>
        <w:ind w:left="5040" w:hanging="360"/>
      </w:pPr>
    </w:lvl>
    <w:lvl w:ilvl="7" w:tentative="0">
      <w:start w:val="1"/>
      <w:numFmt w:val="lowerLetter"/>
      <w:lvlText w:val="%8."/>
      <w:lvlJc w:val="left"/>
      <w:pPr>
        <w:tabs>
          <w:tab w:val="left" w:pos="0"/>
        </w:tabs>
        <w:ind w:left="5760" w:hanging="360"/>
      </w:pPr>
    </w:lvl>
    <w:lvl w:ilvl="8" w:tentative="0">
      <w:start w:val="1"/>
      <w:numFmt w:val="lowerRoman"/>
      <w:lvlText w:val="%9."/>
      <w:lvlJc w:val="right"/>
      <w:pPr>
        <w:tabs>
          <w:tab w:val="left" w:pos="0"/>
        </w:tabs>
        <w:ind w:left="6480" w:hanging="180"/>
      </w:pPr>
    </w:lvl>
  </w:abstractNum>
  <w:abstractNum w:abstractNumId="1">
    <w:nsid w:val="24947ECA"/>
    <w:multiLevelType w:val="multilevel"/>
    <w:tmpl w:val="24947EC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2EF18953"/>
    <w:multiLevelType w:val="singleLevel"/>
    <w:tmpl w:val="2EF18953"/>
    <w:lvl w:ilvl="0" w:tentative="0">
      <w:start w:val="1"/>
      <w:numFmt w:val="decimal"/>
      <w:suff w:val="nothing"/>
      <w:lvlText w:val="%1、"/>
      <w:lvlJc w:val="left"/>
    </w:lvl>
  </w:abstractNum>
  <w:abstractNum w:abstractNumId="3">
    <w:nsid w:val="30963620"/>
    <w:multiLevelType w:val="multilevel"/>
    <w:tmpl w:val="30963620"/>
    <w:lvl w:ilvl="0" w:tentative="0">
      <w:start w:val="0"/>
      <w:numFmt w:val="bullet"/>
      <w:lvlText w:val="□"/>
      <w:lvlJc w:val="left"/>
      <w:pPr>
        <w:tabs>
          <w:tab w:val="left" w:pos="360"/>
        </w:tabs>
        <w:ind w:left="360" w:hanging="360"/>
      </w:pPr>
      <w:rPr>
        <w:rFonts w:hint="eastAsia" w:ascii="MingLiU" w:hAnsi="MingLiU" w:eastAsia="MingLiU" w:cs="Times New Roman"/>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
    <w:nsid w:val="3929217B"/>
    <w:multiLevelType w:val="multilevel"/>
    <w:tmpl w:val="3929217B"/>
    <w:lvl w:ilvl="0" w:tentative="0">
      <w:start w:val="1"/>
      <w:numFmt w:val="decimal"/>
      <w:lvlText w:val="%1、"/>
      <w:lvlJc w:val="left"/>
      <w:pPr>
        <w:tabs>
          <w:tab w:val="left" w:pos="360"/>
        </w:tabs>
        <w:ind w:left="360" w:hanging="360"/>
      </w:pPr>
      <w:rPr>
        <w:rFonts w:hint="default"/>
        <w:b/>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3D0E0B8E"/>
    <w:multiLevelType w:val="multilevel"/>
    <w:tmpl w:val="3D0E0B8E"/>
    <w:lvl w:ilvl="0" w:tentative="0">
      <w:start w:val="1"/>
      <w:numFmt w:val="decimal"/>
      <w:lvlText w:val="（%1）"/>
      <w:lvlJc w:val="left"/>
      <w:pPr>
        <w:tabs>
          <w:tab w:val="left" w:pos="0"/>
        </w:tabs>
        <w:ind w:left="1290" w:hanging="720"/>
      </w:pPr>
      <w:rPr>
        <w:rFonts w:hint="default"/>
      </w:rPr>
    </w:lvl>
    <w:lvl w:ilvl="1" w:tentative="0">
      <w:start w:val="1"/>
      <w:numFmt w:val="lowerLetter"/>
      <w:lvlText w:val="%2)"/>
      <w:lvlJc w:val="left"/>
      <w:pPr>
        <w:tabs>
          <w:tab w:val="left" w:pos="0"/>
        </w:tabs>
        <w:ind w:left="1410" w:hanging="420"/>
      </w:pPr>
    </w:lvl>
    <w:lvl w:ilvl="2" w:tentative="0">
      <w:start w:val="1"/>
      <w:numFmt w:val="lowerRoman"/>
      <w:lvlText w:val="%3."/>
      <w:lvlJc w:val="right"/>
      <w:pPr>
        <w:tabs>
          <w:tab w:val="left" w:pos="0"/>
        </w:tabs>
        <w:ind w:left="1830" w:hanging="420"/>
      </w:pPr>
    </w:lvl>
    <w:lvl w:ilvl="3" w:tentative="0">
      <w:start w:val="1"/>
      <w:numFmt w:val="decimal"/>
      <w:lvlText w:val="%4."/>
      <w:lvlJc w:val="left"/>
      <w:pPr>
        <w:tabs>
          <w:tab w:val="left" w:pos="0"/>
        </w:tabs>
        <w:ind w:left="2250" w:hanging="420"/>
      </w:pPr>
    </w:lvl>
    <w:lvl w:ilvl="4" w:tentative="0">
      <w:start w:val="1"/>
      <w:numFmt w:val="lowerLetter"/>
      <w:lvlText w:val="%5)"/>
      <w:lvlJc w:val="left"/>
      <w:pPr>
        <w:tabs>
          <w:tab w:val="left" w:pos="0"/>
        </w:tabs>
        <w:ind w:left="2670" w:hanging="420"/>
      </w:pPr>
    </w:lvl>
    <w:lvl w:ilvl="5" w:tentative="0">
      <w:start w:val="1"/>
      <w:numFmt w:val="lowerRoman"/>
      <w:lvlText w:val="%6."/>
      <w:lvlJc w:val="right"/>
      <w:pPr>
        <w:tabs>
          <w:tab w:val="left" w:pos="0"/>
        </w:tabs>
        <w:ind w:left="3090" w:hanging="420"/>
      </w:pPr>
    </w:lvl>
    <w:lvl w:ilvl="6" w:tentative="0">
      <w:start w:val="1"/>
      <w:numFmt w:val="decimal"/>
      <w:lvlText w:val="%7."/>
      <w:lvlJc w:val="left"/>
      <w:pPr>
        <w:tabs>
          <w:tab w:val="left" w:pos="0"/>
        </w:tabs>
        <w:ind w:left="3510" w:hanging="420"/>
      </w:pPr>
    </w:lvl>
    <w:lvl w:ilvl="7" w:tentative="0">
      <w:start w:val="1"/>
      <w:numFmt w:val="lowerLetter"/>
      <w:lvlText w:val="%8)"/>
      <w:lvlJc w:val="left"/>
      <w:pPr>
        <w:tabs>
          <w:tab w:val="left" w:pos="0"/>
        </w:tabs>
        <w:ind w:left="3930" w:hanging="420"/>
      </w:pPr>
    </w:lvl>
    <w:lvl w:ilvl="8" w:tentative="0">
      <w:start w:val="1"/>
      <w:numFmt w:val="lowerRoman"/>
      <w:lvlText w:val="%9."/>
      <w:lvlJc w:val="right"/>
      <w:pPr>
        <w:tabs>
          <w:tab w:val="left" w:pos="0"/>
        </w:tabs>
        <w:ind w:left="4350" w:hanging="420"/>
      </w:pPr>
    </w:lvl>
  </w:abstractNum>
  <w:abstractNum w:abstractNumId="6">
    <w:nsid w:val="596DEBA7"/>
    <w:multiLevelType w:val="singleLevel"/>
    <w:tmpl w:val="596DEBA7"/>
    <w:lvl w:ilvl="0" w:tentative="0">
      <w:start w:val="1"/>
      <w:numFmt w:val="decimal"/>
      <w:suff w:val="nothing"/>
      <w:lvlText w:val="（%1）"/>
      <w:lvlJc w:val="left"/>
    </w:lvl>
  </w:abstractNum>
  <w:abstractNum w:abstractNumId="7">
    <w:nsid w:val="59B48642"/>
    <w:multiLevelType w:val="singleLevel"/>
    <w:tmpl w:val="59B48642"/>
    <w:lvl w:ilvl="0" w:tentative="0">
      <w:start w:val="1"/>
      <w:numFmt w:val="decimal"/>
      <w:suff w:val="nothing"/>
      <w:lvlText w:val="%1）"/>
      <w:lvlJc w:val="left"/>
    </w:lvl>
  </w:abstractNum>
  <w:abstractNum w:abstractNumId="8">
    <w:nsid w:val="5A0029FB"/>
    <w:multiLevelType w:val="singleLevel"/>
    <w:tmpl w:val="5A0029FB"/>
    <w:lvl w:ilvl="0" w:tentative="0">
      <w:start w:val="1"/>
      <w:numFmt w:val="decimal"/>
      <w:suff w:val="nothing"/>
      <w:lvlText w:val="（%1）"/>
      <w:lvlJc w:val="left"/>
    </w:lvl>
  </w:abstractNum>
  <w:num w:numId="1">
    <w:abstractNumId w:val="6"/>
  </w:num>
  <w:num w:numId="2">
    <w:abstractNumId w:val="8"/>
  </w:num>
  <w:num w:numId="3">
    <w:abstractNumId w:val="7"/>
  </w:num>
  <w:num w:numId="4">
    <w:abstractNumId w:val="5"/>
  </w:num>
  <w:num w:numId="5">
    <w:abstractNumId w:val="1"/>
  </w:num>
  <w:num w:numId="6">
    <w:abstractNumId w:val="0"/>
  </w:num>
  <w:num w:numId="7">
    <w:abstractNumId w:val="2"/>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420"/>
  <w:drawingGridVerticalSpacing w:val="159"/>
  <w:noPunctuationKerning w:val="1"/>
  <w:characterSpacingControl w:val="compressPunctuation"/>
  <w:doNotValidateAgainstSchema/>
  <w:doNotDemarcateInvalidXml/>
  <w:hdrShapeDefaults>
    <o:shapelayout v:ext="edit">
      <o:idmap v:ext="edit" data="3"/>
    </o:shapelayout>
  </w:hdrShapeDefaults>
  <w:footnotePr>
    <w:footnote w:id="0"/>
    <w:footnote w:id="1"/>
  </w:footnotePr>
  <w:endnotePr>
    <w:endnote w:id="0"/>
    <w:endnote w:id="1"/>
  </w:endnotePr>
  <w:compat>
    <w:spaceForUL/>
    <w:balanceSingleByteDoubleByteWidth/>
    <w:doNotLeaveBackslashAlone/>
    <w:doNotExpandShiftReturn/>
    <w:adjustLineHeightInTable/>
    <w:useFELayout/>
    <w:compatSetting w:name="compatibilityMode" w:uri="http://schemas.microsoft.com/office/word" w:val="12"/>
  </w:compat>
  <w:rsids>
    <w:rsidRoot w:val="00172A27"/>
    <w:rsid w:val="0000081E"/>
    <w:rsid w:val="0000134F"/>
    <w:rsid w:val="000015E9"/>
    <w:rsid w:val="00002756"/>
    <w:rsid w:val="00003790"/>
    <w:rsid w:val="00003AD3"/>
    <w:rsid w:val="00003E52"/>
    <w:rsid w:val="00004E6E"/>
    <w:rsid w:val="00005219"/>
    <w:rsid w:val="000056E4"/>
    <w:rsid w:val="0000683B"/>
    <w:rsid w:val="00007045"/>
    <w:rsid w:val="000071D4"/>
    <w:rsid w:val="00007452"/>
    <w:rsid w:val="00007501"/>
    <w:rsid w:val="00007706"/>
    <w:rsid w:val="00007793"/>
    <w:rsid w:val="000078DF"/>
    <w:rsid w:val="00007CF6"/>
    <w:rsid w:val="00010451"/>
    <w:rsid w:val="00011682"/>
    <w:rsid w:val="00011AD7"/>
    <w:rsid w:val="00012D2A"/>
    <w:rsid w:val="00013475"/>
    <w:rsid w:val="000135CE"/>
    <w:rsid w:val="000140E4"/>
    <w:rsid w:val="0001474F"/>
    <w:rsid w:val="00014CE1"/>
    <w:rsid w:val="0001549E"/>
    <w:rsid w:val="00015715"/>
    <w:rsid w:val="00015A2E"/>
    <w:rsid w:val="00015BE6"/>
    <w:rsid w:val="00015D5E"/>
    <w:rsid w:val="000166E6"/>
    <w:rsid w:val="0001699F"/>
    <w:rsid w:val="00016BAC"/>
    <w:rsid w:val="000170C7"/>
    <w:rsid w:val="00017301"/>
    <w:rsid w:val="000174E3"/>
    <w:rsid w:val="0001770D"/>
    <w:rsid w:val="000200BD"/>
    <w:rsid w:val="000208C8"/>
    <w:rsid w:val="00020C7F"/>
    <w:rsid w:val="00020CB5"/>
    <w:rsid w:val="000212CD"/>
    <w:rsid w:val="000216C7"/>
    <w:rsid w:val="00022615"/>
    <w:rsid w:val="00022C06"/>
    <w:rsid w:val="00023C75"/>
    <w:rsid w:val="00023CF2"/>
    <w:rsid w:val="00023D9F"/>
    <w:rsid w:val="0002416F"/>
    <w:rsid w:val="00024296"/>
    <w:rsid w:val="00024EBA"/>
    <w:rsid w:val="000254DE"/>
    <w:rsid w:val="0002578C"/>
    <w:rsid w:val="000272AD"/>
    <w:rsid w:val="00027605"/>
    <w:rsid w:val="00030909"/>
    <w:rsid w:val="000310DE"/>
    <w:rsid w:val="000315E4"/>
    <w:rsid w:val="00031BBE"/>
    <w:rsid w:val="00032DCD"/>
    <w:rsid w:val="000331B5"/>
    <w:rsid w:val="0003358B"/>
    <w:rsid w:val="00033A80"/>
    <w:rsid w:val="00033ABB"/>
    <w:rsid w:val="00034407"/>
    <w:rsid w:val="00036711"/>
    <w:rsid w:val="000367FC"/>
    <w:rsid w:val="00036FF4"/>
    <w:rsid w:val="00037013"/>
    <w:rsid w:val="000372FE"/>
    <w:rsid w:val="000373A9"/>
    <w:rsid w:val="00037415"/>
    <w:rsid w:val="000379A4"/>
    <w:rsid w:val="000379FB"/>
    <w:rsid w:val="0004025F"/>
    <w:rsid w:val="0004048C"/>
    <w:rsid w:val="000404AE"/>
    <w:rsid w:val="0004059B"/>
    <w:rsid w:val="000409AA"/>
    <w:rsid w:val="000410CE"/>
    <w:rsid w:val="00041101"/>
    <w:rsid w:val="000414B6"/>
    <w:rsid w:val="00041904"/>
    <w:rsid w:val="000427B2"/>
    <w:rsid w:val="0004294B"/>
    <w:rsid w:val="00042CE7"/>
    <w:rsid w:val="00042E90"/>
    <w:rsid w:val="00043F40"/>
    <w:rsid w:val="000441A0"/>
    <w:rsid w:val="00045FBF"/>
    <w:rsid w:val="0004647E"/>
    <w:rsid w:val="0004691D"/>
    <w:rsid w:val="00046983"/>
    <w:rsid w:val="00046C2E"/>
    <w:rsid w:val="00047358"/>
    <w:rsid w:val="00047591"/>
    <w:rsid w:val="0004776D"/>
    <w:rsid w:val="0005138B"/>
    <w:rsid w:val="00051706"/>
    <w:rsid w:val="000522F8"/>
    <w:rsid w:val="00052340"/>
    <w:rsid w:val="000523EF"/>
    <w:rsid w:val="00052442"/>
    <w:rsid w:val="000533BB"/>
    <w:rsid w:val="00054510"/>
    <w:rsid w:val="00055337"/>
    <w:rsid w:val="00056B57"/>
    <w:rsid w:val="00057390"/>
    <w:rsid w:val="0005753B"/>
    <w:rsid w:val="000575D1"/>
    <w:rsid w:val="00061160"/>
    <w:rsid w:val="00061474"/>
    <w:rsid w:val="0006162C"/>
    <w:rsid w:val="00061678"/>
    <w:rsid w:val="000617E0"/>
    <w:rsid w:val="00063C7F"/>
    <w:rsid w:val="0006457D"/>
    <w:rsid w:val="00064C30"/>
    <w:rsid w:val="000653EA"/>
    <w:rsid w:val="0006557B"/>
    <w:rsid w:val="000655EC"/>
    <w:rsid w:val="00065F8F"/>
    <w:rsid w:val="00066257"/>
    <w:rsid w:val="000662E8"/>
    <w:rsid w:val="000666C4"/>
    <w:rsid w:val="00066B39"/>
    <w:rsid w:val="00066C6B"/>
    <w:rsid w:val="00066DD2"/>
    <w:rsid w:val="00066ED2"/>
    <w:rsid w:val="00067257"/>
    <w:rsid w:val="0006731D"/>
    <w:rsid w:val="00067715"/>
    <w:rsid w:val="00067842"/>
    <w:rsid w:val="000679C5"/>
    <w:rsid w:val="0007071E"/>
    <w:rsid w:val="00070CE0"/>
    <w:rsid w:val="00071261"/>
    <w:rsid w:val="00071725"/>
    <w:rsid w:val="0007236F"/>
    <w:rsid w:val="00072586"/>
    <w:rsid w:val="00073C59"/>
    <w:rsid w:val="000743F7"/>
    <w:rsid w:val="00074511"/>
    <w:rsid w:val="0007496A"/>
    <w:rsid w:val="00074EE6"/>
    <w:rsid w:val="00076CAF"/>
    <w:rsid w:val="00077DE6"/>
    <w:rsid w:val="0008029B"/>
    <w:rsid w:val="000802A0"/>
    <w:rsid w:val="000803E9"/>
    <w:rsid w:val="0008095F"/>
    <w:rsid w:val="00080C76"/>
    <w:rsid w:val="00080CA6"/>
    <w:rsid w:val="00081719"/>
    <w:rsid w:val="00081A17"/>
    <w:rsid w:val="00082CB6"/>
    <w:rsid w:val="00083119"/>
    <w:rsid w:val="0008368F"/>
    <w:rsid w:val="00083939"/>
    <w:rsid w:val="00083F36"/>
    <w:rsid w:val="00084A77"/>
    <w:rsid w:val="00085041"/>
    <w:rsid w:val="00085422"/>
    <w:rsid w:val="000856F8"/>
    <w:rsid w:val="000858C6"/>
    <w:rsid w:val="000873C3"/>
    <w:rsid w:val="000875D4"/>
    <w:rsid w:val="00090209"/>
    <w:rsid w:val="0009059F"/>
    <w:rsid w:val="00090F34"/>
    <w:rsid w:val="00091DAE"/>
    <w:rsid w:val="00091FE2"/>
    <w:rsid w:val="000927E6"/>
    <w:rsid w:val="00093CAC"/>
    <w:rsid w:val="00093E41"/>
    <w:rsid w:val="000941CD"/>
    <w:rsid w:val="00094CEE"/>
    <w:rsid w:val="00095CDC"/>
    <w:rsid w:val="000964D0"/>
    <w:rsid w:val="00097885"/>
    <w:rsid w:val="000A06CE"/>
    <w:rsid w:val="000A0CE0"/>
    <w:rsid w:val="000A17C4"/>
    <w:rsid w:val="000A2554"/>
    <w:rsid w:val="000A2D09"/>
    <w:rsid w:val="000A318A"/>
    <w:rsid w:val="000A359B"/>
    <w:rsid w:val="000A3A45"/>
    <w:rsid w:val="000A48ED"/>
    <w:rsid w:val="000A6F23"/>
    <w:rsid w:val="000A6FC4"/>
    <w:rsid w:val="000A7A62"/>
    <w:rsid w:val="000B01D4"/>
    <w:rsid w:val="000B02D1"/>
    <w:rsid w:val="000B0452"/>
    <w:rsid w:val="000B0709"/>
    <w:rsid w:val="000B09E3"/>
    <w:rsid w:val="000B0CFB"/>
    <w:rsid w:val="000B0EAD"/>
    <w:rsid w:val="000B14B1"/>
    <w:rsid w:val="000B1536"/>
    <w:rsid w:val="000B1F8D"/>
    <w:rsid w:val="000B2853"/>
    <w:rsid w:val="000B35CF"/>
    <w:rsid w:val="000B362F"/>
    <w:rsid w:val="000B3D7E"/>
    <w:rsid w:val="000B479C"/>
    <w:rsid w:val="000B5320"/>
    <w:rsid w:val="000B5626"/>
    <w:rsid w:val="000B564F"/>
    <w:rsid w:val="000B56FD"/>
    <w:rsid w:val="000B5C0F"/>
    <w:rsid w:val="000B5CBE"/>
    <w:rsid w:val="000B5DBB"/>
    <w:rsid w:val="000B5E0E"/>
    <w:rsid w:val="000B61EB"/>
    <w:rsid w:val="000B66DB"/>
    <w:rsid w:val="000B6D01"/>
    <w:rsid w:val="000B766B"/>
    <w:rsid w:val="000B7EAA"/>
    <w:rsid w:val="000C0665"/>
    <w:rsid w:val="000C073F"/>
    <w:rsid w:val="000C15C4"/>
    <w:rsid w:val="000C1A23"/>
    <w:rsid w:val="000C1AAC"/>
    <w:rsid w:val="000C1F37"/>
    <w:rsid w:val="000C1FC1"/>
    <w:rsid w:val="000C2179"/>
    <w:rsid w:val="000C2235"/>
    <w:rsid w:val="000C3602"/>
    <w:rsid w:val="000C3BFC"/>
    <w:rsid w:val="000C4750"/>
    <w:rsid w:val="000C4A21"/>
    <w:rsid w:val="000C4A50"/>
    <w:rsid w:val="000C5103"/>
    <w:rsid w:val="000C71BC"/>
    <w:rsid w:val="000C7420"/>
    <w:rsid w:val="000C7F28"/>
    <w:rsid w:val="000D0812"/>
    <w:rsid w:val="000D1330"/>
    <w:rsid w:val="000D1EAF"/>
    <w:rsid w:val="000D2186"/>
    <w:rsid w:val="000D2540"/>
    <w:rsid w:val="000D28F5"/>
    <w:rsid w:val="000D2E74"/>
    <w:rsid w:val="000D2F50"/>
    <w:rsid w:val="000D325A"/>
    <w:rsid w:val="000D37C6"/>
    <w:rsid w:val="000D473F"/>
    <w:rsid w:val="000D4E78"/>
    <w:rsid w:val="000D4F11"/>
    <w:rsid w:val="000D52AB"/>
    <w:rsid w:val="000D57BD"/>
    <w:rsid w:val="000D5F6C"/>
    <w:rsid w:val="000D6FBF"/>
    <w:rsid w:val="000D709B"/>
    <w:rsid w:val="000D7E08"/>
    <w:rsid w:val="000E0427"/>
    <w:rsid w:val="000E163A"/>
    <w:rsid w:val="000E1667"/>
    <w:rsid w:val="000E1ABE"/>
    <w:rsid w:val="000E23DA"/>
    <w:rsid w:val="000E378C"/>
    <w:rsid w:val="000E3908"/>
    <w:rsid w:val="000E5062"/>
    <w:rsid w:val="000E5842"/>
    <w:rsid w:val="000E6885"/>
    <w:rsid w:val="000E6E60"/>
    <w:rsid w:val="000E7B61"/>
    <w:rsid w:val="000E7C00"/>
    <w:rsid w:val="000E7C98"/>
    <w:rsid w:val="000E7E1C"/>
    <w:rsid w:val="000E7EC1"/>
    <w:rsid w:val="000F0484"/>
    <w:rsid w:val="000F04D8"/>
    <w:rsid w:val="000F0D12"/>
    <w:rsid w:val="000F1271"/>
    <w:rsid w:val="000F2D7E"/>
    <w:rsid w:val="000F30AF"/>
    <w:rsid w:val="000F34CE"/>
    <w:rsid w:val="000F3672"/>
    <w:rsid w:val="000F4EC7"/>
    <w:rsid w:val="000F54AE"/>
    <w:rsid w:val="000F5655"/>
    <w:rsid w:val="000F5DD5"/>
    <w:rsid w:val="000F6108"/>
    <w:rsid w:val="000F7041"/>
    <w:rsid w:val="000F7B71"/>
    <w:rsid w:val="000F7BE8"/>
    <w:rsid w:val="000F7F42"/>
    <w:rsid w:val="0010058A"/>
    <w:rsid w:val="001008BF"/>
    <w:rsid w:val="00101792"/>
    <w:rsid w:val="00101C15"/>
    <w:rsid w:val="00102EFD"/>
    <w:rsid w:val="00103BD0"/>
    <w:rsid w:val="0010418F"/>
    <w:rsid w:val="00104305"/>
    <w:rsid w:val="00104A91"/>
    <w:rsid w:val="00104C79"/>
    <w:rsid w:val="00104D0A"/>
    <w:rsid w:val="001055EA"/>
    <w:rsid w:val="001060F9"/>
    <w:rsid w:val="001067C2"/>
    <w:rsid w:val="001069E3"/>
    <w:rsid w:val="001074A1"/>
    <w:rsid w:val="00107670"/>
    <w:rsid w:val="001103D8"/>
    <w:rsid w:val="00111674"/>
    <w:rsid w:val="00111828"/>
    <w:rsid w:val="001118B5"/>
    <w:rsid w:val="00113427"/>
    <w:rsid w:val="00113626"/>
    <w:rsid w:val="001139B8"/>
    <w:rsid w:val="001145AF"/>
    <w:rsid w:val="00114B7A"/>
    <w:rsid w:val="00114E7F"/>
    <w:rsid w:val="0011521E"/>
    <w:rsid w:val="00115A70"/>
    <w:rsid w:val="001163CC"/>
    <w:rsid w:val="00116498"/>
    <w:rsid w:val="00116503"/>
    <w:rsid w:val="001176F6"/>
    <w:rsid w:val="001178B2"/>
    <w:rsid w:val="001178BA"/>
    <w:rsid w:val="00120460"/>
    <w:rsid w:val="0012072D"/>
    <w:rsid w:val="001208EC"/>
    <w:rsid w:val="0012139A"/>
    <w:rsid w:val="0012140D"/>
    <w:rsid w:val="00121D61"/>
    <w:rsid w:val="00121E92"/>
    <w:rsid w:val="00122467"/>
    <w:rsid w:val="00122626"/>
    <w:rsid w:val="00123188"/>
    <w:rsid w:val="00125325"/>
    <w:rsid w:val="001253CC"/>
    <w:rsid w:val="0012550C"/>
    <w:rsid w:val="00126435"/>
    <w:rsid w:val="0012677F"/>
    <w:rsid w:val="00126866"/>
    <w:rsid w:val="00126AD1"/>
    <w:rsid w:val="00126DFB"/>
    <w:rsid w:val="00127223"/>
    <w:rsid w:val="00127854"/>
    <w:rsid w:val="00127CCF"/>
    <w:rsid w:val="00127F73"/>
    <w:rsid w:val="001308F4"/>
    <w:rsid w:val="00130E1B"/>
    <w:rsid w:val="00131D7E"/>
    <w:rsid w:val="00131DA4"/>
    <w:rsid w:val="001322D0"/>
    <w:rsid w:val="00132BA4"/>
    <w:rsid w:val="00132C7F"/>
    <w:rsid w:val="00133075"/>
    <w:rsid w:val="00133C57"/>
    <w:rsid w:val="001345AF"/>
    <w:rsid w:val="00134ACA"/>
    <w:rsid w:val="00135249"/>
    <w:rsid w:val="00135B0F"/>
    <w:rsid w:val="00135C44"/>
    <w:rsid w:val="00135D29"/>
    <w:rsid w:val="00135F0F"/>
    <w:rsid w:val="001365CF"/>
    <w:rsid w:val="00136CD4"/>
    <w:rsid w:val="001375BE"/>
    <w:rsid w:val="00137DD3"/>
    <w:rsid w:val="00137F8A"/>
    <w:rsid w:val="00141570"/>
    <w:rsid w:val="001419AF"/>
    <w:rsid w:val="00142348"/>
    <w:rsid w:val="001427E5"/>
    <w:rsid w:val="001430C8"/>
    <w:rsid w:val="00143396"/>
    <w:rsid w:val="00143547"/>
    <w:rsid w:val="001435F8"/>
    <w:rsid w:val="00143FA6"/>
    <w:rsid w:val="00144CC7"/>
    <w:rsid w:val="00145A5E"/>
    <w:rsid w:val="00145E6C"/>
    <w:rsid w:val="001460D7"/>
    <w:rsid w:val="00146221"/>
    <w:rsid w:val="001465A2"/>
    <w:rsid w:val="00146DBC"/>
    <w:rsid w:val="00147952"/>
    <w:rsid w:val="001506A8"/>
    <w:rsid w:val="001510F7"/>
    <w:rsid w:val="0015127C"/>
    <w:rsid w:val="001517ED"/>
    <w:rsid w:val="0015184F"/>
    <w:rsid w:val="001519CD"/>
    <w:rsid w:val="00151CFE"/>
    <w:rsid w:val="00151F19"/>
    <w:rsid w:val="00152DCC"/>
    <w:rsid w:val="00152DDD"/>
    <w:rsid w:val="0015370F"/>
    <w:rsid w:val="00153987"/>
    <w:rsid w:val="00153CEA"/>
    <w:rsid w:val="00153D24"/>
    <w:rsid w:val="001553E3"/>
    <w:rsid w:val="00155AC3"/>
    <w:rsid w:val="00155F2E"/>
    <w:rsid w:val="00156947"/>
    <w:rsid w:val="0015718B"/>
    <w:rsid w:val="00157400"/>
    <w:rsid w:val="00157540"/>
    <w:rsid w:val="00157B74"/>
    <w:rsid w:val="00160394"/>
    <w:rsid w:val="00160885"/>
    <w:rsid w:val="00160DD8"/>
    <w:rsid w:val="00161228"/>
    <w:rsid w:val="00161DA9"/>
    <w:rsid w:val="00162480"/>
    <w:rsid w:val="00162D1C"/>
    <w:rsid w:val="00162D50"/>
    <w:rsid w:val="00163B1C"/>
    <w:rsid w:val="00164B8A"/>
    <w:rsid w:val="00164D5B"/>
    <w:rsid w:val="00164E3E"/>
    <w:rsid w:val="0016532D"/>
    <w:rsid w:val="0016562D"/>
    <w:rsid w:val="00165765"/>
    <w:rsid w:val="0016670E"/>
    <w:rsid w:val="00167B04"/>
    <w:rsid w:val="001702DF"/>
    <w:rsid w:val="00170761"/>
    <w:rsid w:val="00170A30"/>
    <w:rsid w:val="00170BF3"/>
    <w:rsid w:val="00170F8D"/>
    <w:rsid w:val="00171163"/>
    <w:rsid w:val="00171F81"/>
    <w:rsid w:val="001723C5"/>
    <w:rsid w:val="00172A27"/>
    <w:rsid w:val="00172EFD"/>
    <w:rsid w:val="0017313C"/>
    <w:rsid w:val="001742F0"/>
    <w:rsid w:val="001748AE"/>
    <w:rsid w:val="00174CC1"/>
    <w:rsid w:val="00175622"/>
    <w:rsid w:val="00175AFD"/>
    <w:rsid w:val="00176020"/>
    <w:rsid w:val="0017764B"/>
    <w:rsid w:val="00177995"/>
    <w:rsid w:val="001806BB"/>
    <w:rsid w:val="00181CD8"/>
    <w:rsid w:val="0018249D"/>
    <w:rsid w:val="00182804"/>
    <w:rsid w:val="0018287D"/>
    <w:rsid w:val="00182E70"/>
    <w:rsid w:val="001830FB"/>
    <w:rsid w:val="0018374E"/>
    <w:rsid w:val="00184C41"/>
    <w:rsid w:val="00185544"/>
    <w:rsid w:val="001858DC"/>
    <w:rsid w:val="00185A01"/>
    <w:rsid w:val="00185EA7"/>
    <w:rsid w:val="00185F23"/>
    <w:rsid w:val="0018685A"/>
    <w:rsid w:val="00186B98"/>
    <w:rsid w:val="00187614"/>
    <w:rsid w:val="00187D45"/>
    <w:rsid w:val="00187FC5"/>
    <w:rsid w:val="00190EA7"/>
    <w:rsid w:val="00190EEB"/>
    <w:rsid w:val="001912F6"/>
    <w:rsid w:val="00191A27"/>
    <w:rsid w:val="00191B75"/>
    <w:rsid w:val="00191B7F"/>
    <w:rsid w:val="00191CDB"/>
    <w:rsid w:val="001923D9"/>
    <w:rsid w:val="00192458"/>
    <w:rsid w:val="00192575"/>
    <w:rsid w:val="001926D6"/>
    <w:rsid w:val="001929B8"/>
    <w:rsid w:val="001931EB"/>
    <w:rsid w:val="0019390D"/>
    <w:rsid w:val="00193A14"/>
    <w:rsid w:val="00193A70"/>
    <w:rsid w:val="00193BD1"/>
    <w:rsid w:val="00193CD4"/>
    <w:rsid w:val="00193D6E"/>
    <w:rsid w:val="00194497"/>
    <w:rsid w:val="00194976"/>
    <w:rsid w:val="00194C28"/>
    <w:rsid w:val="00194E13"/>
    <w:rsid w:val="001957BB"/>
    <w:rsid w:val="0019581C"/>
    <w:rsid w:val="00195849"/>
    <w:rsid w:val="00195CDA"/>
    <w:rsid w:val="00195F20"/>
    <w:rsid w:val="00196CBF"/>
    <w:rsid w:val="00197440"/>
    <w:rsid w:val="00197E59"/>
    <w:rsid w:val="001A011E"/>
    <w:rsid w:val="001A0178"/>
    <w:rsid w:val="001A03F2"/>
    <w:rsid w:val="001A0615"/>
    <w:rsid w:val="001A075B"/>
    <w:rsid w:val="001A1226"/>
    <w:rsid w:val="001A1E01"/>
    <w:rsid w:val="001A1FD5"/>
    <w:rsid w:val="001A2508"/>
    <w:rsid w:val="001A28D0"/>
    <w:rsid w:val="001A4608"/>
    <w:rsid w:val="001A531D"/>
    <w:rsid w:val="001A556A"/>
    <w:rsid w:val="001A56F2"/>
    <w:rsid w:val="001A617D"/>
    <w:rsid w:val="001A70E3"/>
    <w:rsid w:val="001B0307"/>
    <w:rsid w:val="001B03FE"/>
    <w:rsid w:val="001B07FA"/>
    <w:rsid w:val="001B0C87"/>
    <w:rsid w:val="001B1496"/>
    <w:rsid w:val="001B18E2"/>
    <w:rsid w:val="001B1B63"/>
    <w:rsid w:val="001B208E"/>
    <w:rsid w:val="001B28A1"/>
    <w:rsid w:val="001B2B22"/>
    <w:rsid w:val="001B2BEA"/>
    <w:rsid w:val="001B2EA5"/>
    <w:rsid w:val="001B32B5"/>
    <w:rsid w:val="001B371A"/>
    <w:rsid w:val="001B38DB"/>
    <w:rsid w:val="001B3F18"/>
    <w:rsid w:val="001B428C"/>
    <w:rsid w:val="001B4939"/>
    <w:rsid w:val="001B5131"/>
    <w:rsid w:val="001B66FD"/>
    <w:rsid w:val="001B692A"/>
    <w:rsid w:val="001B6BB2"/>
    <w:rsid w:val="001B6D75"/>
    <w:rsid w:val="001B6F91"/>
    <w:rsid w:val="001B7439"/>
    <w:rsid w:val="001B7C61"/>
    <w:rsid w:val="001C00BF"/>
    <w:rsid w:val="001C0156"/>
    <w:rsid w:val="001C0658"/>
    <w:rsid w:val="001C06CE"/>
    <w:rsid w:val="001C0AFA"/>
    <w:rsid w:val="001C14FD"/>
    <w:rsid w:val="001C21C6"/>
    <w:rsid w:val="001C25D7"/>
    <w:rsid w:val="001C3122"/>
    <w:rsid w:val="001C3397"/>
    <w:rsid w:val="001C3E1D"/>
    <w:rsid w:val="001C424C"/>
    <w:rsid w:val="001C48A7"/>
    <w:rsid w:val="001C49AD"/>
    <w:rsid w:val="001C5097"/>
    <w:rsid w:val="001C5327"/>
    <w:rsid w:val="001C6332"/>
    <w:rsid w:val="001C65DA"/>
    <w:rsid w:val="001C6B19"/>
    <w:rsid w:val="001C7396"/>
    <w:rsid w:val="001C7D9B"/>
    <w:rsid w:val="001D0C76"/>
    <w:rsid w:val="001D18F3"/>
    <w:rsid w:val="001D2801"/>
    <w:rsid w:val="001D2C83"/>
    <w:rsid w:val="001D3E70"/>
    <w:rsid w:val="001D3FA6"/>
    <w:rsid w:val="001D421A"/>
    <w:rsid w:val="001D42EA"/>
    <w:rsid w:val="001D44C3"/>
    <w:rsid w:val="001D4790"/>
    <w:rsid w:val="001D4862"/>
    <w:rsid w:val="001D48CC"/>
    <w:rsid w:val="001D4C41"/>
    <w:rsid w:val="001D51FB"/>
    <w:rsid w:val="001D5EC9"/>
    <w:rsid w:val="001D620E"/>
    <w:rsid w:val="001D6357"/>
    <w:rsid w:val="001D6418"/>
    <w:rsid w:val="001D6827"/>
    <w:rsid w:val="001D6871"/>
    <w:rsid w:val="001D6AE0"/>
    <w:rsid w:val="001D729E"/>
    <w:rsid w:val="001D7B5E"/>
    <w:rsid w:val="001D7E7F"/>
    <w:rsid w:val="001D7F86"/>
    <w:rsid w:val="001E186C"/>
    <w:rsid w:val="001E2758"/>
    <w:rsid w:val="001E37FA"/>
    <w:rsid w:val="001E3EAE"/>
    <w:rsid w:val="001E4C5F"/>
    <w:rsid w:val="001E4D60"/>
    <w:rsid w:val="001E4FE0"/>
    <w:rsid w:val="001E5011"/>
    <w:rsid w:val="001E6FC8"/>
    <w:rsid w:val="001E7388"/>
    <w:rsid w:val="001E74B1"/>
    <w:rsid w:val="001E7939"/>
    <w:rsid w:val="001E7BE2"/>
    <w:rsid w:val="001E7D15"/>
    <w:rsid w:val="001F0197"/>
    <w:rsid w:val="001F0335"/>
    <w:rsid w:val="001F04D5"/>
    <w:rsid w:val="001F1973"/>
    <w:rsid w:val="001F19D8"/>
    <w:rsid w:val="001F2CFB"/>
    <w:rsid w:val="001F2EB2"/>
    <w:rsid w:val="001F3271"/>
    <w:rsid w:val="001F3695"/>
    <w:rsid w:val="001F4905"/>
    <w:rsid w:val="001F542E"/>
    <w:rsid w:val="001F5C55"/>
    <w:rsid w:val="001F60D7"/>
    <w:rsid w:val="001F6486"/>
    <w:rsid w:val="001F6643"/>
    <w:rsid w:val="001F681C"/>
    <w:rsid w:val="001F72BD"/>
    <w:rsid w:val="001F7EA7"/>
    <w:rsid w:val="00200D07"/>
    <w:rsid w:val="00201D1B"/>
    <w:rsid w:val="002020AA"/>
    <w:rsid w:val="00202884"/>
    <w:rsid w:val="0020310E"/>
    <w:rsid w:val="0020334B"/>
    <w:rsid w:val="002042C9"/>
    <w:rsid w:val="0020582A"/>
    <w:rsid w:val="0020596B"/>
    <w:rsid w:val="00205B44"/>
    <w:rsid w:val="002061E1"/>
    <w:rsid w:val="002063F2"/>
    <w:rsid w:val="00206534"/>
    <w:rsid w:val="00206A24"/>
    <w:rsid w:val="00206B0A"/>
    <w:rsid w:val="00206BB3"/>
    <w:rsid w:val="002072CC"/>
    <w:rsid w:val="0020735F"/>
    <w:rsid w:val="0020790E"/>
    <w:rsid w:val="00207C56"/>
    <w:rsid w:val="00207D32"/>
    <w:rsid w:val="00210581"/>
    <w:rsid w:val="00210FA0"/>
    <w:rsid w:val="00211071"/>
    <w:rsid w:val="00211B36"/>
    <w:rsid w:val="00211FA4"/>
    <w:rsid w:val="00212A02"/>
    <w:rsid w:val="00212E0B"/>
    <w:rsid w:val="00213149"/>
    <w:rsid w:val="0021462B"/>
    <w:rsid w:val="002163E1"/>
    <w:rsid w:val="00216806"/>
    <w:rsid w:val="0021695B"/>
    <w:rsid w:val="00217756"/>
    <w:rsid w:val="0021795A"/>
    <w:rsid w:val="0022024B"/>
    <w:rsid w:val="00220553"/>
    <w:rsid w:val="00220A92"/>
    <w:rsid w:val="00220B5E"/>
    <w:rsid w:val="00220E0F"/>
    <w:rsid w:val="002212DC"/>
    <w:rsid w:val="00221417"/>
    <w:rsid w:val="00221B60"/>
    <w:rsid w:val="00221DA0"/>
    <w:rsid w:val="002220AD"/>
    <w:rsid w:val="0022239B"/>
    <w:rsid w:val="002225CD"/>
    <w:rsid w:val="00222ADB"/>
    <w:rsid w:val="00223596"/>
    <w:rsid w:val="00223A00"/>
    <w:rsid w:val="00223CAF"/>
    <w:rsid w:val="00223DB5"/>
    <w:rsid w:val="002241CB"/>
    <w:rsid w:val="002255EB"/>
    <w:rsid w:val="002259BF"/>
    <w:rsid w:val="00225F60"/>
    <w:rsid w:val="0022616C"/>
    <w:rsid w:val="00226211"/>
    <w:rsid w:val="0022665A"/>
    <w:rsid w:val="00226B12"/>
    <w:rsid w:val="0022723A"/>
    <w:rsid w:val="00227772"/>
    <w:rsid w:val="00227A70"/>
    <w:rsid w:val="00227EC0"/>
    <w:rsid w:val="00230344"/>
    <w:rsid w:val="002303BD"/>
    <w:rsid w:val="00230CBF"/>
    <w:rsid w:val="00230DA8"/>
    <w:rsid w:val="00231194"/>
    <w:rsid w:val="00231D01"/>
    <w:rsid w:val="002321C4"/>
    <w:rsid w:val="002326E9"/>
    <w:rsid w:val="00233836"/>
    <w:rsid w:val="002348CE"/>
    <w:rsid w:val="00234AEF"/>
    <w:rsid w:val="00234C81"/>
    <w:rsid w:val="00235089"/>
    <w:rsid w:val="002357EA"/>
    <w:rsid w:val="002358D0"/>
    <w:rsid w:val="002360F5"/>
    <w:rsid w:val="0023629D"/>
    <w:rsid w:val="002364A7"/>
    <w:rsid w:val="0023704C"/>
    <w:rsid w:val="00237921"/>
    <w:rsid w:val="00240ABA"/>
    <w:rsid w:val="00240DC3"/>
    <w:rsid w:val="00240F5C"/>
    <w:rsid w:val="002410C5"/>
    <w:rsid w:val="00241774"/>
    <w:rsid w:val="002418A4"/>
    <w:rsid w:val="00241BB7"/>
    <w:rsid w:val="002424CA"/>
    <w:rsid w:val="002429D1"/>
    <w:rsid w:val="00242B02"/>
    <w:rsid w:val="00242F50"/>
    <w:rsid w:val="002430D2"/>
    <w:rsid w:val="0024317C"/>
    <w:rsid w:val="00243240"/>
    <w:rsid w:val="0024327C"/>
    <w:rsid w:val="002436E9"/>
    <w:rsid w:val="00243C20"/>
    <w:rsid w:val="0024458E"/>
    <w:rsid w:val="00244AC6"/>
    <w:rsid w:val="00244E30"/>
    <w:rsid w:val="00245A98"/>
    <w:rsid w:val="0024657C"/>
    <w:rsid w:val="002473A5"/>
    <w:rsid w:val="002475AC"/>
    <w:rsid w:val="0024763C"/>
    <w:rsid w:val="00250757"/>
    <w:rsid w:val="002507FA"/>
    <w:rsid w:val="00250DC1"/>
    <w:rsid w:val="0025109A"/>
    <w:rsid w:val="002518AE"/>
    <w:rsid w:val="0025199C"/>
    <w:rsid w:val="00251D48"/>
    <w:rsid w:val="0025259E"/>
    <w:rsid w:val="0025270F"/>
    <w:rsid w:val="0025339A"/>
    <w:rsid w:val="0025343C"/>
    <w:rsid w:val="00253C3B"/>
    <w:rsid w:val="0025554F"/>
    <w:rsid w:val="00255956"/>
    <w:rsid w:val="00255FC2"/>
    <w:rsid w:val="00255FEB"/>
    <w:rsid w:val="002565B1"/>
    <w:rsid w:val="002565E0"/>
    <w:rsid w:val="00256A38"/>
    <w:rsid w:val="00256ED1"/>
    <w:rsid w:val="002579A8"/>
    <w:rsid w:val="002602DA"/>
    <w:rsid w:val="00260DF4"/>
    <w:rsid w:val="0026152A"/>
    <w:rsid w:val="00261BCF"/>
    <w:rsid w:val="00262BB5"/>
    <w:rsid w:val="00263CE3"/>
    <w:rsid w:val="0026417B"/>
    <w:rsid w:val="00265071"/>
    <w:rsid w:val="00265539"/>
    <w:rsid w:val="00265AEC"/>
    <w:rsid w:val="002661AF"/>
    <w:rsid w:val="0026627B"/>
    <w:rsid w:val="0027002C"/>
    <w:rsid w:val="00270915"/>
    <w:rsid w:val="002710FA"/>
    <w:rsid w:val="002723AD"/>
    <w:rsid w:val="002729BC"/>
    <w:rsid w:val="00272C4D"/>
    <w:rsid w:val="00272EE7"/>
    <w:rsid w:val="002731D8"/>
    <w:rsid w:val="00274DF5"/>
    <w:rsid w:val="00274E41"/>
    <w:rsid w:val="00274EA9"/>
    <w:rsid w:val="00275193"/>
    <w:rsid w:val="00275396"/>
    <w:rsid w:val="002753C8"/>
    <w:rsid w:val="00275B86"/>
    <w:rsid w:val="002762E1"/>
    <w:rsid w:val="00276635"/>
    <w:rsid w:val="002766C1"/>
    <w:rsid w:val="00276FE7"/>
    <w:rsid w:val="00277212"/>
    <w:rsid w:val="00280B05"/>
    <w:rsid w:val="00280E21"/>
    <w:rsid w:val="00281308"/>
    <w:rsid w:val="00281EDE"/>
    <w:rsid w:val="00281F5D"/>
    <w:rsid w:val="002827E0"/>
    <w:rsid w:val="0028295D"/>
    <w:rsid w:val="00283DCA"/>
    <w:rsid w:val="00283E9F"/>
    <w:rsid w:val="002841A1"/>
    <w:rsid w:val="00284763"/>
    <w:rsid w:val="00284C4B"/>
    <w:rsid w:val="00285150"/>
    <w:rsid w:val="002852E6"/>
    <w:rsid w:val="0028575E"/>
    <w:rsid w:val="00285961"/>
    <w:rsid w:val="00285BAF"/>
    <w:rsid w:val="002862A5"/>
    <w:rsid w:val="002865A6"/>
    <w:rsid w:val="00287729"/>
    <w:rsid w:val="00287A1A"/>
    <w:rsid w:val="00290015"/>
    <w:rsid w:val="00290863"/>
    <w:rsid w:val="00291043"/>
    <w:rsid w:val="0029108C"/>
    <w:rsid w:val="00291A7A"/>
    <w:rsid w:val="00291A8F"/>
    <w:rsid w:val="00291E1B"/>
    <w:rsid w:val="00292097"/>
    <w:rsid w:val="00292379"/>
    <w:rsid w:val="00292ECF"/>
    <w:rsid w:val="00293B20"/>
    <w:rsid w:val="002946C9"/>
    <w:rsid w:val="002948A7"/>
    <w:rsid w:val="00295936"/>
    <w:rsid w:val="002961D4"/>
    <w:rsid w:val="0029655B"/>
    <w:rsid w:val="00296683"/>
    <w:rsid w:val="00297089"/>
    <w:rsid w:val="002A0713"/>
    <w:rsid w:val="002A0A22"/>
    <w:rsid w:val="002A0A70"/>
    <w:rsid w:val="002A15EE"/>
    <w:rsid w:val="002A161D"/>
    <w:rsid w:val="002A26C5"/>
    <w:rsid w:val="002A281D"/>
    <w:rsid w:val="002A3828"/>
    <w:rsid w:val="002A3E6B"/>
    <w:rsid w:val="002A443C"/>
    <w:rsid w:val="002A471F"/>
    <w:rsid w:val="002A4742"/>
    <w:rsid w:val="002A4771"/>
    <w:rsid w:val="002A48E4"/>
    <w:rsid w:val="002A4D4D"/>
    <w:rsid w:val="002A52E9"/>
    <w:rsid w:val="002A5691"/>
    <w:rsid w:val="002A58F1"/>
    <w:rsid w:val="002A5ABE"/>
    <w:rsid w:val="002A5BAC"/>
    <w:rsid w:val="002A5F7C"/>
    <w:rsid w:val="002A63EE"/>
    <w:rsid w:val="002A6470"/>
    <w:rsid w:val="002A664D"/>
    <w:rsid w:val="002A6DA1"/>
    <w:rsid w:val="002A6E4E"/>
    <w:rsid w:val="002A6F7A"/>
    <w:rsid w:val="002A7AEE"/>
    <w:rsid w:val="002A7E1D"/>
    <w:rsid w:val="002B0BD0"/>
    <w:rsid w:val="002B1072"/>
    <w:rsid w:val="002B2228"/>
    <w:rsid w:val="002B24DF"/>
    <w:rsid w:val="002B3457"/>
    <w:rsid w:val="002B37CC"/>
    <w:rsid w:val="002B39C4"/>
    <w:rsid w:val="002B4AC4"/>
    <w:rsid w:val="002B4D6A"/>
    <w:rsid w:val="002B52FA"/>
    <w:rsid w:val="002B5619"/>
    <w:rsid w:val="002B6675"/>
    <w:rsid w:val="002B67DB"/>
    <w:rsid w:val="002B6882"/>
    <w:rsid w:val="002B6AE6"/>
    <w:rsid w:val="002B72A3"/>
    <w:rsid w:val="002B73C1"/>
    <w:rsid w:val="002B753F"/>
    <w:rsid w:val="002B7CE5"/>
    <w:rsid w:val="002B7ED2"/>
    <w:rsid w:val="002C0C36"/>
    <w:rsid w:val="002C0F4B"/>
    <w:rsid w:val="002C1463"/>
    <w:rsid w:val="002C1F3B"/>
    <w:rsid w:val="002C235A"/>
    <w:rsid w:val="002C252E"/>
    <w:rsid w:val="002C2B5A"/>
    <w:rsid w:val="002C30EB"/>
    <w:rsid w:val="002C31E9"/>
    <w:rsid w:val="002C362F"/>
    <w:rsid w:val="002C3EAE"/>
    <w:rsid w:val="002C4E59"/>
    <w:rsid w:val="002C4F9D"/>
    <w:rsid w:val="002C5C93"/>
    <w:rsid w:val="002C6979"/>
    <w:rsid w:val="002C6C04"/>
    <w:rsid w:val="002D01D0"/>
    <w:rsid w:val="002D08E7"/>
    <w:rsid w:val="002D1045"/>
    <w:rsid w:val="002D1383"/>
    <w:rsid w:val="002D18DE"/>
    <w:rsid w:val="002D1CA8"/>
    <w:rsid w:val="002D217A"/>
    <w:rsid w:val="002D290D"/>
    <w:rsid w:val="002D2FBD"/>
    <w:rsid w:val="002D39AB"/>
    <w:rsid w:val="002D4132"/>
    <w:rsid w:val="002D419D"/>
    <w:rsid w:val="002D4373"/>
    <w:rsid w:val="002D444E"/>
    <w:rsid w:val="002D4A9F"/>
    <w:rsid w:val="002D4D53"/>
    <w:rsid w:val="002D59F2"/>
    <w:rsid w:val="002D5B0D"/>
    <w:rsid w:val="002D5B5E"/>
    <w:rsid w:val="002D68E4"/>
    <w:rsid w:val="002D6A2B"/>
    <w:rsid w:val="002D6C59"/>
    <w:rsid w:val="002D6E9F"/>
    <w:rsid w:val="002D7DB6"/>
    <w:rsid w:val="002E0706"/>
    <w:rsid w:val="002E0775"/>
    <w:rsid w:val="002E0816"/>
    <w:rsid w:val="002E2614"/>
    <w:rsid w:val="002E299E"/>
    <w:rsid w:val="002E2B98"/>
    <w:rsid w:val="002E320E"/>
    <w:rsid w:val="002E34F1"/>
    <w:rsid w:val="002E34F8"/>
    <w:rsid w:val="002E4356"/>
    <w:rsid w:val="002E4360"/>
    <w:rsid w:val="002E4D65"/>
    <w:rsid w:val="002E4F1A"/>
    <w:rsid w:val="002E5004"/>
    <w:rsid w:val="002E5A76"/>
    <w:rsid w:val="002E6757"/>
    <w:rsid w:val="002E71C3"/>
    <w:rsid w:val="002E7D61"/>
    <w:rsid w:val="002F15E7"/>
    <w:rsid w:val="002F278C"/>
    <w:rsid w:val="002F2A2A"/>
    <w:rsid w:val="002F2A40"/>
    <w:rsid w:val="002F3678"/>
    <w:rsid w:val="002F3746"/>
    <w:rsid w:val="002F3D53"/>
    <w:rsid w:val="002F4CD4"/>
    <w:rsid w:val="002F4FA5"/>
    <w:rsid w:val="002F50C7"/>
    <w:rsid w:val="002F56A6"/>
    <w:rsid w:val="002F5916"/>
    <w:rsid w:val="002F67EC"/>
    <w:rsid w:val="002F710D"/>
    <w:rsid w:val="002F7B29"/>
    <w:rsid w:val="002F7BAE"/>
    <w:rsid w:val="002F7C76"/>
    <w:rsid w:val="002F7EAE"/>
    <w:rsid w:val="00300436"/>
    <w:rsid w:val="0030082D"/>
    <w:rsid w:val="00300A41"/>
    <w:rsid w:val="00300A6E"/>
    <w:rsid w:val="003015FF"/>
    <w:rsid w:val="00301B92"/>
    <w:rsid w:val="00301CA0"/>
    <w:rsid w:val="00302402"/>
    <w:rsid w:val="00302423"/>
    <w:rsid w:val="00302DFC"/>
    <w:rsid w:val="00303199"/>
    <w:rsid w:val="003031AB"/>
    <w:rsid w:val="003043D2"/>
    <w:rsid w:val="00304761"/>
    <w:rsid w:val="0030481C"/>
    <w:rsid w:val="00305227"/>
    <w:rsid w:val="00305FD9"/>
    <w:rsid w:val="003064B6"/>
    <w:rsid w:val="003064D0"/>
    <w:rsid w:val="00306647"/>
    <w:rsid w:val="00306793"/>
    <w:rsid w:val="003072BC"/>
    <w:rsid w:val="00307468"/>
    <w:rsid w:val="00307678"/>
    <w:rsid w:val="00307D08"/>
    <w:rsid w:val="00311B14"/>
    <w:rsid w:val="00311CC8"/>
    <w:rsid w:val="00311CD4"/>
    <w:rsid w:val="00312836"/>
    <w:rsid w:val="0031285B"/>
    <w:rsid w:val="00312976"/>
    <w:rsid w:val="00312A02"/>
    <w:rsid w:val="00312A3C"/>
    <w:rsid w:val="00312D8E"/>
    <w:rsid w:val="00313C0E"/>
    <w:rsid w:val="00315174"/>
    <w:rsid w:val="003159C3"/>
    <w:rsid w:val="00315AFE"/>
    <w:rsid w:val="00315FFA"/>
    <w:rsid w:val="0031636E"/>
    <w:rsid w:val="00316B9A"/>
    <w:rsid w:val="00316E5F"/>
    <w:rsid w:val="00317441"/>
    <w:rsid w:val="00321307"/>
    <w:rsid w:val="00321BC4"/>
    <w:rsid w:val="00322081"/>
    <w:rsid w:val="003220B2"/>
    <w:rsid w:val="00322817"/>
    <w:rsid w:val="00322A79"/>
    <w:rsid w:val="00322EBB"/>
    <w:rsid w:val="00323088"/>
    <w:rsid w:val="00323175"/>
    <w:rsid w:val="00323264"/>
    <w:rsid w:val="00323945"/>
    <w:rsid w:val="00324003"/>
    <w:rsid w:val="00324B06"/>
    <w:rsid w:val="00324FE0"/>
    <w:rsid w:val="00325386"/>
    <w:rsid w:val="0032558C"/>
    <w:rsid w:val="00325845"/>
    <w:rsid w:val="00326C2A"/>
    <w:rsid w:val="00327F0F"/>
    <w:rsid w:val="00331328"/>
    <w:rsid w:val="00331360"/>
    <w:rsid w:val="0033145A"/>
    <w:rsid w:val="00331C02"/>
    <w:rsid w:val="00332398"/>
    <w:rsid w:val="003324DB"/>
    <w:rsid w:val="003324FE"/>
    <w:rsid w:val="00332705"/>
    <w:rsid w:val="00332AA2"/>
    <w:rsid w:val="00332C00"/>
    <w:rsid w:val="00332CEA"/>
    <w:rsid w:val="00332EF1"/>
    <w:rsid w:val="003332DC"/>
    <w:rsid w:val="003339E5"/>
    <w:rsid w:val="00333A90"/>
    <w:rsid w:val="00333F34"/>
    <w:rsid w:val="0033403C"/>
    <w:rsid w:val="003348B1"/>
    <w:rsid w:val="00334DC0"/>
    <w:rsid w:val="00334F71"/>
    <w:rsid w:val="00335248"/>
    <w:rsid w:val="003353B0"/>
    <w:rsid w:val="0033621A"/>
    <w:rsid w:val="00336547"/>
    <w:rsid w:val="00336DCD"/>
    <w:rsid w:val="003376DC"/>
    <w:rsid w:val="00337C35"/>
    <w:rsid w:val="00337F17"/>
    <w:rsid w:val="00340149"/>
    <w:rsid w:val="00340353"/>
    <w:rsid w:val="0034121B"/>
    <w:rsid w:val="00341364"/>
    <w:rsid w:val="0034179D"/>
    <w:rsid w:val="00341BE1"/>
    <w:rsid w:val="00342A57"/>
    <w:rsid w:val="00343263"/>
    <w:rsid w:val="00343286"/>
    <w:rsid w:val="003433B0"/>
    <w:rsid w:val="0034341F"/>
    <w:rsid w:val="00343878"/>
    <w:rsid w:val="003446C2"/>
    <w:rsid w:val="00344974"/>
    <w:rsid w:val="00344C81"/>
    <w:rsid w:val="00345E07"/>
    <w:rsid w:val="00345EE3"/>
    <w:rsid w:val="0034610B"/>
    <w:rsid w:val="0034660D"/>
    <w:rsid w:val="00346AEA"/>
    <w:rsid w:val="00346EE9"/>
    <w:rsid w:val="0035020F"/>
    <w:rsid w:val="003514BA"/>
    <w:rsid w:val="00351A2A"/>
    <w:rsid w:val="00352603"/>
    <w:rsid w:val="003527CF"/>
    <w:rsid w:val="00352B90"/>
    <w:rsid w:val="00353D20"/>
    <w:rsid w:val="00353E69"/>
    <w:rsid w:val="00354842"/>
    <w:rsid w:val="003553EF"/>
    <w:rsid w:val="0035565F"/>
    <w:rsid w:val="00355935"/>
    <w:rsid w:val="00356A23"/>
    <w:rsid w:val="003570F6"/>
    <w:rsid w:val="00357CFF"/>
    <w:rsid w:val="003605BB"/>
    <w:rsid w:val="00360BA8"/>
    <w:rsid w:val="0036144C"/>
    <w:rsid w:val="00361670"/>
    <w:rsid w:val="00361DC5"/>
    <w:rsid w:val="003623A8"/>
    <w:rsid w:val="00362517"/>
    <w:rsid w:val="0036334B"/>
    <w:rsid w:val="003639CC"/>
    <w:rsid w:val="00364DD1"/>
    <w:rsid w:val="00365B20"/>
    <w:rsid w:val="00365EE8"/>
    <w:rsid w:val="003662B9"/>
    <w:rsid w:val="003666D5"/>
    <w:rsid w:val="00366E6A"/>
    <w:rsid w:val="00367314"/>
    <w:rsid w:val="0036769D"/>
    <w:rsid w:val="00367A58"/>
    <w:rsid w:val="003702F1"/>
    <w:rsid w:val="003715FE"/>
    <w:rsid w:val="003721B2"/>
    <w:rsid w:val="003726E7"/>
    <w:rsid w:val="00372951"/>
    <w:rsid w:val="00372EFC"/>
    <w:rsid w:val="00372F57"/>
    <w:rsid w:val="0037307A"/>
    <w:rsid w:val="00373A56"/>
    <w:rsid w:val="00373EF5"/>
    <w:rsid w:val="003740C6"/>
    <w:rsid w:val="003745F8"/>
    <w:rsid w:val="00374649"/>
    <w:rsid w:val="00375C48"/>
    <w:rsid w:val="00375D54"/>
    <w:rsid w:val="00376EDA"/>
    <w:rsid w:val="00377C20"/>
    <w:rsid w:val="00377D76"/>
    <w:rsid w:val="00380678"/>
    <w:rsid w:val="0038067D"/>
    <w:rsid w:val="00380F41"/>
    <w:rsid w:val="003810A9"/>
    <w:rsid w:val="003810C2"/>
    <w:rsid w:val="00381CC8"/>
    <w:rsid w:val="00381EB8"/>
    <w:rsid w:val="00382123"/>
    <w:rsid w:val="00382680"/>
    <w:rsid w:val="00382C36"/>
    <w:rsid w:val="00382C93"/>
    <w:rsid w:val="00383062"/>
    <w:rsid w:val="003830A0"/>
    <w:rsid w:val="00383930"/>
    <w:rsid w:val="003842FB"/>
    <w:rsid w:val="00384950"/>
    <w:rsid w:val="00384D05"/>
    <w:rsid w:val="00384F2D"/>
    <w:rsid w:val="0038542B"/>
    <w:rsid w:val="00385B94"/>
    <w:rsid w:val="00385C43"/>
    <w:rsid w:val="003866AC"/>
    <w:rsid w:val="00386D51"/>
    <w:rsid w:val="00386ECF"/>
    <w:rsid w:val="00387B9E"/>
    <w:rsid w:val="003903FA"/>
    <w:rsid w:val="003905F3"/>
    <w:rsid w:val="0039069C"/>
    <w:rsid w:val="00391848"/>
    <w:rsid w:val="00392629"/>
    <w:rsid w:val="003932C6"/>
    <w:rsid w:val="00393597"/>
    <w:rsid w:val="00394198"/>
    <w:rsid w:val="003949C5"/>
    <w:rsid w:val="00394B42"/>
    <w:rsid w:val="00394FC5"/>
    <w:rsid w:val="00396066"/>
    <w:rsid w:val="003960DA"/>
    <w:rsid w:val="00396F04"/>
    <w:rsid w:val="003976B4"/>
    <w:rsid w:val="00397EA8"/>
    <w:rsid w:val="003A00D5"/>
    <w:rsid w:val="003A0120"/>
    <w:rsid w:val="003A02F2"/>
    <w:rsid w:val="003A0821"/>
    <w:rsid w:val="003A09FF"/>
    <w:rsid w:val="003A1FCA"/>
    <w:rsid w:val="003A2622"/>
    <w:rsid w:val="003A42AE"/>
    <w:rsid w:val="003A5040"/>
    <w:rsid w:val="003A69FD"/>
    <w:rsid w:val="003A7D01"/>
    <w:rsid w:val="003B05FD"/>
    <w:rsid w:val="003B0985"/>
    <w:rsid w:val="003B0D20"/>
    <w:rsid w:val="003B0E12"/>
    <w:rsid w:val="003B0FF3"/>
    <w:rsid w:val="003B13EB"/>
    <w:rsid w:val="003B14B9"/>
    <w:rsid w:val="003B1A2F"/>
    <w:rsid w:val="003B1BDB"/>
    <w:rsid w:val="003B3E71"/>
    <w:rsid w:val="003B43D5"/>
    <w:rsid w:val="003B48A9"/>
    <w:rsid w:val="003B48D8"/>
    <w:rsid w:val="003B49F9"/>
    <w:rsid w:val="003B4DEE"/>
    <w:rsid w:val="003B4F4C"/>
    <w:rsid w:val="003B55AB"/>
    <w:rsid w:val="003B584B"/>
    <w:rsid w:val="003B7206"/>
    <w:rsid w:val="003B7621"/>
    <w:rsid w:val="003B77B6"/>
    <w:rsid w:val="003B7D3C"/>
    <w:rsid w:val="003B7D46"/>
    <w:rsid w:val="003C0DF4"/>
    <w:rsid w:val="003C1655"/>
    <w:rsid w:val="003C26CF"/>
    <w:rsid w:val="003C28E9"/>
    <w:rsid w:val="003C380C"/>
    <w:rsid w:val="003C38C7"/>
    <w:rsid w:val="003C46C4"/>
    <w:rsid w:val="003C46FD"/>
    <w:rsid w:val="003C5824"/>
    <w:rsid w:val="003C67BD"/>
    <w:rsid w:val="003C6E70"/>
    <w:rsid w:val="003C759F"/>
    <w:rsid w:val="003C7C5F"/>
    <w:rsid w:val="003D0478"/>
    <w:rsid w:val="003D09B1"/>
    <w:rsid w:val="003D0CB0"/>
    <w:rsid w:val="003D1AB2"/>
    <w:rsid w:val="003D2A3E"/>
    <w:rsid w:val="003D34BB"/>
    <w:rsid w:val="003D4110"/>
    <w:rsid w:val="003D4765"/>
    <w:rsid w:val="003D4CB8"/>
    <w:rsid w:val="003D4DAE"/>
    <w:rsid w:val="003D4E10"/>
    <w:rsid w:val="003D4F05"/>
    <w:rsid w:val="003D4FC7"/>
    <w:rsid w:val="003D52C0"/>
    <w:rsid w:val="003D5332"/>
    <w:rsid w:val="003D57D0"/>
    <w:rsid w:val="003D5E9B"/>
    <w:rsid w:val="003D62D0"/>
    <w:rsid w:val="003D7092"/>
    <w:rsid w:val="003D73B0"/>
    <w:rsid w:val="003D7CF5"/>
    <w:rsid w:val="003E0706"/>
    <w:rsid w:val="003E0C99"/>
    <w:rsid w:val="003E1339"/>
    <w:rsid w:val="003E148B"/>
    <w:rsid w:val="003E194A"/>
    <w:rsid w:val="003E2012"/>
    <w:rsid w:val="003E26F2"/>
    <w:rsid w:val="003E2E4D"/>
    <w:rsid w:val="003E5BA0"/>
    <w:rsid w:val="003E646B"/>
    <w:rsid w:val="003E6B35"/>
    <w:rsid w:val="003E75AA"/>
    <w:rsid w:val="003E783C"/>
    <w:rsid w:val="003F02CD"/>
    <w:rsid w:val="003F06A8"/>
    <w:rsid w:val="003F087E"/>
    <w:rsid w:val="003F0B23"/>
    <w:rsid w:val="003F0E6E"/>
    <w:rsid w:val="003F0FD7"/>
    <w:rsid w:val="003F3836"/>
    <w:rsid w:val="003F3F00"/>
    <w:rsid w:val="003F4319"/>
    <w:rsid w:val="003F4BC0"/>
    <w:rsid w:val="003F4C21"/>
    <w:rsid w:val="003F5D99"/>
    <w:rsid w:val="003F67A3"/>
    <w:rsid w:val="003F67ED"/>
    <w:rsid w:val="003F7730"/>
    <w:rsid w:val="003F7968"/>
    <w:rsid w:val="003F7CD1"/>
    <w:rsid w:val="00400271"/>
    <w:rsid w:val="004003ED"/>
    <w:rsid w:val="00401216"/>
    <w:rsid w:val="004015D6"/>
    <w:rsid w:val="0040172D"/>
    <w:rsid w:val="004017D7"/>
    <w:rsid w:val="00401E77"/>
    <w:rsid w:val="00402125"/>
    <w:rsid w:val="00402AB5"/>
    <w:rsid w:val="00402DBD"/>
    <w:rsid w:val="0040310F"/>
    <w:rsid w:val="00403120"/>
    <w:rsid w:val="00403C5F"/>
    <w:rsid w:val="00403D95"/>
    <w:rsid w:val="00404E3D"/>
    <w:rsid w:val="0040576E"/>
    <w:rsid w:val="004057D2"/>
    <w:rsid w:val="0040661F"/>
    <w:rsid w:val="004068A1"/>
    <w:rsid w:val="004070EB"/>
    <w:rsid w:val="00407456"/>
    <w:rsid w:val="00407F58"/>
    <w:rsid w:val="00410228"/>
    <w:rsid w:val="00410B36"/>
    <w:rsid w:val="00411E28"/>
    <w:rsid w:val="00412052"/>
    <w:rsid w:val="00412139"/>
    <w:rsid w:val="00412687"/>
    <w:rsid w:val="004126FE"/>
    <w:rsid w:val="00413CFF"/>
    <w:rsid w:val="00414037"/>
    <w:rsid w:val="00414180"/>
    <w:rsid w:val="00415331"/>
    <w:rsid w:val="00415433"/>
    <w:rsid w:val="004155DB"/>
    <w:rsid w:val="004156FE"/>
    <w:rsid w:val="00415B82"/>
    <w:rsid w:val="00415D87"/>
    <w:rsid w:val="00417F3D"/>
    <w:rsid w:val="00420872"/>
    <w:rsid w:val="00420A8D"/>
    <w:rsid w:val="00420AD6"/>
    <w:rsid w:val="00420BCA"/>
    <w:rsid w:val="0042153B"/>
    <w:rsid w:val="00421911"/>
    <w:rsid w:val="00421C32"/>
    <w:rsid w:val="00422020"/>
    <w:rsid w:val="00422220"/>
    <w:rsid w:val="004224A5"/>
    <w:rsid w:val="004232E7"/>
    <w:rsid w:val="00423A93"/>
    <w:rsid w:val="004241CA"/>
    <w:rsid w:val="00424887"/>
    <w:rsid w:val="00424D80"/>
    <w:rsid w:val="00425673"/>
    <w:rsid w:val="0042578D"/>
    <w:rsid w:val="00426B08"/>
    <w:rsid w:val="00426B15"/>
    <w:rsid w:val="00426C68"/>
    <w:rsid w:val="0042712E"/>
    <w:rsid w:val="00427257"/>
    <w:rsid w:val="00427FC3"/>
    <w:rsid w:val="004302F3"/>
    <w:rsid w:val="0043091F"/>
    <w:rsid w:val="00430C1F"/>
    <w:rsid w:val="0043132F"/>
    <w:rsid w:val="0043145E"/>
    <w:rsid w:val="00431543"/>
    <w:rsid w:val="0043156F"/>
    <w:rsid w:val="00432682"/>
    <w:rsid w:val="00433553"/>
    <w:rsid w:val="00434316"/>
    <w:rsid w:val="00435414"/>
    <w:rsid w:val="00435C0D"/>
    <w:rsid w:val="004364AE"/>
    <w:rsid w:val="004368F9"/>
    <w:rsid w:val="00436EB6"/>
    <w:rsid w:val="004373A6"/>
    <w:rsid w:val="00437425"/>
    <w:rsid w:val="004376E9"/>
    <w:rsid w:val="00437F99"/>
    <w:rsid w:val="004401F0"/>
    <w:rsid w:val="00440765"/>
    <w:rsid w:val="0044078F"/>
    <w:rsid w:val="004408DC"/>
    <w:rsid w:val="00440963"/>
    <w:rsid w:val="00440E68"/>
    <w:rsid w:val="00441552"/>
    <w:rsid w:val="004417E6"/>
    <w:rsid w:val="00441835"/>
    <w:rsid w:val="00441B64"/>
    <w:rsid w:val="00442629"/>
    <w:rsid w:val="00442886"/>
    <w:rsid w:val="00442AB5"/>
    <w:rsid w:val="00443691"/>
    <w:rsid w:val="00443B81"/>
    <w:rsid w:val="00443C9A"/>
    <w:rsid w:val="00444E46"/>
    <w:rsid w:val="0044569C"/>
    <w:rsid w:val="004458E5"/>
    <w:rsid w:val="004478C1"/>
    <w:rsid w:val="00447BA1"/>
    <w:rsid w:val="00447F88"/>
    <w:rsid w:val="00450049"/>
    <w:rsid w:val="00450DF9"/>
    <w:rsid w:val="004510E6"/>
    <w:rsid w:val="00451EC8"/>
    <w:rsid w:val="0045203D"/>
    <w:rsid w:val="00452BA4"/>
    <w:rsid w:val="00452EC3"/>
    <w:rsid w:val="0045320E"/>
    <w:rsid w:val="004532C6"/>
    <w:rsid w:val="004539D0"/>
    <w:rsid w:val="00453CB6"/>
    <w:rsid w:val="00455108"/>
    <w:rsid w:val="00455C4E"/>
    <w:rsid w:val="00455D90"/>
    <w:rsid w:val="00456EDA"/>
    <w:rsid w:val="00456FAE"/>
    <w:rsid w:val="00457026"/>
    <w:rsid w:val="00457364"/>
    <w:rsid w:val="00457640"/>
    <w:rsid w:val="00457EB4"/>
    <w:rsid w:val="004601DF"/>
    <w:rsid w:val="0046097D"/>
    <w:rsid w:val="004609B8"/>
    <w:rsid w:val="00460E5D"/>
    <w:rsid w:val="004611B1"/>
    <w:rsid w:val="00461B70"/>
    <w:rsid w:val="004624B6"/>
    <w:rsid w:val="00462E95"/>
    <w:rsid w:val="00463CCE"/>
    <w:rsid w:val="0046427E"/>
    <w:rsid w:val="00464823"/>
    <w:rsid w:val="00464F78"/>
    <w:rsid w:val="00465684"/>
    <w:rsid w:val="00465974"/>
    <w:rsid w:val="004666B9"/>
    <w:rsid w:val="00466701"/>
    <w:rsid w:val="00466FA0"/>
    <w:rsid w:val="004672FE"/>
    <w:rsid w:val="00467924"/>
    <w:rsid w:val="00467A1F"/>
    <w:rsid w:val="00467C90"/>
    <w:rsid w:val="004700AD"/>
    <w:rsid w:val="004712C2"/>
    <w:rsid w:val="00471399"/>
    <w:rsid w:val="00471443"/>
    <w:rsid w:val="0047250E"/>
    <w:rsid w:val="0047298E"/>
    <w:rsid w:val="00473087"/>
    <w:rsid w:val="00473324"/>
    <w:rsid w:val="00474241"/>
    <w:rsid w:val="00474D0B"/>
    <w:rsid w:val="0047524A"/>
    <w:rsid w:val="00475345"/>
    <w:rsid w:val="00475672"/>
    <w:rsid w:val="00475763"/>
    <w:rsid w:val="004757DC"/>
    <w:rsid w:val="00475D60"/>
    <w:rsid w:val="004765BD"/>
    <w:rsid w:val="00476BCD"/>
    <w:rsid w:val="0047783A"/>
    <w:rsid w:val="004779FF"/>
    <w:rsid w:val="00477D7A"/>
    <w:rsid w:val="00480022"/>
    <w:rsid w:val="00480264"/>
    <w:rsid w:val="00480372"/>
    <w:rsid w:val="00480929"/>
    <w:rsid w:val="00480F1A"/>
    <w:rsid w:val="00481A7B"/>
    <w:rsid w:val="00481DCE"/>
    <w:rsid w:val="00483992"/>
    <w:rsid w:val="00483D34"/>
    <w:rsid w:val="00484A4B"/>
    <w:rsid w:val="00485F31"/>
    <w:rsid w:val="004864BC"/>
    <w:rsid w:val="0048677A"/>
    <w:rsid w:val="00487980"/>
    <w:rsid w:val="00490265"/>
    <w:rsid w:val="00490C63"/>
    <w:rsid w:val="004919E5"/>
    <w:rsid w:val="004925C9"/>
    <w:rsid w:val="0049286E"/>
    <w:rsid w:val="0049294F"/>
    <w:rsid w:val="00492AA0"/>
    <w:rsid w:val="00494B57"/>
    <w:rsid w:val="0049566F"/>
    <w:rsid w:val="00495AE1"/>
    <w:rsid w:val="00495FF4"/>
    <w:rsid w:val="0049605C"/>
    <w:rsid w:val="00496BCF"/>
    <w:rsid w:val="004A03F6"/>
    <w:rsid w:val="004A0A6F"/>
    <w:rsid w:val="004A0B11"/>
    <w:rsid w:val="004A1146"/>
    <w:rsid w:val="004A1807"/>
    <w:rsid w:val="004A2C94"/>
    <w:rsid w:val="004A302B"/>
    <w:rsid w:val="004A4C4C"/>
    <w:rsid w:val="004A4DCB"/>
    <w:rsid w:val="004A50E2"/>
    <w:rsid w:val="004A59E0"/>
    <w:rsid w:val="004A5C0A"/>
    <w:rsid w:val="004A623A"/>
    <w:rsid w:val="004A6546"/>
    <w:rsid w:val="004A6CA2"/>
    <w:rsid w:val="004A7037"/>
    <w:rsid w:val="004A720C"/>
    <w:rsid w:val="004A79D9"/>
    <w:rsid w:val="004A7B6D"/>
    <w:rsid w:val="004A7C51"/>
    <w:rsid w:val="004A7DBA"/>
    <w:rsid w:val="004B07F3"/>
    <w:rsid w:val="004B0B1E"/>
    <w:rsid w:val="004B184D"/>
    <w:rsid w:val="004B196D"/>
    <w:rsid w:val="004B1C35"/>
    <w:rsid w:val="004B1EC1"/>
    <w:rsid w:val="004B225B"/>
    <w:rsid w:val="004B28A7"/>
    <w:rsid w:val="004B28B1"/>
    <w:rsid w:val="004B2B66"/>
    <w:rsid w:val="004B2CB7"/>
    <w:rsid w:val="004B2E34"/>
    <w:rsid w:val="004B36EA"/>
    <w:rsid w:val="004B3D2F"/>
    <w:rsid w:val="004B3F24"/>
    <w:rsid w:val="004B4ABF"/>
    <w:rsid w:val="004B56B0"/>
    <w:rsid w:val="004B5E6D"/>
    <w:rsid w:val="004B5F10"/>
    <w:rsid w:val="004B5F6D"/>
    <w:rsid w:val="004B5FE4"/>
    <w:rsid w:val="004B6E0C"/>
    <w:rsid w:val="004B7705"/>
    <w:rsid w:val="004C07CC"/>
    <w:rsid w:val="004C1C1A"/>
    <w:rsid w:val="004C27DD"/>
    <w:rsid w:val="004C2AFE"/>
    <w:rsid w:val="004C2B22"/>
    <w:rsid w:val="004C2F10"/>
    <w:rsid w:val="004C333F"/>
    <w:rsid w:val="004C346D"/>
    <w:rsid w:val="004C3717"/>
    <w:rsid w:val="004C3CD0"/>
    <w:rsid w:val="004C426E"/>
    <w:rsid w:val="004C5274"/>
    <w:rsid w:val="004C5A06"/>
    <w:rsid w:val="004C695C"/>
    <w:rsid w:val="004C6BF9"/>
    <w:rsid w:val="004C752D"/>
    <w:rsid w:val="004C7826"/>
    <w:rsid w:val="004C79E5"/>
    <w:rsid w:val="004D0C64"/>
    <w:rsid w:val="004D2309"/>
    <w:rsid w:val="004D2AC2"/>
    <w:rsid w:val="004D2CCC"/>
    <w:rsid w:val="004D3101"/>
    <w:rsid w:val="004D3627"/>
    <w:rsid w:val="004D3B29"/>
    <w:rsid w:val="004D44DE"/>
    <w:rsid w:val="004D6B49"/>
    <w:rsid w:val="004D7112"/>
    <w:rsid w:val="004E02B1"/>
    <w:rsid w:val="004E0A95"/>
    <w:rsid w:val="004E0D0F"/>
    <w:rsid w:val="004E1E06"/>
    <w:rsid w:val="004E1FE2"/>
    <w:rsid w:val="004E272A"/>
    <w:rsid w:val="004E3840"/>
    <w:rsid w:val="004E4040"/>
    <w:rsid w:val="004E408F"/>
    <w:rsid w:val="004E4322"/>
    <w:rsid w:val="004E59C0"/>
    <w:rsid w:val="004E5A30"/>
    <w:rsid w:val="004E60E7"/>
    <w:rsid w:val="004E6495"/>
    <w:rsid w:val="004E6C9F"/>
    <w:rsid w:val="004E719B"/>
    <w:rsid w:val="004E7370"/>
    <w:rsid w:val="004E75D2"/>
    <w:rsid w:val="004E7AA8"/>
    <w:rsid w:val="004F0F3B"/>
    <w:rsid w:val="004F1491"/>
    <w:rsid w:val="004F1A71"/>
    <w:rsid w:val="004F1AD7"/>
    <w:rsid w:val="004F1D3C"/>
    <w:rsid w:val="004F1D5D"/>
    <w:rsid w:val="004F2369"/>
    <w:rsid w:val="004F35FC"/>
    <w:rsid w:val="004F3E1F"/>
    <w:rsid w:val="004F4AE9"/>
    <w:rsid w:val="004F500D"/>
    <w:rsid w:val="004F51E9"/>
    <w:rsid w:val="004F5624"/>
    <w:rsid w:val="004F5825"/>
    <w:rsid w:val="004F58D6"/>
    <w:rsid w:val="004F6762"/>
    <w:rsid w:val="004F69D1"/>
    <w:rsid w:val="004F759E"/>
    <w:rsid w:val="004F790D"/>
    <w:rsid w:val="005000DD"/>
    <w:rsid w:val="005001CB"/>
    <w:rsid w:val="005001EF"/>
    <w:rsid w:val="0050082B"/>
    <w:rsid w:val="005008D6"/>
    <w:rsid w:val="00500D2E"/>
    <w:rsid w:val="00500E6B"/>
    <w:rsid w:val="005014A0"/>
    <w:rsid w:val="005014C0"/>
    <w:rsid w:val="005015C7"/>
    <w:rsid w:val="005015EF"/>
    <w:rsid w:val="00501EF8"/>
    <w:rsid w:val="0050257A"/>
    <w:rsid w:val="005028C0"/>
    <w:rsid w:val="00502E3B"/>
    <w:rsid w:val="00502F56"/>
    <w:rsid w:val="0050384F"/>
    <w:rsid w:val="00503C17"/>
    <w:rsid w:val="00504518"/>
    <w:rsid w:val="00504BEF"/>
    <w:rsid w:val="00505F52"/>
    <w:rsid w:val="00505F69"/>
    <w:rsid w:val="00506C03"/>
    <w:rsid w:val="00506C08"/>
    <w:rsid w:val="0050781D"/>
    <w:rsid w:val="00507822"/>
    <w:rsid w:val="0051077D"/>
    <w:rsid w:val="005107F4"/>
    <w:rsid w:val="00510BA9"/>
    <w:rsid w:val="00510FDA"/>
    <w:rsid w:val="00510FEB"/>
    <w:rsid w:val="00511271"/>
    <w:rsid w:val="00512841"/>
    <w:rsid w:val="00512B77"/>
    <w:rsid w:val="00513843"/>
    <w:rsid w:val="0051455A"/>
    <w:rsid w:val="005146C2"/>
    <w:rsid w:val="00514F22"/>
    <w:rsid w:val="00515215"/>
    <w:rsid w:val="0051558B"/>
    <w:rsid w:val="00515747"/>
    <w:rsid w:val="005158B1"/>
    <w:rsid w:val="005159B9"/>
    <w:rsid w:val="005165B8"/>
    <w:rsid w:val="00516CA0"/>
    <w:rsid w:val="00517477"/>
    <w:rsid w:val="00517829"/>
    <w:rsid w:val="005207B4"/>
    <w:rsid w:val="00520809"/>
    <w:rsid w:val="005218A5"/>
    <w:rsid w:val="00521D17"/>
    <w:rsid w:val="00522D2A"/>
    <w:rsid w:val="00523315"/>
    <w:rsid w:val="00523956"/>
    <w:rsid w:val="005244D1"/>
    <w:rsid w:val="0052499A"/>
    <w:rsid w:val="005252AE"/>
    <w:rsid w:val="00525364"/>
    <w:rsid w:val="005261B2"/>
    <w:rsid w:val="00526849"/>
    <w:rsid w:val="00526CC6"/>
    <w:rsid w:val="00526DC3"/>
    <w:rsid w:val="005279AA"/>
    <w:rsid w:val="00527A27"/>
    <w:rsid w:val="00527D96"/>
    <w:rsid w:val="00531566"/>
    <w:rsid w:val="00531E91"/>
    <w:rsid w:val="00532282"/>
    <w:rsid w:val="00533003"/>
    <w:rsid w:val="00533910"/>
    <w:rsid w:val="005340F5"/>
    <w:rsid w:val="00534150"/>
    <w:rsid w:val="00534C3D"/>
    <w:rsid w:val="00534C77"/>
    <w:rsid w:val="00535A89"/>
    <w:rsid w:val="00536277"/>
    <w:rsid w:val="00536CD4"/>
    <w:rsid w:val="00536E7C"/>
    <w:rsid w:val="00537536"/>
    <w:rsid w:val="00540322"/>
    <w:rsid w:val="0054093B"/>
    <w:rsid w:val="00540B8D"/>
    <w:rsid w:val="00540BE3"/>
    <w:rsid w:val="00540EAD"/>
    <w:rsid w:val="00541591"/>
    <w:rsid w:val="00541674"/>
    <w:rsid w:val="00541780"/>
    <w:rsid w:val="00541A9A"/>
    <w:rsid w:val="00542258"/>
    <w:rsid w:val="005422B1"/>
    <w:rsid w:val="00542CB1"/>
    <w:rsid w:val="005438A5"/>
    <w:rsid w:val="00543A66"/>
    <w:rsid w:val="00543D50"/>
    <w:rsid w:val="00544ABD"/>
    <w:rsid w:val="00544DCA"/>
    <w:rsid w:val="005452DF"/>
    <w:rsid w:val="00545917"/>
    <w:rsid w:val="00546078"/>
    <w:rsid w:val="0054632C"/>
    <w:rsid w:val="005464E7"/>
    <w:rsid w:val="005466D9"/>
    <w:rsid w:val="00546DC5"/>
    <w:rsid w:val="005470B5"/>
    <w:rsid w:val="00547D69"/>
    <w:rsid w:val="0055026A"/>
    <w:rsid w:val="0055057B"/>
    <w:rsid w:val="0055129C"/>
    <w:rsid w:val="0055173D"/>
    <w:rsid w:val="005532FA"/>
    <w:rsid w:val="0055339C"/>
    <w:rsid w:val="005539CD"/>
    <w:rsid w:val="005539E3"/>
    <w:rsid w:val="00553D66"/>
    <w:rsid w:val="0055453E"/>
    <w:rsid w:val="00554CDC"/>
    <w:rsid w:val="00554D56"/>
    <w:rsid w:val="005553D4"/>
    <w:rsid w:val="00555BAE"/>
    <w:rsid w:val="00555D82"/>
    <w:rsid w:val="005562AF"/>
    <w:rsid w:val="005562F9"/>
    <w:rsid w:val="005565DB"/>
    <w:rsid w:val="00556830"/>
    <w:rsid w:val="00557474"/>
    <w:rsid w:val="005575F7"/>
    <w:rsid w:val="00557869"/>
    <w:rsid w:val="00557DA9"/>
    <w:rsid w:val="00560413"/>
    <w:rsid w:val="0056046F"/>
    <w:rsid w:val="00560481"/>
    <w:rsid w:val="005607F5"/>
    <w:rsid w:val="00560B15"/>
    <w:rsid w:val="00561452"/>
    <w:rsid w:val="00563E49"/>
    <w:rsid w:val="00563FE4"/>
    <w:rsid w:val="00564A60"/>
    <w:rsid w:val="00565383"/>
    <w:rsid w:val="005657FA"/>
    <w:rsid w:val="005660EE"/>
    <w:rsid w:val="00566405"/>
    <w:rsid w:val="005666DA"/>
    <w:rsid w:val="005668A8"/>
    <w:rsid w:val="00566951"/>
    <w:rsid w:val="00566D06"/>
    <w:rsid w:val="00566E22"/>
    <w:rsid w:val="005675C8"/>
    <w:rsid w:val="005679CB"/>
    <w:rsid w:val="00567F9B"/>
    <w:rsid w:val="00570453"/>
    <w:rsid w:val="00570889"/>
    <w:rsid w:val="0057108B"/>
    <w:rsid w:val="005720A9"/>
    <w:rsid w:val="00572270"/>
    <w:rsid w:val="0057296B"/>
    <w:rsid w:val="00573003"/>
    <w:rsid w:val="00573400"/>
    <w:rsid w:val="0057471B"/>
    <w:rsid w:val="005758DC"/>
    <w:rsid w:val="00575CC5"/>
    <w:rsid w:val="00576307"/>
    <w:rsid w:val="0057669E"/>
    <w:rsid w:val="0057672D"/>
    <w:rsid w:val="00577141"/>
    <w:rsid w:val="005771C5"/>
    <w:rsid w:val="005775D0"/>
    <w:rsid w:val="00581B07"/>
    <w:rsid w:val="00582216"/>
    <w:rsid w:val="0058241E"/>
    <w:rsid w:val="0058362F"/>
    <w:rsid w:val="00583A36"/>
    <w:rsid w:val="00583CB7"/>
    <w:rsid w:val="005840AF"/>
    <w:rsid w:val="00584EA1"/>
    <w:rsid w:val="00585113"/>
    <w:rsid w:val="0058541D"/>
    <w:rsid w:val="005857E8"/>
    <w:rsid w:val="0058695A"/>
    <w:rsid w:val="00586DB9"/>
    <w:rsid w:val="00586F05"/>
    <w:rsid w:val="00587365"/>
    <w:rsid w:val="005879C8"/>
    <w:rsid w:val="005879CA"/>
    <w:rsid w:val="00587EA5"/>
    <w:rsid w:val="00590318"/>
    <w:rsid w:val="005903FC"/>
    <w:rsid w:val="005906F0"/>
    <w:rsid w:val="00590E0B"/>
    <w:rsid w:val="0059179E"/>
    <w:rsid w:val="00591A9E"/>
    <w:rsid w:val="00592AF7"/>
    <w:rsid w:val="0059353C"/>
    <w:rsid w:val="005943E9"/>
    <w:rsid w:val="00595015"/>
    <w:rsid w:val="0059656B"/>
    <w:rsid w:val="005969A5"/>
    <w:rsid w:val="00596E65"/>
    <w:rsid w:val="00597E63"/>
    <w:rsid w:val="005A07C6"/>
    <w:rsid w:val="005A09C6"/>
    <w:rsid w:val="005A0C08"/>
    <w:rsid w:val="005A16F3"/>
    <w:rsid w:val="005A1FF1"/>
    <w:rsid w:val="005A2F14"/>
    <w:rsid w:val="005A2FEF"/>
    <w:rsid w:val="005A37B7"/>
    <w:rsid w:val="005A3DB2"/>
    <w:rsid w:val="005A44F5"/>
    <w:rsid w:val="005A5E11"/>
    <w:rsid w:val="005A6823"/>
    <w:rsid w:val="005A6A5E"/>
    <w:rsid w:val="005A6BBB"/>
    <w:rsid w:val="005A6DD7"/>
    <w:rsid w:val="005A7481"/>
    <w:rsid w:val="005B0018"/>
    <w:rsid w:val="005B090E"/>
    <w:rsid w:val="005B1879"/>
    <w:rsid w:val="005B1FB4"/>
    <w:rsid w:val="005B26AD"/>
    <w:rsid w:val="005B3094"/>
    <w:rsid w:val="005B3233"/>
    <w:rsid w:val="005B4754"/>
    <w:rsid w:val="005B4E4B"/>
    <w:rsid w:val="005B5867"/>
    <w:rsid w:val="005B653B"/>
    <w:rsid w:val="005B653E"/>
    <w:rsid w:val="005B780B"/>
    <w:rsid w:val="005B793B"/>
    <w:rsid w:val="005B7D0F"/>
    <w:rsid w:val="005C039E"/>
    <w:rsid w:val="005C1724"/>
    <w:rsid w:val="005C189E"/>
    <w:rsid w:val="005C2141"/>
    <w:rsid w:val="005C22BC"/>
    <w:rsid w:val="005C28DD"/>
    <w:rsid w:val="005C2A31"/>
    <w:rsid w:val="005C2C2A"/>
    <w:rsid w:val="005C2D75"/>
    <w:rsid w:val="005C3A92"/>
    <w:rsid w:val="005C3E80"/>
    <w:rsid w:val="005C40D2"/>
    <w:rsid w:val="005C42E8"/>
    <w:rsid w:val="005C53B5"/>
    <w:rsid w:val="005C59F3"/>
    <w:rsid w:val="005C5EBE"/>
    <w:rsid w:val="005C7065"/>
    <w:rsid w:val="005C7091"/>
    <w:rsid w:val="005C74B6"/>
    <w:rsid w:val="005C7530"/>
    <w:rsid w:val="005C77AE"/>
    <w:rsid w:val="005C7990"/>
    <w:rsid w:val="005C7F33"/>
    <w:rsid w:val="005D0D3C"/>
    <w:rsid w:val="005D24D4"/>
    <w:rsid w:val="005D29DE"/>
    <w:rsid w:val="005D2B57"/>
    <w:rsid w:val="005D2D59"/>
    <w:rsid w:val="005D3323"/>
    <w:rsid w:val="005D3877"/>
    <w:rsid w:val="005D3AE9"/>
    <w:rsid w:val="005D441B"/>
    <w:rsid w:val="005D4F19"/>
    <w:rsid w:val="005D51CF"/>
    <w:rsid w:val="005D5F17"/>
    <w:rsid w:val="005D67A9"/>
    <w:rsid w:val="005D7118"/>
    <w:rsid w:val="005D75D8"/>
    <w:rsid w:val="005D76FD"/>
    <w:rsid w:val="005D7774"/>
    <w:rsid w:val="005D7A7E"/>
    <w:rsid w:val="005E0304"/>
    <w:rsid w:val="005E2973"/>
    <w:rsid w:val="005E2C70"/>
    <w:rsid w:val="005E33BC"/>
    <w:rsid w:val="005E3B08"/>
    <w:rsid w:val="005E3FFC"/>
    <w:rsid w:val="005E4837"/>
    <w:rsid w:val="005E4E7A"/>
    <w:rsid w:val="005E55BE"/>
    <w:rsid w:val="005E5809"/>
    <w:rsid w:val="005E5B9E"/>
    <w:rsid w:val="005E5C66"/>
    <w:rsid w:val="005E6126"/>
    <w:rsid w:val="005E618C"/>
    <w:rsid w:val="005E631C"/>
    <w:rsid w:val="005E670D"/>
    <w:rsid w:val="005E67DD"/>
    <w:rsid w:val="005E6CA3"/>
    <w:rsid w:val="005E7056"/>
    <w:rsid w:val="005E772F"/>
    <w:rsid w:val="005E7796"/>
    <w:rsid w:val="005E7A2C"/>
    <w:rsid w:val="005F0975"/>
    <w:rsid w:val="005F1764"/>
    <w:rsid w:val="005F1999"/>
    <w:rsid w:val="005F19EA"/>
    <w:rsid w:val="005F1D23"/>
    <w:rsid w:val="005F2117"/>
    <w:rsid w:val="005F218C"/>
    <w:rsid w:val="005F23FC"/>
    <w:rsid w:val="005F2516"/>
    <w:rsid w:val="005F3973"/>
    <w:rsid w:val="005F4198"/>
    <w:rsid w:val="005F571B"/>
    <w:rsid w:val="005F59E3"/>
    <w:rsid w:val="005F5A59"/>
    <w:rsid w:val="005F5FE7"/>
    <w:rsid w:val="005F6057"/>
    <w:rsid w:val="005F698D"/>
    <w:rsid w:val="005F6CCF"/>
    <w:rsid w:val="005F72FF"/>
    <w:rsid w:val="005F75C5"/>
    <w:rsid w:val="005F77E6"/>
    <w:rsid w:val="005F7932"/>
    <w:rsid w:val="005F7B27"/>
    <w:rsid w:val="005F7C2D"/>
    <w:rsid w:val="00601293"/>
    <w:rsid w:val="006012A3"/>
    <w:rsid w:val="00601696"/>
    <w:rsid w:val="00601828"/>
    <w:rsid w:val="00602BD0"/>
    <w:rsid w:val="0060317A"/>
    <w:rsid w:val="00603417"/>
    <w:rsid w:val="00603893"/>
    <w:rsid w:val="00603B0B"/>
    <w:rsid w:val="00603E09"/>
    <w:rsid w:val="006049D4"/>
    <w:rsid w:val="0060551B"/>
    <w:rsid w:val="006055C0"/>
    <w:rsid w:val="00606A26"/>
    <w:rsid w:val="006076E0"/>
    <w:rsid w:val="00607D28"/>
    <w:rsid w:val="006102A6"/>
    <w:rsid w:val="0061039F"/>
    <w:rsid w:val="00611172"/>
    <w:rsid w:val="0061142D"/>
    <w:rsid w:val="00611913"/>
    <w:rsid w:val="00611F49"/>
    <w:rsid w:val="006139D8"/>
    <w:rsid w:val="00614633"/>
    <w:rsid w:val="0061475B"/>
    <w:rsid w:val="00614F82"/>
    <w:rsid w:val="006151EF"/>
    <w:rsid w:val="0061685D"/>
    <w:rsid w:val="00616B2B"/>
    <w:rsid w:val="00617227"/>
    <w:rsid w:val="006178AE"/>
    <w:rsid w:val="006179C7"/>
    <w:rsid w:val="00617E11"/>
    <w:rsid w:val="006210D0"/>
    <w:rsid w:val="00621238"/>
    <w:rsid w:val="00621F37"/>
    <w:rsid w:val="00622139"/>
    <w:rsid w:val="006221C0"/>
    <w:rsid w:val="006223FD"/>
    <w:rsid w:val="0062264E"/>
    <w:rsid w:val="00622668"/>
    <w:rsid w:val="0062298E"/>
    <w:rsid w:val="00622B59"/>
    <w:rsid w:val="006235BE"/>
    <w:rsid w:val="006241A0"/>
    <w:rsid w:val="00624404"/>
    <w:rsid w:val="006244C9"/>
    <w:rsid w:val="00624576"/>
    <w:rsid w:val="00624F01"/>
    <w:rsid w:val="00625B36"/>
    <w:rsid w:val="006260EB"/>
    <w:rsid w:val="00627296"/>
    <w:rsid w:val="006273F1"/>
    <w:rsid w:val="006277D2"/>
    <w:rsid w:val="00627C75"/>
    <w:rsid w:val="00630389"/>
    <w:rsid w:val="00631480"/>
    <w:rsid w:val="00631635"/>
    <w:rsid w:val="00632BB3"/>
    <w:rsid w:val="00632DAF"/>
    <w:rsid w:val="006338FA"/>
    <w:rsid w:val="00633CF4"/>
    <w:rsid w:val="00633DFA"/>
    <w:rsid w:val="00634368"/>
    <w:rsid w:val="00634954"/>
    <w:rsid w:val="00634AF1"/>
    <w:rsid w:val="00635353"/>
    <w:rsid w:val="00635810"/>
    <w:rsid w:val="00635AAD"/>
    <w:rsid w:val="006361EF"/>
    <w:rsid w:val="0063687F"/>
    <w:rsid w:val="00636F3C"/>
    <w:rsid w:val="006370E3"/>
    <w:rsid w:val="0063758D"/>
    <w:rsid w:val="00637A90"/>
    <w:rsid w:val="00637B0D"/>
    <w:rsid w:val="006401BD"/>
    <w:rsid w:val="00640602"/>
    <w:rsid w:val="00640E29"/>
    <w:rsid w:val="006411AA"/>
    <w:rsid w:val="00641857"/>
    <w:rsid w:val="006429C5"/>
    <w:rsid w:val="00643B53"/>
    <w:rsid w:val="0064424C"/>
    <w:rsid w:val="00644833"/>
    <w:rsid w:val="00644ACD"/>
    <w:rsid w:val="00644F7D"/>
    <w:rsid w:val="006453CD"/>
    <w:rsid w:val="00645B29"/>
    <w:rsid w:val="00645D68"/>
    <w:rsid w:val="00645E7F"/>
    <w:rsid w:val="006460AD"/>
    <w:rsid w:val="0064683C"/>
    <w:rsid w:val="006475C3"/>
    <w:rsid w:val="006478E9"/>
    <w:rsid w:val="00650342"/>
    <w:rsid w:val="006504DF"/>
    <w:rsid w:val="00651350"/>
    <w:rsid w:val="00651B12"/>
    <w:rsid w:val="00651F7E"/>
    <w:rsid w:val="006520A4"/>
    <w:rsid w:val="0065318E"/>
    <w:rsid w:val="00653B20"/>
    <w:rsid w:val="00653C43"/>
    <w:rsid w:val="00653CA0"/>
    <w:rsid w:val="0065422A"/>
    <w:rsid w:val="00654B1B"/>
    <w:rsid w:val="00654FC2"/>
    <w:rsid w:val="00655127"/>
    <w:rsid w:val="006561B0"/>
    <w:rsid w:val="00656A92"/>
    <w:rsid w:val="00656D5E"/>
    <w:rsid w:val="00656DCB"/>
    <w:rsid w:val="0065757A"/>
    <w:rsid w:val="006575AB"/>
    <w:rsid w:val="00657A78"/>
    <w:rsid w:val="00660192"/>
    <w:rsid w:val="00660587"/>
    <w:rsid w:val="00661243"/>
    <w:rsid w:val="00661796"/>
    <w:rsid w:val="00661939"/>
    <w:rsid w:val="00661B5D"/>
    <w:rsid w:val="00662491"/>
    <w:rsid w:val="006638C3"/>
    <w:rsid w:val="00663968"/>
    <w:rsid w:val="00663D1F"/>
    <w:rsid w:val="00663EB3"/>
    <w:rsid w:val="006643B2"/>
    <w:rsid w:val="0066473B"/>
    <w:rsid w:val="006650DA"/>
    <w:rsid w:val="00665279"/>
    <w:rsid w:val="00665451"/>
    <w:rsid w:val="006658C2"/>
    <w:rsid w:val="006661FE"/>
    <w:rsid w:val="0066627B"/>
    <w:rsid w:val="006668DC"/>
    <w:rsid w:val="00666D99"/>
    <w:rsid w:val="0066728B"/>
    <w:rsid w:val="00667398"/>
    <w:rsid w:val="00667496"/>
    <w:rsid w:val="00667736"/>
    <w:rsid w:val="00667C95"/>
    <w:rsid w:val="00670CD5"/>
    <w:rsid w:val="00670FC5"/>
    <w:rsid w:val="00671C25"/>
    <w:rsid w:val="00672318"/>
    <w:rsid w:val="00672690"/>
    <w:rsid w:val="00673554"/>
    <w:rsid w:val="00674821"/>
    <w:rsid w:val="00674D1D"/>
    <w:rsid w:val="00675235"/>
    <w:rsid w:val="0067655E"/>
    <w:rsid w:val="006776B2"/>
    <w:rsid w:val="0067789A"/>
    <w:rsid w:val="00677EE5"/>
    <w:rsid w:val="00677F27"/>
    <w:rsid w:val="00677F50"/>
    <w:rsid w:val="00680736"/>
    <w:rsid w:val="006808C7"/>
    <w:rsid w:val="00680C90"/>
    <w:rsid w:val="006810E8"/>
    <w:rsid w:val="00681E23"/>
    <w:rsid w:val="00682682"/>
    <w:rsid w:val="00682A97"/>
    <w:rsid w:val="00682D30"/>
    <w:rsid w:val="006839FF"/>
    <w:rsid w:val="00683C02"/>
    <w:rsid w:val="00683D32"/>
    <w:rsid w:val="00683E26"/>
    <w:rsid w:val="00684673"/>
    <w:rsid w:val="00685996"/>
    <w:rsid w:val="006867DD"/>
    <w:rsid w:val="0069094F"/>
    <w:rsid w:val="00690CB8"/>
    <w:rsid w:val="00691ACF"/>
    <w:rsid w:val="00691EBA"/>
    <w:rsid w:val="00691F2D"/>
    <w:rsid w:val="00692A48"/>
    <w:rsid w:val="006932EB"/>
    <w:rsid w:val="0069338A"/>
    <w:rsid w:val="00693BEE"/>
    <w:rsid w:val="00693C1F"/>
    <w:rsid w:val="006940E1"/>
    <w:rsid w:val="006943C6"/>
    <w:rsid w:val="00694531"/>
    <w:rsid w:val="00695B14"/>
    <w:rsid w:val="00695BA4"/>
    <w:rsid w:val="006966C4"/>
    <w:rsid w:val="006968D5"/>
    <w:rsid w:val="00696DD1"/>
    <w:rsid w:val="006970B7"/>
    <w:rsid w:val="006972BF"/>
    <w:rsid w:val="0069731C"/>
    <w:rsid w:val="0069764F"/>
    <w:rsid w:val="0069773F"/>
    <w:rsid w:val="00697A3D"/>
    <w:rsid w:val="006A073A"/>
    <w:rsid w:val="006A0B00"/>
    <w:rsid w:val="006A0DF4"/>
    <w:rsid w:val="006A20A6"/>
    <w:rsid w:val="006A20F7"/>
    <w:rsid w:val="006A215B"/>
    <w:rsid w:val="006A2EE3"/>
    <w:rsid w:val="006A303D"/>
    <w:rsid w:val="006A31E2"/>
    <w:rsid w:val="006A36D7"/>
    <w:rsid w:val="006A427B"/>
    <w:rsid w:val="006A4839"/>
    <w:rsid w:val="006A4BFE"/>
    <w:rsid w:val="006A53F9"/>
    <w:rsid w:val="006A6549"/>
    <w:rsid w:val="006A6961"/>
    <w:rsid w:val="006A69CF"/>
    <w:rsid w:val="006A6DA0"/>
    <w:rsid w:val="006A727B"/>
    <w:rsid w:val="006A7582"/>
    <w:rsid w:val="006A77CC"/>
    <w:rsid w:val="006A79EC"/>
    <w:rsid w:val="006A7B55"/>
    <w:rsid w:val="006A7CCD"/>
    <w:rsid w:val="006B0116"/>
    <w:rsid w:val="006B0DDD"/>
    <w:rsid w:val="006B0FA3"/>
    <w:rsid w:val="006B1050"/>
    <w:rsid w:val="006B10A3"/>
    <w:rsid w:val="006B1B9A"/>
    <w:rsid w:val="006B1C47"/>
    <w:rsid w:val="006B2AEF"/>
    <w:rsid w:val="006B2C90"/>
    <w:rsid w:val="006B2CCC"/>
    <w:rsid w:val="006B31BE"/>
    <w:rsid w:val="006B35C8"/>
    <w:rsid w:val="006B3C4F"/>
    <w:rsid w:val="006B4485"/>
    <w:rsid w:val="006B4607"/>
    <w:rsid w:val="006B47B0"/>
    <w:rsid w:val="006B526A"/>
    <w:rsid w:val="006B5AF7"/>
    <w:rsid w:val="006B5B1B"/>
    <w:rsid w:val="006B6053"/>
    <w:rsid w:val="006B682F"/>
    <w:rsid w:val="006B6A8B"/>
    <w:rsid w:val="006B6D31"/>
    <w:rsid w:val="006B75A3"/>
    <w:rsid w:val="006C0212"/>
    <w:rsid w:val="006C07AF"/>
    <w:rsid w:val="006C0BCB"/>
    <w:rsid w:val="006C169F"/>
    <w:rsid w:val="006C18C2"/>
    <w:rsid w:val="006C20C7"/>
    <w:rsid w:val="006C294A"/>
    <w:rsid w:val="006C29BA"/>
    <w:rsid w:val="006C3CCE"/>
    <w:rsid w:val="006C4565"/>
    <w:rsid w:val="006C4681"/>
    <w:rsid w:val="006C48D9"/>
    <w:rsid w:val="006C48FE"/>
    <w:rsid w:val="006C4A2F"/>
    <w:rsid w:val="006C5281"/>
    <w:rsid w:val="006C5C02"/>
    <w:rsid w:val="006C5DAF"/>
    <w:rsid w:val="006C658E"/>
    <w:rsid w:val="006C68A6"/>
    <w:rsid w:val="006C69F7"/>
    <w:rsid w:val="006C7509"/>
    <w:rsid w:val="006C7ACE"/>
    <w:rsid w:val="006D086C"/>
    <w:rsid w:val="006D0D71"/>
    <w:rsid w:val="006D11DA"/>
    <w:rsid w:val="006D39AD"/>
    <w:rsid w:val="006D425D"/>
    <w:rsid w:val="006D4593"/>
    <w:rsid w:val="006D4F1D"/>
    <w:rsid w:val="006D5A54"/>
    <w:rsid w:val="006D6866"/>
    <w:rsid w:val="006D68CF"/>
    <w:rsid w:val="006D7E3D"/>
    <w:rsid w:val="006D7E5F"/>
    <w:rsid w:val="006E02BF"/>
    <w:rsid w:val="006E1199"/>
    <w:rsid w:val="006E1A5C"/>
    <w:rsid w:val="006E310D"/>
    <w:rsid w:val="006E3194"/>
    <w:rsid w:val="006E34B8"/>
    <w:rsid w:val="006E3646"/>
    <w:rsid w:val="006E3CA1"/>
    <w:rsid w:val="006E3F1B"/>
    <w:rsid w:val="006E4268"/>
    <w:rsid w:val="006E4D6C"/>
    <w:rsid w:val="006E58D9"/>
    <w:rsid w:val="006E5BE9"/>
    <w:rsid w:val="006E60CE"/>
    <w:rsid w:val="006E62ED"/>
    <w:rsid w:val="006E66DB"/>
    <w:rsid w:val="006E7BB6"/>
    <w:rsid w:val="006F0008"/>
    <w:rsid w:val="006F129C"/>
    <w:rsid w:val="006F18BB"/>
    <w:rsid w:val="006F1BC8"/>
    <w:rsid w:val="006F234E"/>
    <w:rsid w:val="006F36BA"/>
    <w:rsid w:val="006F3B7F"/>
    <w:rsid w:val="006F3D54"/>
    <w:rsid w:val="006F41C8"/>
    <w:rsid w:val="006F4CBD"/>
    <w:rsid w:val="006F4D6F"/>
    <w:rsid w:val="006F52C8"/>
    <w:rsid w:val="006F5583"/>
    <w:rsid w:val="006F6BAB"/>
    <w:rsid w:val="006F775D"/>
    <w:rsid w:val="006F7ACC"/>
    <w:rsid w:val="007003B4"/>
    <w:rsid w:val="007003D4"/>
    <w:rsid w:val="00700525"/>
    <w:rsid w:val="00700A70"/>
    <w:rsid w:val="00700BCB"/>
    <w:rsid w:val="00700CFA"/>
    <w:rsid w:val="00701299"/>
    <w:rsid w:val="007016EC"/>
    <w:rsid w:val="007028A7"/>
    <w:rsid w:val="00702A8A"/>
    <w:rsid w:val="00702B53"/>
    <w:rsid w:val="00702B91"/>
    <w:rsid w:val="00702D79"/>
    <w:rsid w:val="00702EDF"/>
    <w:rsid w:val="0070311F"/>
    <w:rsid w:val="00703229"/>
    <w:rsid w:val="007032BC"/>
    <w:rsid w:val="007038A9"/>
    <w:rsid w:val="0070427B"/>
    <w:rsid w:val="00704390"/>
    <w:rsid w:val="007044E0"/>
    <w:rsid w:val="00704DC7"/>
    <w:rsid w:val="00705F26"/>
    <w:rsid w:val="00706BF4"/>
    <w:rsid w:val="00706C19"/>
    <w:rsid w:val="00706FBB"/>
    <w:rsid w:val="00707173"/>
    <w:rsid w:val="00707429"/>
    <w:rsid w:val="00707936"/>
    <w:rsid w:val="00707E2D"/>
    <w:rsid w:val="00710F1E"/>
    <w:rsid w:val="00711347"/>
    <w:rsid w:val="00711BDF"/>
    <w:rsid w:val="00712185"/>
    <w:rsid w:val="00712305"/>
    <w:rsid w:val="00713C9F"/>
    <w:rsid w:val="00714122"/>
    <w:rsid w:val="0071575D"/>
    <w:rsid w:val="00715916"/>
    <w:rsid w:val="00716B68"/>
    <w:rsid w:val="00717549"/>
    <w:rsid w:val="0071763E"/>
    <w:rsid w:val="00721086"/>
    <w:rsid w:val="007211C4"/>
    <w:rsid w:val="007225EA"/>
    <w:rsid w:val="00722623"/>
    <w:rsid w:val="007227E7"/>
    <w:rsid w:val="0072293D"/>
    <w:rsid w:val="007233AD"/>
    <w:rsid w:val="007235A8"/>
    <w:rsid w:val="0072361A"/>
    <w:rsid w:val="0072401E"/>
    <w:rsid w:val="00724345"/>
    <w:rsid w:val="00724605"/>
    <w:rsid w:val="00725276"/>
    <w:rsid w:val="00725443"/>
    <w:rsid w:val="00725A00"/>
    <w:rsid w:val="007261E6"/>
    <w:rsid w:val="00726B34"/>
    <w:rsid w:val="0073005B"/>
    <w:rsid w:val="0073043B"/>
    <w:rsid w:val="00731241"/>
    <w:rsid w:val="00732331"/>
    <w:rsid w:val="007323C4"/>
    <w:rsid w:val="00732CAA"/>
    <w:rsid w:val="00732EA4"/>
    <w:rsid w:val="00732EC7"/>
    <w:rsid w:val="007331CA"/>
    <w:rsid w:val="007331F5"/>
    <w:rsid w:val="00733434"/>
    <w:rsid w:val="007353AD"/>
    <w:rsid w:val="00735F61"/>
    <w:rsid w:val="0073666E"/>
    <w:rsid w:val="007368F4"/>
    <w:rsid w:val="00736DC7"/>
    <w:rsid w:val="00737479"/>
    <w:rsid w:val="007376F0"/>
    <w:rsid w:val="00741123"/>
    <w:rsid w:val="007415A0"/>
    <w:rsid w:val="007415AC"/>
    <w:rsid w:val="0074164A"/>
    <w:rsid w:val="007419BA"/>
    <w:rsid w:val="00741AF5"/>
    <w:rsid w:val="00741F1A"/>
    <w:rsid w:val="0074223D"/>
    <w:rsid w:val="00742420"/>
    <w:rsid w:val="00742BF9"/>
    <w:rsid w:val="0074317F"/>
    <w:rsid w:val="00743490"/>
    <w:rsid w:val="00744471"/>
    <w:rsid w:val="00744C7F"/>
    <w:rsid w:val="007459E6"/>
    <w:rsid w:val="00745A94"/>
    <w:rsid w:val="00745D13"/>
    <w:rsid w:val="00745EE0"/>
    <w:rsid w:val="00746391"/>
    <w:rsid w:val="0074687B"/>
    <w:rsid w:val="00746C50"/>
    <w:rsid w:val="00746F7E"/>
    <w:rsid w:val="00747194"/>
    <w:rsid w:val="0074739A"/>
    <w:rsid w:val="0074760B"/>
    <w:rsid w:val="0075005A"/>
    <w:rsid w:val="007506E8"/>
    <w:rsid w:val="00750F33"/>
    <w:rsid w:val="00751D0B"/>
    <w:rsid w:val="00752189"/>
    <w:rsid w:val="00752C14"/>
    <w:rsid w:val="00752DA7"/>
    <w:rsid w:val="00753BD6"/>
    <w:rsid w:val="00753C66"/>
    <w:rsid w:val="00753C7B"/>
    <w:rsid w:val="007549DA"/>
    <w:rsid w:val="00755409"/>
    <w:rsid w:val="00756124"/>
    <w:rsid w:val="00756908"/>
    <w:rsid w:val="00756F63"/>
    <w:rsid w:val="00756FA2"/>
    <w:rsid w:val="00757874"/>
    <w:rsid w:val="007601B6"/>
    <w:rsid w:val="00760203"/>
    <w:rsid w:val="007615CD"/>
    <w:rsid w:val="00761D06"/>
    <w:rsid w:val="007620F0"/>
    <w:rsid w:val="00762BF0"/>
    <w:rsid w:val="00762D11"/>
    <w:rsid w:val="00763957"/>
    <w:rsid w:val="00764152"/>
    <w:rsid w:val="0076452C"/>
    <w:rsid w:val="0076540F"/>
    <w:rsid w:val="00765813"/>
    <w:rsid w:val="007659A2"/>
    <w:rsid w:val="00765CE1"/>
    <w:rsid w:val="0076610E"/>
    <w:rsid w:val="00766277"/>
    <w:rsid w:val="007668A7"/>
    <w:rsid w:val="0076789E"/>
    <w:rsid w:val="00767B02"/>
    <w:rsid w:val="00767C3F"/>
    <w:rsid w:val="00767DF1"/>
    <w:rsid w:val="007719D1"/>
    <w:rsid w:val="00771BA1"/>
    <w:rsid w:val="00771DF4"/>
    <w:rsid w:val="007727CC"/>
    <w:rsid w:val="00772C79"/>
    <w:rsid w:val="00772C80"/>
    <w:rsid w:val="00772F38"/>
    <w:rsid w:val="007733FC"/>
    <w:rsid w:val="007735CC"/>
    <w:rsid w:val="00773A69"/>
    <w:rsid w:val="0077411B"/>
    <w:rsid w:val="00774B33"/>
    <w:rsid w:val="00774DC8"/>
    <w:rsid w:val="0077543E"/>
    <w:rsid w:val="00775489"/>
    <w:rsid w:val="007757C2"/>
    <w:rsid w:val="007767D0"/>
    <w:rsid w:val="00776D51"/>
    <w:rsid w:val="007770B8"/>
    <w:rsid w:val="00777BC8"/>
    <w:rsid w:val="00777F0B"/>
    <w:rsid w:val="007810DC"/>
    <w:rsid w:val="007818B7"/>
    <w:rsid w:val="00782CFB"/>
    <w:rsid w:val="00782DE2"/>
    <w:rsid w:val="00782E62"/>
    <w:rsid w:val="007838C6"/>
    <w:rsid w:val="00784628"/>
    <w:rsid w:val="0078471B"/>
    <w:rsid w:val="00784E4A"/>
    <w:rsid w:val="00784F57"/>
    <w:rsid w:val="007861B6"/>
    <w:rsid w:val="0078641B"/>
    <w:rsid w:val="0078649E"/>
    <w:rsid w:val="00786ED2"/>
    <w:rsid w:val="00787252"/>
    <w:rsid w:val="007873BA"/>
    <w:rsid w:val="0078775C"/>
    <w:rsid w:val="00787F6B"/>
    <w:rsid w:val="00790342"/>
    <w:rsid w:val="00790A2E"/>
    <w:rsid w:val="007910A0"/>
    <w:rsid w:val="00791228"/>
    <w:rsid w:val="007915A4"/>
    <w:rsid w:val="00791700"/>
    <w:rsid w:val="007922BD"/>
    <w:rsid w:val="007923E3"/>
    <w:rsid w:val="00792742"/>
    <w:rsid w:val="00793EA8"/>
    <w:rsid w:val="007941D7"/>
    <w:rsid w:val="00794285"/>
    <w:rsid w:val="00794503"/>
    <w:rsid w:val="0079462E"/>
    <w:rsid w:val="007951A1"/>
    <w:rsid w:val="007957A0"/>
    <w:rsid w:val="0079591E"/>
    <w:rsid w:val="00795E34"/>
    <w:rsid w:val="00797481"/>
    <w:rsid w:val="00797B2D"/>
    <w:rsid w:val="007A0A4B"/>
    <w:rsid w:val="007A0EA6"/>
    <w:rsid w:val="007A1397"/>
    <w:rsid w:val="007A1950"/>
    <w:rsid w:val="007A1BDF"/>
    <w:rsid w:val="007A28E2"/>
    <w:rsid w:val="007A2C54"/>
    <w:rsid w:val="007A4B0E"/>
    <w:rsid w:val="007A51DD"/>
    <w:rsid w:val="007A521F"/>
    <w:rsid w:val="007A5619"/>
    <w:rsid w:val="007A5744"/>
    <w:rsid w:val="007A593E"/>
    <w:rsid w:val="007A5A11"/>
    <w:rsid w:val="007A5D77"/>
    <w:rsid w:val="007A6D41"/>
    <w:rsid w:val="007A7012"/>
    <w:rsid w:val="007A74C2"/>
    <w:rsid w:val="007B02CE"/>
    <w:rsid w:val="007B030C"/>
    <w:rsid w:val="007B0319"/>
    <w:rsid w:val="007B04CF"/>
    <w:rsid w:val="007B052B"/>
    <w:rsid w:val="007B0998"/>
    <w:rsid w:val="007B12AF"/>
    <w:rsid w:val="007B1F1D"/>
    <w:rsid w:val="007B1F8C"/>
    <w:rsid w:val="007B244E"/>
    <w:rsid w:val="007B291C"/>
    <w:rsid w:val="007B2DC9"/>
    <w:rsid w:val="007B381F"/>
    <w:rsid w:val="007B3C0E"/>
    <w:rsid w:val="007B4BF2"/>
    <w:rsid w:val="007B5562"/>
    <w:rsid w:val="007B5824"/>
    <w:rsid w:val="007B617B"/>
    <w:rsid w:val="007B6286"/>
    <w:rsid w:val="007B671D"/>
    <w:rsid w:val="007B719E"/>
    <w:rsid w:val="007C03E6"/>
    <w:rsid w:val="007C07DA"/>
    <w:rsid w:val="007C08D3"/>
    <w:rsid w:val="007C0BF8"/>
    <w:rsid w:val="007C2146"/>
    <w:rsid w:val="007C291B"/>
    <w:rsid w:val="007C4724"/>
    <w:rsid w:val="007C47AA"/>
    <w:rsid w:val="007C5108"/>
    <w:rsid w:val="007C5199"/>
    <w:rsid w:val="007C6068"/>
    <w:rsid w:val="007C612B"/>
    <w:rsid w:val="007C63C5"/>
    <w:rsid w:val="007C715E"/>
    <w:rsid w:val="007C72C5"/>
    <w:rsid w:val="007C741E"/>
    <w:rsid w:val="007C7CDC"/>
    <w:rsid w:val="007D026C"/>
    <w:rsid w:val="007D0AB9"/>
    <w:rsid w:val="007D168C"/>
    <w:rsid w:val="007D2067"/>
    <w:rsid w:val="007D21A3"/>
    <w:rsid w:val="007D26D6"/>
    <w:rsid w:val="007D28CA"/>
    <w:rsid w:val="007D28D5"/>
    <w:rsid w:val="007D3DCC"/>
    <w:rsid w:val="007D45F0"/>
    <w:rsid w:val="007D468A"/>
    <w:rsid w:val="007D5175"/>
    <w:rsid w:val="007D54D9"/>
    <w:rsid w:val="007D5CA4"/>
    <w:rsid w:val="007D6251"/>
    <w:rsid w:val="007D64D8"/>
    <w:rsid w:val="007D6750"/>
    <w:rsid w:val="007D725E"/>
    <w:rsid w:val="007D7F09"/>
    <w:rsid w:val="007D7F98"/>
    <w:rsid w:val="007E019D"/>
    <w:rsid w:val="007E0398"/>
    <w:rsid w:val="007E064C"/>
    <w:rsid w:val="007E072D"/>
    <w:rsid w:val="007E18D4"/>
    <w:rsid w:val="007E1A18"/>
    <w:rsid w:val="007E1D95"/>
    <w:rsid w:val="007E1F15"/>
    <w:rsid w:val="007E2ECD"/>
    <w:rsid w:val="007E3043"/>
    <w:rsid w:val="007E3A13"/>
    <w:rsid w:val="007E3C73"/>
    <w:rsid w:val="007E4934"/>
    <w:rsid w:val="007E4A1D"/>
    <w:rsid w:val="007E5C18"/>
    <w:rsid w:val="007E5C1C"/>
    <w:rsid w:val="007E6DE4"/>
    <w:rsid w:val="007E700B"/>
    <w:rsid w:val="007E7AA9"/>
    <w:rsid w:val="007E7C41"/>
    <w:rsid w:val="007E7D0B"/>
    <w:rsid w:val="007E7E05"/>
    <w:rsid w:val="007F01C0"/>
    <w:rsid w:val="007F046C"/>
    <w:rsid w:val="007F0887"/>
    <w:rsid w:val="007F15B0"/>
    <w:rsid w:val="007F24E3"/>
    <w:rsid w:val="007F2523"/>
    <w:rsid w:val="007F2C47"/>
    <w:rsid w:val="007F2E0B"/>
    <w:rsid w:val="007F36EF"/>
    <w:rsid w:val="007F442C"/>
    <w:rsid w:val="007F48F0"/>
    <w:rsid w:val="007F493B"/>
    <w:rsid w:val="007F4DBB"/>
    <w:rsid w:val="007F5209"/>
    <w:rsid w:val="007F5947"/>
    <w:rsid w:val="007F68B2"/>
    <w:rsid w:val="007F6E4D"/>
    <w:rsid w:val="007F7ED9"/>
    <w:rsid w:val="008000B8"/>
    <w:rsid w:val="00800727"/>
    <w:rsid w:val="008008E3"/>
    <w:rsid w:val="00800A0E"/>
    <w:rsid w:val="00800DDB"/>
    <w:rsid w:val="00801DBC"/>
    <w:rsid w:val="00801EFB"/>
    <w:rsid w:val="008024FA"/>
    <w:rsid w:val="00803A94"/>
    <w:rsid w:val="00803DCD"/>
    <w:rsid w:val="00804436"/>
    <w:rsid w:val="00804AC4"/>
    <w:rsid w:val="00805191"/>
    <w:rsid w:val="00805C8F"/>
    <w:rsid w:val="00806C00"/>
    <w:rsid w:val="008126AE"/>
    <w:rsid w:val="008132CD"/>
    <w:rsid w:val="00813951"/>
    <w:rsid w:val="00813D02"/>
    <w:rsid w:val="0081411A"/>
    <w:rsid w:val="008145AA"/>
    <w:rsid w:val="00814EC6"/>
    <w:rsid w:val="00815B60"/>
    <w:rsid w:val="00815D55"/>
    <w:rsid w:val="00816062"/>
    <w:rsid w:val="008166C2"/>
    <w:rsid w:val="00816B51"/>
    <w:rsid w:val="008174FA"/>
    <w:rsid w:val="00820B61"/>
    <w:rsid w:val="0082132F"/>
    <w:rsid w:val="00823965"/>
    <w:rsid w:val="00824397"/>
    <w:rsid w:val="00824444"/>
    <w:rsid w:val="00825174"/>
    <w:rsid w:val="0082529B"/>
    <w:rsid w:val="00825BD6"/>
    <w:rsid w:val="008269D8"/>
    <w:rsid w:val="00826D49"/>
    <w:rsid w:val="0082721A"/>
    <w:rsid w:val="00827D6D"/>
    <w:rsid w:val="00827E96"/>
    <w:rsid w:val="00830979"/>
    <w:rsid w:val="0083157A"/>
    <w:rsid w:val="00831AF6"/>
    <w:rsid w:val="008323E8"/>
    <w:rsid w:val="00832490"/>
    <w:rsid w:val="00832A53"/>
    <w:rsid w:val="00832C49"/>
    <w:rsid w:val="00832EBD"/>
    <w:rsid w:val="0083381F"/>
    <w:rsid w:val="00833BE0"/>
    <w:rsid w:val="00833E97"/>
    <w:rsid w:val="00834422"/>
    <w:rsid w:val="00834A89"/>
    <w:rsid w:val="00834D7F"/>
    <w:rsid w:val="0083536C"/>
    <w:rsid w:val="008360E6"/>
    <w:rsid w:val="00836790"/>
    <w:rsid w:val="008373B4"/>
    <w:rsid w:val="00837407"/>
    <w:rsid w:val="00840322"/>
    <w:rsid w:val="00840649"/>
    <w:rsid w:val="00840CC5"/>
    <w:rsid w:val="00842BAB"/>
    <w:rsid w:val="00842F76"/>
    <w:rsid w:val="008446F5"/>
    <w:rsid w:val="00845558"/>
    <w:rsid w:val="00845ECF"/>
    <w:rsid w:val="0084623E"/>
    <w:rsid w:val="008462A3"/>
    <w:rsid w:val="008462F8"/>
    <w:rsid w:val="008465C9"/>
    <w:rsid w:val="008467CC"/>
    <w:rsid w:val="00846943"/>
    <w:rsid w:val="0084723E"/>
    <w:rsid w:val="00847C1F"/>
    <w:rsid w:val="008501AF"/>
    <w:rsid w:val="0085078B"/>
    <w:rsid w:val="0085085C"/>
    <w:rsid w:val="00851480"/>
    <w:rsid w:val="00851A21"/>
    <w:rsid w:val="008527F4"/>
    <w:rsid w:val="00852B96"/>
    <w:rsid w:val="0085300F"/>
    <w:rsid w:val="0085394F"/>
    <w:rsid w:val="0085395B"/>
    <w:rsid w:val="0085517D"/>
    <w:rsid w:val="0085518F"/>
    <w:rsid w:val="00855190"/>
    <w:rsid w:val="00855CFF"/>
    <w:rsid w:val="0085681E"/>
    <w:rsid w:val="00856CD0"/>
    <w:rsid w:val="00856D6C"/>
    <w:rsid w:val="008570D2"/>
    <w:rsid w:val="008579A3"/>
    <w:rsid w:val="008609C9"/>
    <w:rsid w:val="00860A10"/>
    <w:rsid w:val="00861C47"/>
    <w:rsid w:val="008624C9"/>
    <w:rsid w:val="008629A5"/>
    <w:rsid w:val="00863153"/>
    <w:rsid w:val="00863C04"/>
    <w:rsid w:val="00863E3C"/>
    <w:rsid w:val="00864840"/>
    <w:rsid w:val="00864C84"/>
    <w:rsid w:val="008654C9"/>
    <w:rsid w:val="00865DFD"/>
    <w:rsid w:val="008666F4"/>
    <w:rsid w:val="00866BDB"/>
    <w:rsid w:val="00867368"/>
    <w:rsid w:val="00867A67"/>
    <w:rsid w:val="008701BA"/>
    <w:rsid w:val="0087121E"/>
    <w:rsid w:val="00871312"/>
    <w:rsid w:val="00871671"/>
    <w:rsid w:val="00871789"/>
    <w:rsid w:val="00872203"/>
    <w:rsid w:val="00872D63"/>
    <w:rsid w:val="00873260"/>
    <w:rsid w:val="00873F50"/>
    <w:rsid w:val="00873FE3"/>
    <w:rsid w:val="008742A8"/>
    <w:rsid w:val="00874427"/>
    <w:rsid w:val="008745CB"/>
    <w:rsid w:val="00874DCF"/>
    <w:rsid w:val="00874EA5"/>
    <w:rsid w:val="0087508E"/>
    <w:rsid w:val="00875532"/>
    <w:rsid w:val="00875C17"/>
    <w:rsid w:val="00875E29"/>
    <w:rsid w:val="008769D6"/>
    <w:rsid w:val="00876E70"/>
    <w:rsid w:val="00877143"/>
    <w:rsid w:val="00877830"/>
    <w:rsid w:val="008778F0"/>
    <w:rsid w:val="008803E3"/>
    <w:rsid w:val="008803E8"/>
    <w:rsid w:val="008810F0"/>
    <w:rsid w:val="00881A7E"/>
    <w:rsid w:val="00881B35"/>
    <w:rsid w:val="008832E9"/>
    <w:rsid w:val="00883567"/>
    <w:rsid w:val="00883AD2"/>
    <w:rsid w:val="00883DEA"/>
    <w:rsid w:val="008851DA"/>
    <w:rsid w:val="00886066"/>
    <w:rsid w:val="008860A5"/>
    <w:rsid w:val="0088675F"/>
    <w:rsid w:val="0088683B"/>
    <w:rsid w:val="00886922"/>
    <w:rsid w:val="00886C63"/>
    <w:rsid w:val="00886CAE"/>
    <w:rsid w:val="00886F2C"/>
    <w:rsid w:val="008874B6"/>
    <w:rsid w:val="008875BA"/>
    <w:rsid w:val="00887BAA"/>
    <w:rsid w:val="00887DC3"/>
    <w:rsid w:val="008906A7"/>
    <w:rsid w:val="00890D3B"/>
    <w:rsid w:val="008918A1"/>
    <w:rsid w:val="00891AA6"/>
    <w:rsid w:val="00892240"/>
    <w:rsid w:val="008928AD"/>
    <w:rsid w:val="00892CC6"/>
    <w:rsid w:val="00892F95"/>
    <w:rsid w:val="008936ED"/>
    <w:rsid w:val="00893AC5"/>
    <w:rsid w:val="00893E36"/>
    <w:rsid w:val="008942A6"/>
    <w:rsid w:val="008947BA"/>
    <w:rsid w:val="00894BA7"/>
    <w:rsid w:val="008961E6"/>
    <w:rsid w:val="0089620E"/>
    <w:rsid w:val="0089757A"/>
    <w:rsid w:val="008A0A38"/>
    <w:rsid w:val="008A121A"/>
    <w:rsid w:val="008A1611"/>
    <w:rsid w:val="008A1B9D"/>
    <w:rsid w:val="008A1F5B"/>
    <w:rsid w:val="008A27B1"/>
    <w:rsid w:val="008A2A09"/>
    <w:rsid w:val="008A2A30"/>
    <w:rsid w:val="008A2D4A"/>
    <w:rsid w:val="008A33DF"/>
    <w:rsid w:val="008A385A"/>
    <w:rsid w:val="008A3D4E"/>
    <w:rsid w:val="008A3E21"/>
    <w:rsid w:val="008A3F51"/>
    <w:rsid w:val="008A4599"/>
    <w:rsid w:val="008A4687"/>
    <w:rsid w:val="008A4FDF"/>
    <w:rsid w:val="008A57A5"/>
    <w:rsid w:val="008A57A8"/>
    <w:rsid w:val="008A58E1"/>
    <w:rsid w:val="008A6276"/>
    <w:rsid w:val="008A65AE"/>
    <w:rsid w:val="008A6990"/>
    <w:rsid w:val="008A6CE0"/>
    <w:rsid w:val="008A72F8"/>
    <w:rsid w:val="008A781E"/>
    <w:rsid w:val="008A7E83"/>
    <w:rsid w:val="008A7FB8"/>
    <w:rsid w:val="008B180D"/>
    <w:rsid w:val="008B18B5"/>
    <w:rsid w:val="008B210E"/>
    <w:rsid w:val="008B26D8"/>
    <w:rsid w:val="008B2831"/>
    <w:rsid w:val="008B288E"/>
    <w:rsid w:val="008B2B46"/>
    <w:rsid w:val="008B36F8"/>
    <w:rsid w:val="008B3AA9"/>
    <w:rsid w:val="008B3CB6"/>
    <w:rsid w:val="008B3DC9"/>
    <w:rsid w:val="008B3E28"/>
    <w:rsid w:val="008B43D9"/>
    <w:rsid w:val="008B4445"/>
    <w:rsid w:val="008B4C98"/>
    <w:rsid w:val="008B59F9"/>
    <w:rsid w:val="008B5AB8"/>
    <w:rsid w:val="008B61A0"/>
    <w:rsid w:val="008C102B"/>
    <w:rsid w:val="008C11BC"/>
    <w:rsid w:val="008C142F"/>
    <w:rsid w:val="008C151F"/>
    <w:rsid w:val="008C1676"/>
    <w:rsid w:val="008C2147"/>
    <w:rsid w:val="008C2199"/>
    <w:rsid w:val="008C21CA"/>
    <w:rsid w:val="008C27E2"/>
    <w:rsid w:val="008C2939"/>
    <w:rsid w:val="008C2A1A"/>
    <w:rsid w:val="008C4307"/>
    <w:rsid w:val="008C50B9"/>
    <w:rsid w:val="008C531F"/>
    <w:rsid w:val="008C5ED4"/>
    <w:rsid w:val="008C64B3"/>
    <w:rsid w:val="008C6633"/>
    <w:rsid w:val="008C6FAA"/>
    <w:rsid w:val="008C727A"/>
    <w:rsid w:val="008C7D3E"/>
    <w:rsid w:val="008D0446"/>
    <w:rsid w:val="008D0523"/>
    <w:rsid w:val="008D0F77"/>
    <w:rsid w:val="008D2999"/>
    <w:rsid w:val="008D3203"/>
    <w:rsid w:val="008D336D"/>
    <w:rsid w:val="008D3E61"/>
    <w:rsid w:val="008D4454"/>
    <w:rsid w:val="008D5D33"/>
    <w:rsid w:val="008D68A9"/>
    <w:rsid w:val="008D6C7E"/>
    <w:rsid w:val="008D6C96"/>
    <w:rsid w:val="008D6EAA"/>
    <w:rsid w:val="008D70D7"/>
    <w:rsid w:val="008D79F1"/>
    <w:rsid w:val="008D7AD0"/>
    <w:rsid w:val="008E1565"/>
    <w:rsid w:val="008E1D37"/>
    <w:rsid w:val="008E2195"/>
    <w:rsid w:val="008E2D86"/>
    <w:rsid w:val="008E35E8"/>
    <w:rsid w:val="008E3766"/>
    <w:rsid w:val="008E3FE8"/>
    <w:rsid w:val="008E4270"/>
    <w:rsid w:val="008E473D"/>
    <w:rsid w:val="008E5429"/>
    <w:rsid w:val="008E54C5"/>
    <w:rsid w:val="008E597B"/>
    <w:rsid w:val="008E5C76"/>
    <w:rsid w:val="008E6239"/>
    <w:rsid w:val="008E6749"/>
    <w:rsid w:val="008F0196"/>
    <w:rsid w:val="008F02EA"/>
    <w:rsid w:val="008F08E5"/>
    <w:rsid w:val="008F0F41"/>
    <w:rsid w:val="008F10B8"/>
    <w:rsid w:val="008F1959"/>
    <w:rsid w:val="008F1BC1"/>
    <w:rsid w:val="008F1D27"/>
    <w:rsid w:val="008F22CB"/>
    <w:rsid w:val="008F2633"/>
    <w:rsid w:val="008F3102"/>
    <w:rsid w:val="008F3D28"/>
    <w:rsid w:val="008F43B8"/>
    <w:rsid w:val="008F4C5E"/>
    <w:rsid w:val="008F51BC"/>
    <w:rsid w:val="008F68F6"/>
    <w:rsid w:val="008F6CE1"/>
    <w:rsid w:val="008F7585"/>
    <w:rsid w:val="008F7B28"/>
    <w:rsid w:val="008F7D39"/>
    <w:rsid w:val="0090014A"/>
    <w:rsid w:val="0090084B"/>
    <w:rsid w:val="00901261"/>
    <w:rsid w:val="009014E7"/>
    <w:rsid w:val="0090199F"/>
    <w:rsid w:val="00901CCD"/>
    <w:rsid w:val="00901D8B"/>
    <w:rsid w:val="0090237B"/>
    <w:rsid w:val="009034B6"/>
    <w:rsid w:val="0090390D"/>
    <w:rsid w:val="00903C5E"/>
    <w:rsid w:val="00903E60"/>
    <w:rsid w:val="00903EC2"/>
    <w:rsid w:val="00903FF1"/>
    <w:rsid w:val="00904450"/>
    <w:rsid w:val="009047F3"/>
    <w:rsid w:val="009048B0"/>
    <w:rsid w:val="00906352"/>
    <w:rsid w:val="00906A90"/>
    <w:rsid w:val="00906BD6"/>
    <w:rsid w:val="00906DFC"/>
    <w:rsid w:val="0090729A"/>
    <w:rsid w:val="00907887"/>
    <w:rsid w:val="00907C09"/>
    <w:rsid w:val="00907D95"/>
    <w:rsid w:val="00910F8E"/>
    <w:rsid w:val="00911D17"/>
    <w:rsid w:val="00911D56"/>
    <w:rsid w:val="0091258C"/>
    <w:rsid w:val="009137AF"/>
    <w:rsid w:val="0091385B"/>
    <w:rsid w:val="00913DDA"/>
    <w:rsid w:val="00913F7E"/>
    <w:rsid w:val="00914F04"/>
    <w:rsid w:val="00915189"/>
    <w:rsid w:val="00915474"/>
    <w:rsid w:val="00915606"/>
    <w:rsid w:val="0091562A"/>
    <w:rsid w:val="009162B9"/>
    <w:rsid w:val="00916502"/>
    <w:rsid w:val="00916543"/>
    <w:rsid w:val="00916BB4"/>
    <w:rsid w:val="00916D13"/>
    <w:rsid w:val="00917156"/>
    <w:rsid w:val="00917761"/>
    <w:rsid w:val="00917C68"/>
    <w:rsid w:val="00917D45"/>
    <w:rsid w:val="009201F8"/>
    <w:rsid w:val="00920B92"/>
    <w:rsid w:val="00920BF0"/>
    <w:rsid w:val="00921076"/>
    <w:rsid w:val="009213BE"/>
    <w:rsid w:val="0092176C"/>
    <w:rsid w:val="0092343C"/>
    <w:rsid w:val="00924DC4"/>
    <w:rsid w:val="00924E85"/>
    <w:rsid w:val="00925372"/>
    <w:rsid w:val="009258DD"/>
    <w:rsid w:val="00927350"/>
    <w:rsid w:val="009275B4"/>
    <w:rsid w:val="00927761"/>
    <w:rsid w:val="00927876"/>
    <w:rsid w:val="00927B46"/>
    <w:rsid w:val="00930585"/>
    <w:rsid w:val="009305ED"/>
    <w:rsid w:val="0093100A"/>
    <w:rsid w:val="00931359"/>
    <w:rsid w:val="00931697"/>
    <w:rsid w:val="00931884"/>
    <w:rsid w:val="00931F32"/>
    <w:rsid w:val="0093200F"/>
    <w:rsid w:val="0093285F"/>
    <w:rsid w:val="00933B5B"/>
    <w:rsid w:val="00934340"/>
    <w:rsid w:val="009343A4"/>
    <w:rsid w:val="00934FF2"/>
    <w:rsid w:val="00935BF5"/>
    <w:rsid w:val="00935FD7"/>
    <w:rsid w:val="00936EBD"/>
    <w:rsid w:val="00937A38"/>
    <w:rsid w:val="00937CF6"/>
    <w:rsid w:val="00940219"/>
    <w:rsid w:val="0094060B"/>
    <w:rsid w:val="009410EC"/>
    <w:rsid w:val="00941BB8"/>
    <w:rsid w:val="00941E7A"/>
    <w:rsid w:val="009423D0"/>
    <w:rsid w:val="009427C4"/>
    <w:rsid w:val="00942851"/>
    <w:rsid w:val="009431D7"/>
    <w:rsid w:val="009436B2"/>
    <w:rsid w:val="00943849"/>
    <w:rsid w:val="00943B05"/>
    <w:rsid w:val="00943D3E"/>
    <w:rsid w:val="0094515F"/>
    <w:rsid w:val="00945AD4"/>
    <w:rsid w:val="00945B43"/>
    <w:rsid w:val="00946A23"/>
    <w:rsid w:val="00946A3B"/>
    <w:rsid w:val="00946D1F"/>
    <w:rsid w:val="00946F63"/>
    <w:rsid w:val="009479A6"/>
    <w:rsid w:val="00950165"/>
    <w:rsid w:val="0095077D"/>
    <w:rsid w:val="0095105E"/>
    <w:rsid w:val="009512E1"/>
    <w:rsid w:val="009518D9"/>
    <w:rsid w:val="00951A5D"/>
    <w:rsid w:val="009521F5"/>
    <w:rsid w:val="00952870"/>
    <w:rsid w:val="00953387"/>
    <w:rsid w:val="009533AE"/>
    <w:rsid w:val="00953D7B"/>
    <w:rsid w:val="00954535"/>
    <w:rsid w:val="00954E23"/>
    <w:rsid w:val="00955131"/>
    <w:rsid w:val="00956461"/>
    <w:rsid w:val="009569E6"/>
    <w:rsid w:val="00956E32"/>
    <w:rsid w:val="009570DC"/>
    <w:rsid w:val="0095760C"/>
    <w:rsid w:val="00960342"/>
    <w:rsid w:val="009604B2"/>
    <w:rsid w:val="00961273"/>
    <w:rsid w:val="00961786"/>
    <w:rsid w:val="009617AF"/>
    <w:rsid w:val="00962A9E"/>
    <w:rsid w:val="009633F7"/>
    <w:rsid w:val="00963A42"/>
    <w:rsid w:val="00963E31"/>
    <w:rsid w:val="00964860"/>
    <w:rsid w:val="00964E2F"/>
    <w:rsid w:val="00965028"/>
    <w:rsid w:val="00965172"/>
    <w:rsid w:val="0096583A"/>
    <w:rsid w:val="00966631"/>
    <w:rsid w:val="00966981"/>
    <w:rsid w:val="00966A61"/>
    <w:rsid w:val="00966B80"/>
    <w:rsid w:val="00970E42"/>
    <w:rsid w:val="00970FC5"/>
    <w:rsid w:val="00971ED8"/>
    <w:rsid w:val="0097229E"/>
    <w:rsid w:val="009723AB"/>
    <w:rsid w:val="00972A76"/>
    <w:rsid w:val="00972D65"/>
    <w:rsid w:val="00974112"/>
    <w:rsid w:val="009752B5"/>
    <w:rsid w:val="009754AC"/>
    <w:rsid w:val="00975589"/>
    <w:rsid w:val="009759E5"/>
    <w:rsid w:val="00975D28"/>
    <w:rsid w:val="00975FEC"/>
    <w:rsid w:val="009761E7"/>
    <w:rsid w:val="0097624C"/>
    <w:rsid w:val="00977627"/>
    <w:rsid w:val="00977F4C"/>
    <w:rsid w:val="009803E5"/>
    <w:rsid w:val="00980B6B"/>
    <w:rsid w:val="00980C99"/>
    <w:rsid w:val="009815D1"/>
    <w:rsid w:val="009819FE"/>
    <w:rsid w:val="00981DFF"/>
    <w:rsid w:val="0098215A"/>
    <w:rsid w:val="0098262F"/>
    <w:rsid w:val="00982CD7"/>
    <w:rsid w:val="00983395"/>
    <w:rsid w:val="009835E2"/>
    <w:rsid w:val="00983B26"/>
    <w:rsid w:val="0098401C"/>
    <w:rsid w:val="00984CB3"/>
    <w:rsid w:val="00984E20"/>
    <w:rsid w:val="0098559F"/>
    <w:rsid w:val="00985635"/>
    <w:rsid w:val="00985D25"/>
    <w:rsid w:val="00986017"/>
    <w:rsid w:val="00986B21"/>
    <w:rsid w:val="00986EAD"/>
    <w:rsid w:val="009872D0"/>
    <w:rsid w:val="00987376"/>
    <w:rsid w:val="009876A9"/>
    <w:rsid w:val="00987DBE"/>
    <w:rsid w:val="0099099A"/>
    <w:rsid w:val="00991545"/>
    <w:rsid w:val="00991D9F"/>
    <w:rsid w:val="009929A2"/>
    <w:rsid w:val="00992D19"/>
    <w:rsid w:val="00993B99"/>
    <w:rsid w:val="00994EA3"/>
    <w:rsid w:val="00995BB1"/>
    <w:rsid w:val="00995ED8"/>
    <w:rsid w:val="00996CB0"/>
    <w:rsid w:val="0099713F"/>
    <w:rsid w:val="00997A60"/>
    <w:rsid w:val="00997AF4"/>
    <w:rsid w:val="009A02CF"/>
    <w:rsid w:val="009A0C19"/>
    <w:rsid w:val="009A2515"/>
    <w:rsid w:val="009A3289"/>
    <w:rsid w:val="009A3364"/>
    <w:rsid w:val="009A3996"/>
    <w:rsid w:val="009A4685"/>
    <w:rsid w:val="009A4EF9"/>
    <w:rsid w:val="009A56AF"/>
    <w:rsid w:val="009A7213"/>
    <w:rsid w:val="009A7531"/>
    <w:rsid w:val="009A7976"/>
    <w:rsid w:val="009B0054"/>
    <w:rsid w:val="009B03D4"/>
    <w:rsid w:val="009B07DA"/>
    <w:rsid w:val="009B0919"/>
    <w:rsid w:val="009B0951"/>
    <w:rsid w:val="009B0F77"/>
    <w:rsid w:val="009B16B2"/>
    <w:rsid w:val="009B19E6"/>
    <w:rsid w:val="009B1A40"/>
    <w:rsid w:val="009B21F2"/>
    <w:rsid w:val="009B2435"/>
    <w:rsid w:val="009B27F9"/>
    <w:rsid w:val="009B30E7"/>
    <w:rsid w:val="009B3598"/>
    <w:rsid w:val="009B3877"/>
    <w:rsid w:val="009B4082"/>
    <w:rsid w:val="009B46EF"/>
    <w:rsid w:val="009B5058"/>
    <w:rsid w:val="009B56B8"/>
    <w:rsid w:val="009B56C2"/>
    <w:rsid w:val="009B57F5"/>
    <w:rsid w:val="009B5B2B"/>
    <w:rsid w:val="009B5C48"/>
    <w:rsid w:val="009B5D85"/>
    <w:rsid w:val="009B60B3"/>
    <w:rsid w:val="009B7837"/>
    <w:rsid w:val="009C0399"/>
    <w:rsid w:val="009C0427"/>
    <w:rsid w:val="009C08FE"/>
    <w:rsid w:val="009C090C"/>
    <w:rsid w:val="009C0BC2"/>
    <w:rsid w:val="009C1151"/>
    <w:rsid w:val="009C12FD"/>
    <w:rsid w:val="009C200C"/>
    <w:rsid w:val="009C26EB"/>
    <w:rsid w:val="009C433F"/>
    <w:rsid w:val="009C4763"/>
    <w:rsid w:val="009C6AE1"/>
    <w:rsid w:val="009C7983"/>
    <w:rsid w:val="009C7D3C"/>
    <w:rsid w:val="009D021B"/>
    <w:rsid w:val="009D066B"/>
    <w:rsid w:val="009D0D6B"/>
    <w:rsid w:val="009D1931"/>
    <w:rsid w:val="009D1B6B"/>
    <w:rsid w:val="009D21DE"/>
    <w:rsid w:val="009D3B29"/>
    <w:rsid w:val="009D3ECB"/>
    <w:rsid w:val="009D4141"/>
    <w:rsid w:val="009D4C6A"/>
    <w:rsid w:val="009D4F9B"/>
    <w:rsid w:val="009D53B5"/>
    <w:rsid w:val="009D59D8"/>
    <w:rsid w:val="009D59E4"/>
    <w:rsid w:val="009D5D35"/>
    <w:rsid w:val="009D6021"/>
    <w:rsid w:val="009D76CA"/>
    <w:rsid w:val="009D76DE"/>
    <w:rsid w:val="009D7ACB"/>
    <w:rsid w:val="009E0E29"/>
    <w:rsid w:val="009E125D"/>
    <w:rsid w:val="009E1FE1"/>
    <w:rsid w:val="009E2306"/>
    <w:rsid w:val="009E29A8"/>
    <w:rsid w:val="009E305A"/>
    <w:rsid w:val="009E3084"/>
    <w:rsid w:val="009E3313"/>
    <w:rsid w:val="009E428F"/>
    <w:rsid w:val="009E45C4"/>
    <w:rsid w:val="009E4F8D"/>
    <w:rsid w:val="009E5A22"/>
    <w:rsid w:val="009E61BB"/>
    <w:rsid w:val="009E66CA"/>
    <w:rsid w:val="009E7DB9"/>
    <w:rsid w:val="009F01CB"/>
    <w:rsid w:val="009F0462"/>
    <w:rsid w:val="009F0736"/>
    <w:rsid w:val="009F07D4"/>
    <w:rsid w:val="009F0DC2"/>
    <w:rsid w:val="009F19FB"/>
    <w:rsid w:val="009F1B65"/>
    <w:rsid w:val="009F25F4"/>
    <w:rsid w:val="009F2622"/>
    <w:rsid w:val="009F37F7"/>
    <w:rsid w:val="009F39DE"/>
    <w:rsid w:val="009F3A27"/>
    <w:rsid w:val="009F3C27"/>
    <w:rsid w:val="009F3C38"/>
    <w:rsid w:val="009F3CB1"/>
    <w:rsid w:val="009F487D"/>
    <w:rsid w:val="009F5002"/>
    <w:rsid w:val="009F5B6B"/>
    <w:rsid w:val="009F5B99"/>
    <w:rsid w:val="009F5EBF"/>
    <w:rsid w:val="009F6473"/>
    <w:rsid w:val="009F77D6"/>
    <w:rsid w:val="009F78D9"/>
    <w:rsid w:val="009F7BD5"/>
    <w:rsid w:val="00A01F16"/>
    <w:rsid w:val="00A0243F"/>
    <w:rsid w:val="00A0265E"/>
    <w:rsid w:val="00A030DD"/>
    <w:rsid w:val="00A03910"/>
    <w:rsid w:val="00A03EC5"/>
    <w:rsid w:val="00A04292"/>
    <w:rsid w:val="00A0438A"/>
    <w:rsid w:val="00A047A7"/>
    <w:rsid w:val="00A047CF"/>
    <w:rsid w:val="00A04853"/>
    <w:rsid w:val="00A04B17"/>
    <w:rsid w:val="00A04FCD"/>
    <w:rsid w:val="00A051BA"/>
    <w:rsid w:val="00A0558C"/>
    <w:rsid w:val="00A06019"/>
    <w:rsid w:val="00A0612B"/>
    <w:rsid w:val="00A06266"/>
    <w:rsid w:val="00A06442"/>
    <w:rsid w:val="00A06607"/>
    <w:rsid w:val="00A07265"/>
    <w:rsid w:val="00A072BB"/>
    <w:rsid w:val="00A078D4"/>
    <w:rsid w:val="00A103DC"/>
    <w:rsid w:val="00A10B4D"/>
    <w:rsid w:val="00A11AA5"/>
    <w:rsid w:val="00A12161"/>
    <w:rsid w:val="00A12337"/>
    <w:rsid w:val="00A124BF"/>
    <w:rsid w:val="00A12A86"/>
    <w:rsid w:val="00A13A29"/>
    <w:rsid w:val="00A143D6"/>
    <w:rsid w:val="00A146E7"/>
    <w:rsid w:val="00A14957"/>
    <w:rsid w:val="00A14CA4"/>
    <w:rsid w:val="00A14DE1"/>
    <w:rsid w:val="00A15111"/>
    <w:rsid w:val="00A152CB"/>
    <w:rsid w:val="00A15301"/>
    <w:rsid w:val="00A15422"/>
    <w:rsid w:val="00A1587B"/>
    <w:rsid w:val="00A159EF"/>
    <w:rsid w:val="00A15FA8"/>
    <w:rsid w:val="00A161F8"/>
    <w:rsid w:val="00A166B0"/>
    <w:rsid w:val="00A16863"/>
    <w:rsid w:val="00A16A4D"/>
    <w:rsid w:val="00A171D4"/>
    <w:rsid w:val="00A20519"/>
    <w:rsid w:val="00A21DF3"/>
    <w:rsid w:val="00A223EA"/>
    <w:rsid w:val="00A226F3"/>
    <w:rsid w:val="00A229B8"/>
    <w:rsid w:val="00A22C68"/>
    <w:rsid w:val="00A22F5E"/>
    <w:rsid w:val="00A247A7"/>
    <w:rsid w:val="00A249B0"/>
    <w:rsid w:val="00A24E83"/>
    <w:rsid w:val="00A25552"/>
    <w:rsid w:val="00A25D3C"/>
    <w:rsid w:val="00A263D6"/>
    <w:rsid w:val="00A2648A"/>
    <w:rsid w:val="00A26A0E"/>
    <w:rsid w:val="00A30CA4"/>
    <w:rsid w:val="00A31170"/>
    <w:rsid w:val="00A316EE"/>
    <w:rsid w:val="00A31923"/>
    <w:rsid w:val="00A31A4F"/>
    <w:rsid w:val="00A31C0E"/>
    <w:rsid w:val="00A31D31"/>
    <w:rsid w:val="00A3215E"/>
    <w:rsid w:val="00A3268C"/>
    <w:rsid w:val="00A32AF5"/>
    <w:rsid w:val="00A3392B"/>
    <w:rsid w:val="00A339DB"/>
    <w:rsid w:val="00A33B77"/>
    <w:rsid w:val="00A33C10"/>
    <w:rsid w:val="00A33DDC"/>
    <w:rsid w:val="00A33FD4"/>
    <w:rsid w:val="00A3420F"/>
    <w:rsid w:val="00A34AF9"/>
    <w:rsid w:val="00A350BF"/>
    <w:rsid w:val="00A35BA0"/>
    <w:rsid w:val="00A35D32"/>
    <w:rsid w:val="00A37040"/>
    <w:rsid w:val="00A37532"/>
    <w:rsid w:val="00A37BA7"/>
    <w:rsid w:val="00A37BB5"/>
    <w:rsid w:val="00A40918"/>
    <w:rsid w:val="00A40D75"/>
    <w:rsid w:val="00A4174A"/>
    <w:rsid w:val="00A41C0F"/>
    <w:rsid w:val="00A42136"/>
    <w:rsid w:val="00A422E8"/>
    <w:rsid w:val="00A4365F"/>
    <w:rsid w:val="00A4396F"/>
    <w:rsid w:val="00A43DD3"/>
    <w:rsid w:val="00A449E6"/>
    <w:rsid w:val="00A44D8C"/>
    <w:rsid w:val="00A44F79"/>
    <w:rsid w:val="00A45A0E"/>
    <w:rsid w:val="00A463F8"/>
    <w:rsid w:val="00A4651F"/>
    <w:rsid w:val="00A4695B"/>
    <w:rsid w:val="00A46AC2"/>
    <w:rsid w:val="00A46CBA"/>
    <w:rsid w:val="00A47228"/>
    <w:rsid w:val="00A47CED"/>
    <w:rsid w:val="00A50A76"/>
    <w:rsid w:val="00A50B18"/>
    <w:rsid w:val="00A50D2F"/>
    <w:rsid w:val="00A5165A"/>
    <w:rsid w:val="00A516EB"/>
    <w:rsid w:val="00A5223D"/>
    <w:rsid w:val="00A53813"/>
    <w:rsid w:val="00A53A6F"/>
    <w:rsid w:val="00A54058"/>
    <w:rsid w:val="00A54158"/>
    <w:rsid w:val="00A54491"/>
    <w:rsid w:val="00A54EFB"/>
    <w:rsid w:val="00A560A9"/>
    <w:rsid w:val="00A5632E"/>
    <w:rsid w:val="00A56529"/>
    <w:rsid w:val="00A56661"/>
    <w:rsid w:val="00A571B4"/>
    <w:rsid w:val="00A57B1F"/>
    <w:rsid w:val="00A60934"/>
    <w:rsid w:val="00A61450"/>
    <w:rsid w:val="00A61549"/>
    <w:rsid w:val="00A616CE"/>
    <w:rsid w:val="00A61C51"/>
    <w:rsid w:val="00A6237F"/>
    <w:rsid w:val="00A62400"/>
    <w:rsid w:val="00A62DE8"/>
    <w:rsid w:val="00A63074"/>
    <w:rsid w:val="00A63A0D"/>
    <w:rsid w:val="00A63A81"/>
    <w:rsid w:val="00A6424A"/>
    <w:rsid w:val="00A656F7"/>
    <w:rsid w:val="00A65CE3"/>
    <w:rsid w:val="00A660E6"/>
    <w:rsid w:val="00A66603"/>
    <w:rsid w:val="00A66D0C"/>
    <w:rsid w:val="00A67949"/>
    <w:rsid w:val="00A67E15"/>
    <w:rsid w:val="00A70070"/>
    <w:rsid w:val="00A70394"/>
    <w:rsid w:val="00A7054A"/>
    <w:rsid w:val="00A707A9"/>
    <w:rsid w:val="00A70B56"/>
    <w:rsid w:val="00A70FD4"/>
    <w:rsid w:val="00A7111C"/>
    <w:rsid w:val="00A714D5"/>
    <w:rsid w:val="00A71905"/>
    <w:rsid w:val="00A71C2F"/>
    <w:rsid w:val="00A7217F"/>
    <w:rsid w:val="00A7238F"/>
    <w:rsid w:val="00A72490"/>
    <w:rsid w:val="00A72BF7"/>
    <w:rsid w:val="00A72D51"/>
    <w:rsid w:val="00A730E1"/>
    <w:rsid w:val="00A73518"/>
    <w:rsid w:val="00A73690"/>
    <w:rsid w:val="00A73A16"/>
    <w:rsid w:val="00A73CDC"/>
    <w:rsid w:val="00A7407E"/>
    <w:rsid w:val="00A74203"/>
    <w:rsid w:val="00A7439B"/>
    <w:rsid w:val="00A7465A"/>
    <w:rsid w:val="00A74AAB"/>
    <w:rsid w:val="00A7564E"/>
    <w:rsid w:val="00A7667F"/>
    <w:rsid w:val="00A76810"/>
    <w:rsid w:val="00A768A9"/>
    <w:rsid w:val="00A778DE"/>
    <w:rsid w:val="00A80E07"/>
    <w:rsid w:val="00A81695"/>
    <w:rsid w:val="00A82176"/>
    <w:rsid w:val="00A822FF"/>
    <w:rsid w:val="00A827AB"/>
    <w:rsid w:val="00A82B28"/>
    <w:rsid w:val="00A82CE0"/>
    <w:rsid w:val="00A83039"/>
    <w:rsid w:val="00A83374"/>
    <w:rsid w:val="00A8425D"/>
    <w:rsid w:val="00A84F6C"/>
    <w:rsid w:val="00A852CC"/>
    <w:rsid w:val="00A85338"/>
    <w:rsid w:val="00A85476"/>
    <w:rsid w:val="00A859C3"/>
    <w:rsid w:val="00A86233"/>
    <w:rsid w:val="00A86326"/>
    <w:rsid w:val="00A8788D"/>
    <w:rsid w:val="00A90426"/>
    <w:rsid w:val="00A90BFD"/>
    <w:rsid w:val="00A90C4F"/>
    <w:rsid w:val="00A91383"/>
    <w:rsid w:val="00A91A8A"/>
    <w:rsid w:val="00A91C2F"/>
    <w:rsid w:val="00A91C5E"/>
    <w:rsid w:val="00A91F90"/>
    <w:rsid w:val="00A920F0"/>
    <w:rsid w:val="00A92C75"/>
    <w:rsid w:val="00A932B1"/>
    <w:rsid w:val="00A93454"/>
    <w:rsid w:val="00A935D9"/>
    <w:rsid w:val="00A93777"/>
    <w:rsid w:val="00A94833"/>
    <w:rsid w:val="00A9486E"/>
    <w:rsid w:val="00A94918"/>
    <w:rsid w:val="00A9511D"/>
    <w:rsid w:val="00A96086"/>
    <w:rsid w:val="00A96534"/>
    <w:rsid w:val="00A976DB"/>
    <w:rsid w:val="00A97E43"/>
    <w:rsid w:val="00AA008A"/>
    <w:rsid w:val="00AA0A5D"/>
    <w:rsid w:val="00AA13ED"/>
    <w:rsid w:val="00AA1966"/>
    <w:rsid w:val="00AA1D7F"/>
    <w:rsid w:val="00AA1E7D"/>
    <w:rsid w:val="00AA2F52"/>
    <w:rsid w:val="00AA43E3"/>
    <w:rsid w:val="00AA46AD"/>
    <w:rsid w:val="00AA4946"/>
    <w:rsid w:val="00AA5478"/>
    <w:rsid w:val="00AA568A"/>
    <w:rsid w:val="00AA5931"/>
    <w:rsid w:val="00AA5B57"/>
    <w:rsid w:val="00AA5ED6"/>
    <w:rsid w:val="00AA60AE"/>
    <w:rsid w:val="00AA6A9C"/>
    <w:rsid w:val="00AA6C37"/>
    <w:rsid w:val="00AA71F0"/>
    <w:rsid w:val="00AA7217"/>
    <w:rsid w:val="00AA734F"/>
    <w:rsid w:val="00AA79CE"/>
    <w:rsid w:val="00AA7F23"/>
    <w:rsid w:val="00AB0877"/>
    <w:rsid w:val="00AB152D"/>
    <w:rsid w:val="00AB20EB"/>
    <w:rsid w:val="00AB228F"/>
    <w:rsid w:val="00AB236D"/>
    <w:rsid w:val="00AB3198"/>
    <w:rsid w:val="00AB485D"/>
    <w:rsid w:val="00AB4936"/>
    <w:rsid w:val="00AB4C0A"/>
    <w:rsid w:val="00AB4CF4"/>
    <w:rsid w:val="00AB50AC"/>
    <w:rsid w:val="00AB60B2"/>
    <w:rsid w:val="00AB63F9"/>
    <w:rsid w:val="00AB6C4E"/>
    <w:rsid w:val="00AB6E42"/>
    <w:rsid w:val="00AB739D"/>
    <w:rsid w:val="00AB7AE1"/>
    <w:rsid w:val="00AC12CA"/>
    <w:rsid w:val="00AC14EC"/>
    <w:rsid w:val="00AC1A1C"/>
    <w:rsid w:val="00AC20CF"/>
    <w:rsid w:val="00AC24FA"/>
    <w:rsid w:val="00AC28B6"/>
    <w:rsid w:val="00AC2926"/>
    <w:rsid w:val="00AC3856"/>
    <w:rsid w:val="00AC3A04"/>
    <w:rsid w:val="00AC3F2A"/>
    <w:rsid w:val="00AC40AB"/>
    <w:rsid w:val="00AC44FE"/>
    <w:rsid w:val="00AC4972"/>
    <w:rsid w:val="00AC4BED"/>
    <w:rsid w:val="00AC4E3D"/>
    <w:rsid w:val="00AC50C9"/>
    <w:rsid w:val="00AC5358"/>
    <w:rsid w:val="00AC5471"/>
    <w:rsid w:val="00AC557E"/>
    <w:rsid w:val="00AC55D2"/>
    <w:rsid w:val="00AC5CE4"/>
    <w:rsid w:val="00AC6798"/>
    <w:rsid w:val="00AC6F2C"/>
    <w:rsid w:val="00AC7144"/>
    <w:rsid w:val="00AC7712"/>
    <w:rsid w:val="00AD18A1"/>
    <w:rsid w:val="00AD19EF"/>
    <w:rsid w:val="00AD19F7"/>
    <w:rsid w:val="00AD1E80"/>
    <w:rsid w:val="00AD2304"/>
    <w:rsid w:val="00AD24EC"/>
    <w:rsid w:val="00AD287B"/>
    <w:rsid w:val="00AD30BF"/>
    <w:rsid w:val="00AD3101"/>
    <w:rsid w:val="00AD3683"/>
    <w:rsid w:val="00AD378E"/>
    <w:rsid w:val="00AD3DDF"/>
    <w:rsid w:val="00AD42D1"/>
    <w:rsid w:val="00AD4A24"/>
    <w:rsid w:val="00AD4E25"/>
    <w:rsid w:val="00AD5117"/>
    <w:rsid w:val="00AD5440"/>
    <w:rsid w:val="00AD5527"/>
    <w:rsid w:val="00AD60D4"/>
    <w:rsid w:val="00AD6FE5"/>
    <w:rsid w:val="00AD7B20"/>
    <w:rsid w:val="00AD7F07"/>
    <w:rsid w:val="00AE1368"/>
    <w:rsid w:val="00AE211B"/>
    <w:rsid w:val="00AE2ED9"/>
    <w:rsid w:val="00AE358A"/>
    <w:rsid w:val="00AE3642"/>
    <w:rsid w:val="00AE3687"/>
    <w:rsid w:val="00AE3BA1"/>
    <w:rsid w:val="00AE4082"/>
    <w:rsid w:val="00AE5613"/>
    <w:rsid w:val="00AE5C06"/>
    <w:rsid w:val="00AE5D48"/>
    <w:rsid w:val="00AE6797"/>
    <w:rsid w:val="00AE6CCE"/>
    <w:rsid w:val="00AE747A"/>
    <w:rsid w:val="00AE7A60"/>
    <w:rsid w:val="00AF03C7"/>
    <w:rsid w:val="00AF03E4"/>
    <w:rsid w:val="00AF12A7"/>
    <w:rsid w:val="00AF140D"/>
    <w:rsid w:val="00AF15C7"/>
    <w:rsid w:val="00AF1877"/>
    <w:rsid w:val="00AF1ADA"/>
    <w:rsid w:val="00AF2310"/>
    <w:rsid w:val="00AF269C"/>
    <w:rsid w:val="00AF2968"/>
    <w:rsid w:val="00AF32D7"/>
    <w:rsid w:val="00AF3AAF"/>
    <w:rsid w:val="00AF4181"/>
    <w:rsid w:val="00AF4202"/>
    <w:rsid w:val="00AF42EA"/>
    <w:rsid w:val="00AF44AE"/>
    <w:rsid w:val="00AF47EE"/>
    <w:rsid w:val="00AF5A0A"/>
    <w:rsid w:val="00AF6E3C"/>
    <w:rsid w:val="00AF7617"/>
    <w:rsid w:val="00B00569"/>
    <w:rsid w:val="00B01B2B"/>
    <w:rsid w:val="00B020AB"/>
    <w:rsid w:val="00B02B0A"/>
    <w:rsid w:val="00B02D55"/>
    <w:rsid w:val="00B032AE"/>
    <w:rsid w:val="00B0362D"/>
    <w:rsid w:val="00B036CB"/>
    <w:rsid w:val="00B03821"/>
    <w:rsid w:val="00B03AA2"/>
    <w:rsid w:val="00B03B97"/>
    <w:rsid w:val="00B03E28"/>
    <w:rsid w:val="00B0489E"/>
    <w:rsid w:val="00B04C14"/>
    <w:rsid w:val="00B0579F"/>
    <w:rsid w:val="00B05B59"/>
    <w:rsid w:val="00B06973"/>
    <w:rsid w:val="00B06FC2"/>
    <w:rsid w:val="00B07955"/>
    <w:rsid w:val="00B10210"/>
    <w:rsid w:val="00B10541"/>
    <w:rsid w:val="00B11554"/>
    <w:rsid w:val="00B11837"/>
    <w:rsid w:val="00B12B7D"/>
    <w:rsid w:val="00B12C17"/>
    <w:rsid w:val="00B132F4"/>
    <w:rsid w:val="00B138F7"/>
    <w:rsid w:val="00B14B9D"/>
    <w:rsid w:val="00B1572F"/>
    <w:rsid w:val="00B16072"/>
    <w:rsid w:val="00B16179"/>
    <w:rsid w:val="00B16814"/>
    <w:rsid w:val="00B206D6"/>
    <w:rsid w:val="00B20895"/>
    <w:rsid w:val="00B20EF3"/>
    <w:rsid w:val="00B21107"/>
    <w:rsid w:val="00B214F7"/>
    <w:rsid w:val="00B21788"/>
    <w:rsid w:val="00B21D8F"/>
    <w:rsid w:val="00B2261A"/>
    <w:rsid w:val="00B22626"/>
    <w:rsid w:val="00B22B7E"/>
    <w:rsid w:val="00B22BB2"/>
    <w:rsid w:val="00B22D25"/>
    <w:rsid w:val="00B2325E"/>
    <w:rsid w:val="00B234DD"/>
    <w:rsid w:val="00B23910"/>
    <w:rsid w:val="00B23D2F"/>
    <w:rsid w:val="00B24C3B"/>
    <w:rsid w:val="00B25918"/>
    <w:rsid w:val="00B26433"/>
    <w:rsid w:val="00B268E2"/>
    <w:rsid w:val="00B26995"/>
    <w:rsid w:val="00B272CE"/>
    <w:rsid w:val="00B27512"/>
    <w:rsid w:val="00B310A5"/>
    <w:rsid w:val="00B312BB"/>
    <w:rsid w:val="00B31A92"/>
    <w:rsid w:val="00B31CF5"/>
    <w:rsid w:val="00B33273"/>
    <w:rsid w:val="00B333B3"/>
    <w:rsid w:val="00B336C3"/>
    <w:rsid w:val="00B33F2C"/>
    <w:rsid w:val="00B344BC"/>
    <w:rsid w:val="00B3512F"/>
    <w:rsid w:val="00B3513F"/>
    <w:rsid w:val="00B3562A"/>
    <w:rsid w:val="00B36B0B"/>
    <w:rsid w:val="00B37E7D"/>
    <w:rsid w:val="00B40090"/>
    <w:rsid w:val="00B40311"/>
    <w:rsid w:val="00B4043F"/>
    <w:rsid w:val="00B40EF0"/>
    <w:rsid w:val="00B4105B"/>
    <w:rsid w:val="00B414B8"/>
    <w:rsid w:val="00B416E3"/>
    <w:rsid w:val="00B4231E"/>
    <w:rsid w:val="00B42764"/>
    <w:rsid w:val="00B427CF"/>
    <w:rsid w:val="00B42E52"/>
    <w:rsid w:val="00B4311C"/>
    <w:rsid w:val="00B4440B"/>
    <w:rsid w:val="00B445B6"/>
    <w:rsid w:val="00B44CA9"/>
    <w:rsid w:val="00B4541F"/>
    <w:rsid w:val="00B4579E"/>
    <w:rsid w:val="00B457BB"/>
    <w:rsid w:val="00B45B49"/>
    <w:rsid w:val="00B45BE5"/>
    <w:rsid w:val="00B46326"/>
    <w:rsid w:val="00B46E50"/>
    <w:rsid w:val="00B47466"/>
    <w:rsid w:val="00B47507"/>
    <w:rsid w:val="00B47653"/>
    <w:rsid w:val="00B5034E"/>
    <w:rsid w:val="00B504B5"/>
    <w:rsid w:val="00B50AE5"/>
    <w:rsid w:val="00B50DD6"/>
    <w:rsid w:val="00B52760"/>
    <w:rsid w:val="00B527FB"/>
    <w:rsid w:val="00B54F43"/>
    <w:rsid w:val="00B551BD"/>
    <w:rsid w:val="00B55466"/>
    <w:rsid w:val="00B55B2F"/>
    <w:rsid w:val="00B56094"/>
    <w:rsid w:val="00B57CDC"/>
    <w:rsid w:val="00B57D90"/>
    <w:rsid w:val="00B60565"/>
    <w:rsid w:val="00B607FC"/>
    <w:rsid w:val="00B60EB6"/>
    <w:rsid w:val="00B62548"/>
    <w:rsid w:val="00B6272D"/>
    <w:rsid w:val="00B6294F"/>
    <w:rsid w:val="00B62D94"/>
    <w:rsid w:val="00B62F94"/>
    <w:rsid w:val="00B63047"/>
    <w:rsid w:val="00B63295"/>
    <w:rsid w:val="00B64322"/>
    <w:rsid w:val="00B64D3E"/>
    <w:rsid w:val="00B64F85"/>
    <w:rsid w:val="00B655B1"/>
    <w:rsid w:val="00B65B32"/>
    <w:rsid w:val="00B65E36"/>
    <w:rsid w:val="00B65F50"/>
    <w:rsid w:val="00B66A31"/>
    <w:rsid w:val="00B67688"/>
    <w:rsid w:val="00B70E4B"/>
    <w:rsid w:val="00B70EC0"/>
    <w:rsid w:val="00B71174"/>
    <w:rsid w:val="00B71A30"/>
    <w:rsid w:val="00B72593"/>
    <w:rsid w:val="00B726CB"/>
    <w:rsid w:val="00B72BAD"/>
    <w:rsid w:val="00B73E8F"/>
    <w:rsid w:val="00B74CC0"/>
    <w:rsid w:val="00B74DA7"/>
    <w:rsid w:val="00B7579E"/>
    <w:rsid w:val="00B7616F"/>
    <w:rsid w:val="00B7630F"/>
    <w:rsid w:val="00B76392"/>
    <w:rsid w:val="00B77740"/>
    <w:rsid w:val="00B8006F"/>
    <w:rsid w:val="00B80270"/>
    <w:rsid w:val="00B8060A"/>
    <w:rsid w:val="00B81831"/>
    <w:rsid w:val="00B81D1F"/>
    <w:rsid w:val="00B82EE1"/>
    <w:rsid w:val="00B83FA1"/>
    <w:rsid w:val="00B8412A"/>
    <w:rsid w:val="00B8416F"/>
    <w:rsid w:val="00B8488D"/>
    <w:rsid w:val="00B86925"/>
    <w:rsid w:val="00B869A7"/>
    <w:rsid w:val="00B86C1B"/>
    <w:rsid w:val="00B870F4"/>
    <w:rsid w:val="00B904E1"/>
    <w:rsid w:val="00B90A40"/>
    <w:rsid w:val="00B90FCC"/>
    <w:rsid w:val="00B91340"/>
    <w:rsid w:val="00B918ED"/>
    <w:rsid w:val="00B91A11"/>
    <w:rsid w:val="00B91D19"/>
    <w:rsid w:val="00B92207"/>
    <w:rsid w:val="00B926C4"/>
    <w:rsid w:val="00B9342C"/>
    <w:rsid w:val="00B9357F"/>
    <w:rsid w:val="00B93BD3"/>
    <w:rsid w:val="00B93C0D"/>
    <w:rsid w:val="00B94002"/>
    <w:rsid w:val="00B94170"/>
    <w:rsid w:val="00B94508"/>
    <w:rsid w:val="00B95104"/>
    <w:rsid w:val="00B952A4"/>
    <w:rsid w:val="00B95427"/>
    <w:rsid w:val="00B9560C"/>
    <w:rsid w:val="00B957D3"/>
    <w:rsid w:val="00B958F2"/>
    <w:rsid w:val="00B95F2B"/>
    <w:rsid w:val="00B96892"/>
    <w:rsid w:val="00B97951"/>
    <w:rsid w:val="00BA0E8A"/>
    <w:rsid w:val="00BA1327"/>
    <w:rsid w:val="00BA13BB"/>
    <w:rsid w:val="00BA16D6"/>
    <w:rsid w:val="00BA2294"/>
    <w:rsid w:val="00BA258C"/>
    <w:rsid w:val="00BA41E1"/>
    <w:rsid w:val="00BA6827"/>
    <w:rsid w:val="00BA6CC5"/>
    <w:rsid w:val="00BA7751"/>
    <w:rsid w:val="00BB078C"/>
    <w:rsid w:val="00BB0DE6"/>
    <w:rsid w:val="00BB23FA"/>
    <w:rsid w:val="00BB26C3"/>
    <w:rsid w:val="00BB2C22"/>
    <w:rsid w:val="00BB3421"/>
    <w:rsid w:val="00BB3761"/>
    <w:rsid w:val="00BB3B08"/>
    <w:rsid w:val="00BB3BD1"/>
    <w:rsid w:val="00BB3F5C"/>
    <w:rsid w:val="00BB5280"/>
    <w:rsid w:val="00BB53B1"/>
    <w:rsid w:val="00BB5A58"/>
    <w:rsid w:val="00BB5B6D"/>
    <w:rsid w:val="00BB64CE"/>
    <w:rsid w:val="00BB65D6"/>
    <w:rsid w:val="00BB6754"/>
    <w:rsid w:val="00BB6763"/>
    <w:rsid w:val="00BB6B7D"/>
    <w:rsid w:val="00BB6E45"/>
    <w:rsid w:val="00BB7B5A"/>
    <w:rsid w:val="00BC1CC2"/>
    <w:rsid w:val="00BC2B67"/>
    <w:rsid w:val="00BC33E8"/>
    <w:rsid w:val="00BC3A60"/>
    <w:rsid w:val="00BC4EC4"/>
    <w:rsid w:val="00BC5373"/>
    <w:rsid w:val="00BC61BA"/>
    <w:rsid w:val="00BC6923"/>
    <w:rsid w:val="00BC6BBF"/>
    <w:rsid w:val="00BC6C7F"/>
    <w:rsid w:val="00BC6C99"/>
    <w:rsid w:val="00BC6DED"/>
    <w:rsid w:val="00BD056D"/>
    <w:rsid w:val="00BD09C2"/>
    <w:rsid w:val="00BD192B"/>
    <w:rsid w:val="00BD1DA8"/>
    <w:rsid w:val="00BD21C0"/>
    <w:rsid w:val="00BD243F"/>
    <w:rsid w:val="00BD2440"/>
    <w:rsid w:val="00BD39D7"/>
    <w:rsid w:val="00BD41E1"/>
    <w:rsid w:val="00BD434B"/>
    <w:rsid w:val="00BD44E9"/>
    <w:rsid w:val="00BD46E0"/>
    <w:rsid w:val="00BD4E18"/>
    <w:rsid w:val="00BD518F"/>
    <w:rsid w:val="00BD64EE"/>
    <w:rsid w:val="00BD67FF"/>
    <w:rsid w:val="00BD6AF2"/>
    <w:rsid w:val="00BD6E85"/>
    <w:rsid w:val="00BD7159"/>
    <w:rsid w:val="00BD735D"/>
    <w:rsid w:val="00BD75CC"/>
    <w:rsid w:val="00BD779E"/>
    <w:rsid w:val="00BD7ED5"/>
    <w:rsid w:val="00BD7FC7"/>
    <w:rsid w:val="00BE00CE"/>
    <w:rsid w:val="00BE076B"/>
    <w:rsid w:val="00BE114E"/>
    <w:rsid w:val="00BE1802"/>
    <w:rsid w:val="00BE2417"/>
    <w:rsid w:val="00BE2A5F"/>
    <w:rsid w:val="00BE2B3B"/>
    <w:rsid w:val="00BE2E4B"/>
    <w:rsid w:val="00BE3564"/>
    <w:rsid w:val="00BE3ABB"/>
    <w:rsid w:val="00BE499E"/>
    <w:rsid w:val="00BE4B62"/>
    <w:rsid w:val="00BE4FA8"/>
    <w:rsid w:val="00BE525B"/>
    <w:rsid w:val="00BE5CC4"/>
    <w:rsid w:val="00BE6351"/>
    <w:rsid w:val="00BE665D"/>
    <w:rsid w:val="00BE68F5"/>
    <w:rsid w:val="00BE69ED"/>
    <w:rsid w:val="00BE6C19"/>
    <w:rsid w:val="00BE70EB"/>
    <w:rsid w:val="00BF061C"/>
    <w:rsid w:val="00BF1851"/>
    <w:rsid w:val="00BF21BB"/>
    <w:rsid w:val="00BF23C0"/>
    <w:rsid w:val="00BF276D"/>
    <w:rsid w:val="00BF2997"/>
    <w:rsid w:val="00BF33F2"/>
    <w:rsid w:val="00BF3528"/>
    <w:rsid w:val="00BF3552"/>
    <w:rsid w:val="00BF37F2"/>
    <w:rsid w:val="00BF3BC6"/>
    <w:rsid w:val="00BF56CB"/>
    <w:rsid w:val="00BF6369"/>
    <w:rsid w:val="00BF6A86"/>
    <w:rsid w:val="00BF7246"/>
    <w:rsid w:val="00BF7449"/>
    <w:rsid w:val="00C00FEF"/>
    <w:rsid w:val="00C01450"/>
    <w:rsid w:val="00C0180D"/>
    <w:rsid w:val="00C01814"/>
    <w:rsid w:val="00C01B4D"/>
    <w:rsid w:val="00C02CAD"/>
    <w:rsid w:val="00C03103"/>
    <w:rsid w:val="00C03F02"/>
    <w:rsid w:val="00C04286"/>
    <w:rsid w:val="00C0484F"/>
    <w:rsid w:val="00C04A82"/>
    <w:rsid w:val="00C0501B"/>
    <w:rsid w:val="00C05067"/>
    <w:rsid w:val="00C06403"/>
    <w:rsid w:val="00C06DAE"/>
    <w:rsid w:val="00C1145E"/>
    <w:rsid w:val="00C1188B"/>
    <w:rsid w:val="00C1192B"/>
    <w:rsid w:val="00C11F25"/>
    <w:rsid w:val="00C120CA"/>
    <w:rsid w:val="00C122D1"/>
    <w:rsid w:val="00C12933"/>
    <w:rsid w:val="00C13032"/>
    <w:rsid w:val="00C137A7"/>
    <w:rsid w:val="00C13B89"/>
    <w:rsid w:val="00C14257"/>
    <w:rsid w:val="00C14DB1"/>
    <w:rsid w:val="00C150C3"/>
    <w:rsid w:val="00C1513C"/>
    <w:rsid w:val="00C15812"/>
    <w:rsid w:val="00C15919"/>
    <w:rsid w:val="00C15995"/>
    <w:rsid w:val="00C15A6B"/>
    <w:rsid w:val="00C15B56"/>
    <w:rsid w:val="00C1605E"/>
    <w:rsid w:val="00C169A7"/>
    <w:rsid w:val="00C16F10"/>
    <w:rsid w:val="00C173DD"/>
    <w:rsid w:val="00C176DB"/>
    <w:rsid w:val="00C17AB9"/>
    <w:rsid w:val="00C202E3"/>
    <w:rsid w:val="00C204C8"/>
    <w:rsid w:val="00C20859"/>
    <w:rsid w:val="00C20998"/>
    <w:rsid w:val="00C211E8"/>
    <w:rsid w:val="00C21358"/>
    <w:rsid w:val="00C22549"/>
    <w:rsid w:val="00C225BE"/>
    <w:rsid w:val="00C22BF9"/>
    <w:rsid w:val="00C22E53"/>
    <w:rsid w:val="00C22E8F"/>
    <w:rsid w:val="00C230B7"/>
    <w:rsid w:val="00C2328A"/>
    <w:rsid w:val="00C24721"/>
    <w:rsid w:val="00C248E1"/>
    <w:rsid w:val="00C24F47"/>
    <w:rsid w:val="00C25052"/>
    <w:rsid w:val="00C25628"/>
    <w:rsid w:val="00C25F4A"/>
    <w:rsid w:val="00C26191"/>
    <w:rsid w:val="00C26373"/>
    <w:rsid w:val="00C2648A"/>
    <w:rsid w:val="00C270EE"/>
    <w:rsid w:val="00C30508"/>
    <w:rsid w:val="00C30A3B"/>
    <w:rsid w:val="00C311A1"/>
    <w:rsid w:val="00C31275"/>
    <w:rsid w:val="00C31F0E"/>
    <w:rsid w:val="00C31F96"/>
    <w:rsid w:val="00C3224A"/>
    <w:rsid w:val="00C32FE6"/>
    <w:rsid w:val="00C331A2"/>
    <w:rsid w:val="00C331DE"/>
    <w:rsid w:val="00C331EE"/>
    <w:rsid w:val="00C332B9"/>
    <w:rsid w:val="00C33383"/>
    <w:rsid w:val="00C33569"/>
    <w:rsid w:val="00C341EB"/>
    <w:rsid w:val="00C341EE"/>
    <w:rsid w:val="00C34C78"/>
    <w:rsid w:val="00C357D9"/>
    <w:rsid w:val="00C35848"/>
    <w:rsid w:val="00C35B91"/>
    <w:rsid w:val="00C35F0C"/>
    <w:rsid w:val="00C36041"/>
    <w:rsid w:val="00C36118"/>
    <w:rsid w:val="00C36520"/>
    <w:rsid w:val="00C3698E"/>
    <w:rsid w:val="00C36A1B"/>
    <w:rsid w:val="00C378A7"/>
    <w:rsid w:val="00C40010"/>
    <w:rsid w:val="00C41041"/>
    <w:rsid w:val="00C418B8"/>
    <w:rsid w:val="00C419B1"/>
    <w:rsid w:val="00C41BBB"/>
    <w:rsid w:val="00C42FE6"/>
    <w:rsid w:val="00C430C4"/>
    <w:rsid w:val="00C43C06"/>
    <w:rsid w:val="00C4433F"/>
    <w:rsid w:val="00C456E7"/>
    <w:rsid w:val="00C46175"/>
    <w:rsid w:val="00C46F6D"/>
    <w:rsid w:val="00C47A9E"/>
    <w:rsid w:val="00C47F96"/>
    <w:rsid w:val="00C504A8"/>
    <w:rsid w:val="00C50757"/>
    <w:rsid w:val="00C508F0"/>
    <w:rsid w:val="00C50B38"/>
    <w:rsid w:val="00C50FF2"/>
    <w:rsid w:val="00C52DE1"/>
    <w:rsid w:val="00C5315E"/>
    <w:rsid w:val="00C53413"/>
    <w:rsid w:val="00C534E1"/>
    <w:rsid w:val="00C53873"/>
    <w:rsid w:val="00C53BAE"/>
    <w:rsid w:val="00C5430B"/>
    <w:rsid w:val="00C55B1A"/>
    <w:rsid w:val="00C55D77"/>
    <w:rsid w:val="00C56FA9"/>
    <w:rsid w:val="00C5716B"/>
    <w:rsid w:val="00C574DC"/>
    <w:rsid w:val="00C57D69"/>
    <w:rsid w:val="00C60493"/>
    <w:rsid w:val="00C608E6"/>
    <w:rsid w:val="00C60CD3"/>
    <w:rsid w:val="00C6190A"/>
    <w:rsid w:val="00C6226D"/>
    <w:rsid w:val="00C62336"/>
    <w:rsid w:val="00C6260B"/>
    <w:rsid w:val="00C6403F"/>
    <w:rsid w:val="00C6436B"/>
    <w:rsid w:val="00C651D2"/>
    <w:rsid w:val="00C651EA"/>
    <w:rsid w:val="00C65711"/>
    <w:rsid w:val="00C65DBE"/>
    <w:rsid w:val="00C6622E"/>
    <w:rsid w:val="00C663AB"/>
    <w:rsid w:val="00C66505"/>
    <w:rsid w:val="00C6676B"/>
    <w:rsid w:val="00C66886"/>
    <w:rsid w:val="00C668D5"/>
    <w:rsid w:val="00C66EA9"/>
    <w:rsid w:val="00C671E9"/>
    <w:rsid w:val="00C67836"/>
    <w:rsid w:val="00C67A02"/>
    <w:rsid w:val="00C67BDC"/>
    <w:rsid w:val="00C702D4"/>
    <w:rsid w:val="00C7160F"/>
    <w:rsid w:val="00C71839"/>
    <w:rsid w:val="00C72CA6"/>
    <w:rsid w:val="00C72D4A"/>
    <w:rsid w:val="00C73302"/>
    <w:rsid w:val="00C736F4"/>
    <w:rsid w:val="00C73F5E"/>
    <w:rsid w:val="00C73FB5"/>
    <w:rsid w:val="00C7402B"/>
    <w:rsid w:val="00C7584E"/>
    <w:rsid w:val="00C761B9"/>
    <w:rsid w:val="00C76CBC"/>
    <w:rsid w:val="00C76DC5"/>
    <w:rsid w:val="00C76EF8"/>
    <w:rsid w:val="00C777F7"/>
    <w:rsid w:val="00C7782B"/>
    <w:rsid w:val="00C77F36"/>
    <w:rsid w:val="00C8017F"/>
    <w:rsid w:val="00C802C3"/>
    <w:rsid w:val="00C80985"/>
    <w:rsid w:val="00C809A2"/>
    <w:rsid w:val="00C8159F"/>
    <w:rsid w:val="00C81774"/>
    <w:rsid w:val="00C819DB"/>
    <w:rsid w:val="00C82580"/>
    <w:rsid w:val="00C8315F"/>
    <w:rsid w:val="00C83258"/>
    <w:rsid w:val="00C8331A"/>
    <w:rsid w:val="00C847D1"/>
    <w:rsid w:val="00C8505D"/>
    <w:rsid w:val="00C8524D"/>
    <w:rsid w:val="00C854DE"/>
    <w:rsid w:val="00C867A9"/>
    <w:rsid w:val="00C87B37"/>
    <w:rsid w:val="00C90257"/>
    <w:rsid w:val="00C9029D"/>
    <w:rsid w:val="00C91367"/>
    <w:rsid w:val="00C91C43"/>
    <w:rsid w:val="00C92B4D"/>
    <w:rsid w:val="00C93AEF"/>
    <w:rsid w:val="00C940E0"/>
    <w:rsid w:val="00C94566"/>
    <w:rsid w:val="00C9481E"/>
    <w:rsid w:val="00C949A6"/>
    <w:rsid w:val="00C950C0"/>
    <w:rsid w:val="00C95204"/>
    <w:rsid w:val="00C9537B"/>
    <w:rsid w:val="00C961C9"/>
    <w:rsid w:val="00C975E7"/>
    <w:rsid w:val="00C97825"/>
    <w:rsid w:val="00C9797B"/>
    <w:rsid w:val="00CA0D9E"/>
    <w:rsid w:val="00CA11BF"/>
    <w:rsid w:val="00CA135B"/>
    <w:rsid w:val="00CA1DEE"/>
    <w:rsid w:val="00CA21E1"/>
    <w:rsid w:val="00CA2C14"/>
    <w:rsid w:val="00CA2FD3"/>
    <w:rsid w:val="00CA3055"/>
    <w:rsid w:val="00CA3FCC"/>
    <w:rsid w:val="00CA41B1"/>
    <w:rsid w:val="00CA4607"/>
    <w:rsid w:val="00CA5D5E"/>
    <w:rsid w:val="00CA5FDC"/>
    <w:rsid w:val="00CA619A"/>
    <w:rsid w:val="00CA6BAF"/>
    <w:rsid w:val="00CA72A8"/>
    <w:rsid w:val="00CA778F"/>
    <w:rsid w:val="00CA7BEA"/>
    <w:rsid w:val="00CA7D06"/>
    <w:rsid w:val="00CA7E59"/>
    <w:rsid w:val="00CB00AC"/>
    <w:rsid w:val="00CB0232"/>
    <w:rsid w:val="00CB02AA"/>
    <w:rsid w:val="00CB0440"/>
    <w:rsid w:val="00CB07A4"/>
    <w:rsid w:val="00CB11D0"/>
    <w:rsid w:val="00CB1825"/>
    <w:rsid w:val="00CB1AA2"/>
    <w:rsid w:val="00CB2955"/>
    <w:rsid w:val="00CB2B1E"/>
    <w:rsid w:val="00CB2DB9"/>
    <w:rsid w:val="00CB377C"/>
    <w:rsid w:val="00CB3C4F"/>
    <w:rsid w:val="00CB44EB"/>
    <w:rsid w:val="00CB4566"/>
    <w:rsid w:val="00CB459B"/>
    <w:rsid w:val="00CB4AE5"/>
    <w:rsid w:val="00CB4FFD"/>
    <w:rsid w:val="00CB5217"/>
    <w:rsid w:val="00CB5394"/>
    <w:rsid w:val="00CB5A9F"/>
    <w:rsid w:val="00CB5AA0"/>
    <w:rsid w:val="00CB63DD"/>
    <w:rsid w:val="00CB6799"/>
    <w:rsid w:val="00CB6BD0"/>
    <w:rsid w:val="00CB6E95"/>
    <w:rsid w:val="00CB76F6"/>
    <w:rsid w:val="00CB784C"/>
    <w:rsid w:val="00CC1352"/>
    <w:rsid w:val="00CC1A01"/>
    <w:rsid w:val="00CC1B34"/>
    <w:rsid w:val="00CC2080"/>
    <w:rsid w:val="00CC22AB"/>
    <w:rsid w:val="00CC22E5"/>
    <w:rsid w:val="00CC2EB5"/>
    <w:rsid w:val="00CC3562"/>
    <w:rsid w:val="00CC36CA"/>
    <w:rsid w:val="00CC3953"/>
    <w:rsid w:val="00CC4B28"/>
    <w:rsid w:val="00CC555E"/>
    <w:rsid w:val="00CC58F6"/>
    <w:rsid w:val="00CC5A09"/>
    <w:rsid w:val="00CC5C61"/>
    <w:rsid w:val="00CC5CCC"/>
    <w:rsid w:val="00CC6151"/>
    <w:rsid w:val="00CC631E"/>
    <w:rsid w:val="00CC6351"/>
    <w:rsid w:val="00CC7144"/>
    <w:rsid w:val="00CC76D6"/>
    <w:rsid w:val="00CC7BBA"/>
    <w:rsid w:val="00CC7BCA"/>
    <w:rsid w:val="00CC7DBB"/>
    <w:rsid w:val="00CC7E41"/>
    <w:rsid w:val="00CC7EE0"/>
    <w:rsid w:val="00CD002E"/>
    <w:rsid w:val="00CD07B4"/>
    <w:rsid w:val="00CD0FA9"/>
    <w:rsid w:val="00CD1416"/>
    <w:rsid w:val="00CD185C"/>
    <w:rsid w:val="00CD1E90"/>
    <w:rsid w:val="00CD2189"/>
    <w:rsid w:val="00CD2844"/>
    <w:rsid w:val="00CD2B74"/>
    <w:rsid w:val="00CD2D92"/>
    <w:rsid w:val="00CD3AA6"/>
    <w:rsid w:val="00CD3B85"/>
    <w:rsid w:val="00CD47EF"/>
    <w:rsid w:val="00CD48F0"/>
    <w:rsid w:val="00CD4ECA"/>
    <w:rsid w:val="00CD525E"/>
    <w:rsid w:val="00CD5E4F"/>
    <w:rsid w:val="00CD6572"/>
    <w:rsid w:val="00CD666B"/>
    <w:rsid w:val="00CD6780"/>
    <w:rsid w:val="00CE0573"/>
    <w:rsid w:val="00CE0AA3"/>
    <w:rsid w:val="00CE124E"/>
    <w:rsid w:val="00CE174A"/>
    <w:rsid w:val="00CE1EE0"/>
    <w:rsid w:val="00CE2249"/>
    <w:rsid w:val="00CE30A3"/>
    <w:rsid w:val="00CE3B13"/>
    <w:rsid w:val="00CE47F9"/>
    <w:rsid w:val="00CE4B5D"/>
    <w:rsid w:val="00CE53DD"/>
    <w:rsid w:val="00CE5BA1"/>
    <w:rsid w:val="00CE61A7"/>
    <w:rsid w:val="00CE641B"/>
    <w:rsid w:val="00CE6664"/>
    <w:rsid w:val="00CE66EA"/>
    <w:rsid w:val="00CE7CE0"/>
    <w:rsid w:val="00CE7F48"/>
    <w:rsid w:val="00CF23EB"/>
    <w:rsid w:val="00CF25F9"/>
    <w:rsid w:val="00CF28DC"/>
    <w:rsid w:val="00CF32B7"/>
    <w:rsid w:val="00CF3324"/>
    <w:rsid w:val="00CF4B7B"/>
    <w:rsid w:val="00CF4C7B"/>
    <w:rsid w:val="00CF66BE"/>
    <w:rsid w:val="00CF691D"/>
    <w:rsid w:val="00CF6BB1"/>
    <w:rsid w:val="00CF739C"/>
    <w:rsid w:val="00CF7C5C"/>
    <w:rsid w:val="00CF7D47"/>
    <w:rsid w:val="00D00556"/>
    <w:rsid w:val="00D00E47"/>
    <w:rsid w:val="00D02933"/>
    <w:rsid w:val="00D03121"/>
    <w:rsid w:val="00D03483"/>
    <w:rsid w:val="00D03898"/>
    <w:rsid w:val="00D03E12"/>
    <w:rsid w:val="00D048FC"/>
    <w:rsid w:val="00D049DA"/>
    <w:rsid w:val="00D053B5"/>
    <w:rsid w:val="00D05F6B"/>
    <w:rsid w:val="00D06437"/>
    <w:rsid w:val="00D06E1D"/>
    <w:rsid w:val="00D07562"/>
    <w:rsid w:val="00D10024"/>
    <w:rsid w:val="00D103FC"/>
    <w:rsid w:val="00D10D0E"/>
    <w:rsid w:val="00D113EC"/>
    <w:rsid w:val="00D11494"/>
    <w:rsid w:val="00D114B5"/>
    <w:rsid w:val="00D114C9"/>
    <w:rsid w:val="00D11996"/>
    <w:rsid w:val="00D12455"/>
    <w:rsid w:val="00D139C3"/>
    <w:rsid w:val="00D13E5D"/>
    <w:rsid w:val="00D155E9"/>
    <w:rsid w:val="00D15765"/>
    <w:rsid w:val="00D157F6"/>
    <w:rsid w:val="00D1723F"/>
    <w:rsid w:val="00D173CB"/>
    <w:rsid w:val="00D179AC"/>
    <w:rsid w:val="00D2016B"/>
    <w:rsid w:val="00D2067C"/>
    <w:rsid w:val="00D207D0"/>
    <w:rsid w:val="00D209A1"/>
    <w:rsid w:val="00D21789"/>
    <w:rsid w:val="00D2201E"/>
    <w:rsid w:val="00D220F1"/>
    <w:rsid w:val="00D22561"/>
    <w:rsid w:val="00D2266A"/>
    <w:rsid w:val="00D22B00"/>
    <w:rsid w:val="00D22E4A"/>
    <w:rsid w:val="00D23770"/>
    <w:rsid w:val="00D23B72"/>
    <w:rsid w:val="00D249E7"/>
    <w:rsid w:val="00D24FE9"/>
    <w:rsid w:val="00D25133"/>
    <w:rsid w:val="00D260C8"/>
    <w:rsid w:val="00D2625B"/>
    <w:rsid w:val="00D265D2"/>
    <w:rsid w:val="00D26CFD"/>
    <w:rsid w:val="00D26E9D"/>
    <w:rsid w:val="00D272A7"/>
    <w:rsid w:val="00D275BC"/>
    <w:rsid w:val="00D27795"/>
    <w:rsid w:val="00D27EC1"/>
    <w:rsid w:val="00D30E28"/>
    <w:rsid w:val="00D30E76"/>
    <w:rsid w:val="00D32135"/>
    <w:rsid w:val="00D327FD"/>
    <w:rsid w:val="00D3296B"/>
    <w:rsid w:val="00D3308B"/>
    <w:rsid w:val="00D33135"/>
    <w:rsid w:val="00D33D3A"/>
    <w:rsid w:val="00D3425E"/>
    <w:rsid w:val="00D343ED"/>
    <w:rsid w:val="00D3470A"/>
    <w:rsid w:val="00D34855"/>
    <w:rsid w:val="00D350E8"/>
    <w:rsid w:val="00D353B3"/>
    <w:rsid w:val="00D35B5C"/>
    <w:rsid w:val="00D36470"/>
    <w:rsid w:val="00D3653B"/>
    <w:rsid w:val="00D36A35"/>
    <w:rsid w:val="00D376B6"/>
    <w:rsid w:val="00D3777E"/>
    <w:rsid w:val="00D37AA6"/>
    <w:rsid w:val="00D37C77"/>
    <w:rsid w:val="00D37EE1"/>
    <w:rsid w:val="00D4017D"/>
    <w:rsid w:val="00D40492"/>
    <w:rsid w:val="00D40A21"/>
    <w:rsid w:val="00D40A7D"/>
    <w:rsid w:val="00D40B5B"/>
    <w:rsid w:val="00D420F1"/>
    <w:rsid w:val="00D42691"/>
    <w:rsid w:val="00D42718"/>
    <w:rsid w:val="00D42A68"/>
    <w:rsid w:val="00D42BF8"/>
    <w:rsid w:val="00D42F6C"/>
    <w:rsid w:val="00D44D76"/>
    <w:rsid w:val="00D4530B"/>
    <w:rsid w:val="00D4582B"/>
    <w:rsid w:val="00D45CEE"/>
    <w:rsid w:val="00D45E06"/>
    <w:rsid w:val="00D45F15"/>
    <w:rsid w:val="00D46216"/>
    <w:rsid w:val="00D463D6"/>
    <w:rsid w:val="00D4673F"/>
    <w:rsid w:val="00D468CE"/>
    <w:rsid w:val="00D46EA1"/>
    <w:rsid w:val="00D4729C"/>
    <w:rsid w:val="00D477CB"/>
    <w:rsid w:val="00D478E8"/>
    <w:rsid w:val="00D47EC3"/>
    <w:rsid w:val="00D50681"/>
    <w:rsid w:val="00D512D9"/>
    <w:rsid w:val="00D514CF"/>
    <w:rsid w:val="00D5167C"/>
    <w:rsid w:val="00D51B41"/>
    <w:rsid w:val="00D5283F"/>
    <w:rsid w:val="00D535F2"/>
    <w:rsid w:val="00D53AB3"/>
    <w:rsid w:val="00D53C57"/>
    <w:rsid w:val="00D5448F"/>
    <w:rsid w:val="00D54986"/>
    <w:rsid w:val="00D55B1E"/>
    <w:rsid w:val="00D56016"/>
    <w:rsid w:val="00D5617A"/>
    <w:rsid w:val="00D56979"/>
    <w:rsid w:val="00D572EB"/>
    <w:rsid w:val="00D5799E"/>
    <w:rsid w:val="00D6014A"/>
    <w:rsid w:val="00D6176E"/>
    <w:rsid w:val="00D61FA0"/>
    <w:rsid w:val="00D625FD"/>
    <w:rsid w:val="00D63766"/>
    <w:rsid w:val="00D637ED"/>
    <w:rsid w:val="00D63981"/>
    <w:rsid w:val="00D64011"/>
    <w:rsid w:val="00D64110"/>
    <w:rsid w:val="00D64A6E"/>
    <w:rsid w:val="00D64DF0"/>
    <w:rsid w:val="00D651EA"/>
    <w:rsid w:val="00D6566A"/>
    <w:rsid w:val="00D660A6"/>
    <w:rsid w:val="00D66F16"/>
    <w:rsid w:val="00D6764B"/>
    <w:rsid w:val="00D67AC5"/>
    <w:rsid w:val="00D67DE9"/>
    <w:rsid w:val="00D70053"/>
    <w:rsid w:val="00D70B56"/>
    <w:rsid w:val="00D70C06"/>
    <w:rsid w:val="00D70CDB"/>
    <w:rsid w:val="00D71279"/>
    <w:rsid w:val="00D716C2"/>
    <w:rsid w:val="00D71C8C"/>
    <w:rsid w:val="00D71D10"/>
    <w:rsid w:val="00D71FB1"/>
    <w:rsid w:val="00D72172"/>
    <w:rsid w:val="00D73454"/>
    <w:rsid w:val="00D73E13"/>
    <w:rsid w:val="00D73F36"/>
    <w:rsid w:val="00D73FBA"/>
    <w:rsid w:val="00D74122"/>
    <w:rsid w:val="00D74B3E"/>
    <w:rsid w:val="00D75CB7"/>
    <w:rsid w:val="00D76017"/>
    <w:rsid w:val="00D765EE"/>
    <w:rsid w:val="00D76EDD"/>
    <w:rsid w:val="00D771C0"/>
    <w:rsid w:val="00D77CCA"/>
    <w:rsid w:val="00D80343"/>
    <w:rsid w:val="00D80362"/>
    <w:rsid w:val="00D803AA"/>
    <w:rsid w:val="00D80776"/>
    <w:rsid w:val="00D80BC7"/>
    <w:rsid w:val="00D80E75"/>
    <w:rsid w:val="00D81232"/>
    <w:rsid w:val="00D81354"/>
    <w:rsid w:val="00D814C5"/>
    <w:rsid w:val="00D81B5B"/>
    <w:rsid w:val="00D81E88"/>
    <w:rsid w:val="00D81EDC"/>
    <w:rsid w:val="00D824A2"/>
    <w:rsid w:val="00D827B8"/>
    <w:rsid w:val="00D82B1E"/>
    <w:rsid w:val="00D8349B"/>
    <w:rsid w:val="00D836EC"/>
    <w:rsid w:val="00D8449C"/>
    <w:rsid w:val="00D8458A"/>
    <w:rsid w:val="00D846D1"/>
    <w:rsid w:val="00D85474"/>
    <w:rsid w:val="00D8573F"/>
    <w:rsid w:val="00D85993"/>
    <w:rsid w:val="00D865A2"/>
    <w:rsid w:val="00D867F3"/>
    <w:rsid w:val="00D86D42"/>
    <w:rsid w:val="00D86DA2"/>
    <w:rsid w:val="00D87603"/>
    <w:rsid w:val="00D876AF"/>
    <w:rsid w:val="00D905EA"/>
    <w:rsid w:val="00D90A6A"/>
    <w:rsid w:val="00D910FC"/>
    <w:rsid w:val="00D914E8"/>
    <w:rsid w:val="00D9174C"/>
    <w:rsid w:val="00D91DD5"/>
    <w:rsid w:val="00D926B4"/>
    <w:rsid w:val="00D935F0"/>
    <w:rsid w:val="00D942D0"/>
    <w:rsid w:val="00D949F3"/>
    <w:rsid w:val="00D94F2B"/>
    <w:rsid w:val="00D9528B"/>
    <w:rsid w:val="00D95349"/>
    <w:rsid w:val="00D9547A"/>
    <w:rsid w:val="00D95749"/>
    <w:rsid w:val="00D96104"/>
    <w:rsid w:val="00D96511"/>
    <w:rsid w:val="00D96767"/>
    <w:rsid w:val="00D96DF3"/>
    <w:rsid w:val="00D97BE9"/>
    <w:rsid w:val="00D97C1C"/>
    <w:rsid w:val="00DA04B5"/>
    <w:rsid w:val="00DA2885"/>
    <w:rsid w:val="00DA47D4"/>
    <w:rsid w:val="00DA51B1"/>
    <w:rsid w:val="00DA5F16"/>
    <w:rsid w:val="00DA6173"/>
    <w:rsid w:val="00DA6C33"/>
    <w:rsid w:val="00DA6DA3"/>
    <w:rsid w:val="00DA71A6"/>
    <w:rsid w:val="00DA778B"/>
    <w:rsid w:val="00DA7C63"/>
    <w:rsid w:val="00DA7F02"/>
    <w:rsid w:val="00DB0420"/>
    <w:rsid w:val="00DB09A5"/>
    <w:rsid w:val="00DB0FAF"/>
    <w:rsid w:val="00DB1195"/>
    <w:rsid w:val="00DB1AB2"/>
    <w:rsid w:val="00DB2369"/>
    <w:rsid w:val="00DB2C76"/>
    <w:rsid w:val="00DB387E"/>
    <w:rsid w:val="00DB5097"/>
    <w:rsid w:val="00DB537F"/>
    <w:rsid w:val="00DB636C"/>
    <w:rsid w:val="00DB6377"/>
    <w:rsid w:val="00DB6539"/>
    <w:rsid w:val="00DB6835"/>
    <w:rsid w:val="00DB6E5B"/>
    <w:rsid w:val="00DB7D63"/>
    <w:rsid w:val="00DC01C7"/>
    <w:rsid w:val="00DC0386"/>
    <w:rsid w:val="00DC0FFE"/>
    <w:rsid w:val="00DC1289"/>
    <w:rsid w:val="00DC1BEC"/>
    <w:rsid w:val="00DC238F"/>
    <w:rsid w:val="00DC23A4"/>
    <w:rsid w:val="00DC2631"/>
    <w:rsid w:val="00DC285A"/>
    <w:rsid w:val="00DC2EB7"/>
    <w:rsid w:val="00DC313E"/>
    <w:rsid w:val="00DC3DA2"/>
    <w:rsid w:val="00DC40B0"/>
    <w:rsid w:val="00DC440E"/>
    <w:rsid w:val="00DC45AA"/>
    <w:rsid w:val="00DC54B4"/>
    <w:rsid w:val="00DC56BF"/>
    <w:rsid w:val="00DC643B"/>
    <w:rsid w:val="00DC6E37"/>
    <w:rsid w:val="00DC6E8F"/>
    <w:rsid w:val="00DC7325"/>
    <w:rsid w:val="00DC736E"/>
    <w:rsid w:val="00DD062D"/>
    <w:rsid w:val="00DD18EA"/>
    <w:rsid w:val="00DD1C94"/>
    <w:rsid w:val="00DD2D41"/>
    <w:rsid w:val="00DD2E9C"/>
    <w:rsid w:val="00DD3394"/>
    <w:rsid w:val="00DD3AC9"/>
    <w:rsid w:val="00DD3E5E"/>
    <w:rsid w:val="00DD41E6"/>
    <w:rsid w:val="00DD4C3E"/>
    <w:rsid w:val="00DD580E"/>
    <w:rsid w:val="00DD6477"/>
    <w:rsid w:val="00DD66DB"/>
    <w:rsid w:val="00DD700E"/>
    <w:rsid w:val="00DD795F"/>
    <w:rsid w:val="00DD7C47"/>
    <w:rsid w:val="00DE0582"/>
    <w:rsid w:val="00DE12A1"/>
    <w:rsid w:val="00DE1726"/>
    <w:rsid w:val="00DE1AE8"/>
    <w:rsid w:val="00DE21AE"/>
    <w:rsid w:val="00DE2370"/>
    <w:rsid w:val="00DE2E3B"/>
    <w:rsid w:val="00DE36CD"/>
    <w:rsid w:val="00DE3AE8"/>
    <w:rsid w:val="00DE3B04"/>
    <w:rsid w:val="00DE3C81"/>
    <w:rsid w:val="00DE3D63"/>
    <w:rsid w:val="00DE454B"/>
    <w:rsid w:val="00DE47B7"/>
    <w:rsid w:val="00DE4A18"/>
    <w:rsid w:val="00DE5B68"/>
    <w:rsid w:val="00DE6310"/>
    <w:rsid w:val="00DE66BB"/>
    <w:rsid w:val="00DE6A7A"/>
    <w:rsid w:val="00DE6D9B"/>
    <w:rsid w:val="00DE70E4"/>
    <w:rsid w:val="00DE7256"/>
    <w:rsid w:val="00DE73AD"/>
    <w:rsid w:val="00DF0770"/>
    <w:rsid w:val="00DF0C40"/>
    <w:rsid w:val="00DF0DDF"/>
    <w:rsid w:val="00DF113C"/>
    <w:rsid w:val="00DF13CC"/>
    <w:rsid w:val="00DF2358"/>
    <w:rsid w:val="00DF236D"/>
    <w:rsid w:val="00DF2C59"/>
    <w:rsid w:val="00DF2D11"/>
    <w:rsid w:val="00DF3F4F"/>
    <w:rsid w:val="00DF5248"/>
    <w:rsid w:val="00DF54F3"/>
    <w:rsid w:val="00DF5CEE"/>
    <w:rsid w:val="00DF5DFC"/>
    <w:rsid w:val="00DF63BE"/>
    <w:rsid w:val="00DF65C6"/>
    <w:rsid w:val="00DF67E5"/>
    <w:rsid w:val="00DF6E31"/>
    <w:rsid w:val="00DF77DC"/>
    <w:rsid w:val="00E001DE"/>
    <w:rsid w:val="00E00BE5"/>
    <w:rsid w:val="00E00CC2"/>
    <w:rsid w:val="00E00DDA"/>
    <w:rsid w:val="00E01A0B"/>
    <w:rsid w:val="00E01F87"/>
    <w:rsid w:val="00E02028"/>
    <w:rsid w:val="00E02272"/>
    <w:rsid w:val="00E03C91"/>
    <w:rsid w:val="00E03D06"/>
    <w:rsid w:val="00E04375"/>
    <w:rsid w:val="00E0465B"/>
    <w:rsid w:val="00E04A1A"/>
    <w:rsid w:val="00E05EFD"/>
    <w:rsid w:val="00E0617C"/>
    <w:rsid w:val="00E06420"/>
    <w:rsid w:val="00E06E37"/>
    <w:rsid w:val="00E073A2"/>
    <w:rsid w:val="00E1073C"/>
    <w:rsid w:val="00E129A1"/>
    <w:rsid w:val="00E12AC8"/>
    <w:rsid w:val="00E132D8"/>
    <w:rsid w:val="00E13623"/>
    <w:rsid w:val="00E13837"/>
    <w:rsid w:val="00E13E59"/>
    <w:rsid w:val="00E14CC8"/>
    <w:rsid w:val="00E14D3B"/>
    <w:rsid w:val="00E14F83"/>
    <w:rsid w:val="00E16A5A"/>
    <w:rsid w:val="00E16D9D"/>
    <w:rsid w:val="00E16DB4"/>
    <w:rsid w:val="00E16E6D"/>
    <w:rsid w:val="00E16F9F"/>
    <w:rsid w:val="00E17006"/>
    <w:rsid w:val="00E174F7"/>
    <w:rsid w:val="00E1757F"/>
    <w:rsid w:val="00E17668"/>
    <w:rsid w:val="00E20041"/>
    <w:rsid w:val="00E20E3B"/>
    <w:rsid w:val="00E229E4"/>
    <w:rsid w:val="00E22B4B"/>
    <w:rsid w:val="00E2361B"/>
    <w:rsid w:val="00E23962"/>
    <w:rsid w:val="00E23EB5"/>
    <w:rsid w:val="00E24AA1"/>
    <w:rsid w:val="00E24B94"/>
    <w:rsid w:val="00E2526B"/>
    <w:rsid w:val="00E264E7"/>
    <w:rsid w:val="00E265EB"/>
    <w:rsid w:val="00E26ED7"/>
    <w:rsid w:val="00E2717C"/>
    <w:rsid w:val="00E30403"/>
    <w:rsid w:val="00E306B9"/>
    <w:rsid w:val="00E315DE"/>
    <w:rsid w:val="00E319F1"/>
    <w:rsid w:val="00E326CD"/>
    <w:rsid w:val="00E32B5A"/>
    <w:rsid w:val="00E32D4C"/>
    <w:rsid w:val="00E332B9"/>
    <w:rsid w:val="00E333CD"/>
    <w:rsid w:val="00E340B8"/>
    <w:rsid w:val="00E34369"/>
    <w:rsid w:val="00E344CB"/>
    <w:rsid w:val="00E34A9D"/>
    <w:rsid w:val="00E35296"/>
    <w:rsid w:val="00E35931"/>
    <w:rsid w:val="00E35E76"/>
    <w:rsid w:val="00E35EF0"/>
    <w:rsid w:val="00E37357"/>
    <w:rsid w:val="00E3752E"/>
    <w:rsid w:val="00E37998"/>
    <w:rsid w:val="00E37A72"/>
    <w:rsid w:val="00E40291"/>
    <w:rsid w:val="00E40AFA"/>
    <w:rsid w:val="00E40B1E"/>
    <w:rsid w:val="00E41444"/>
    <w:rsid w:val="00E41553"/>
    <w:rsid w:val="00E41B2D"/>
    <w:rsid w:val="00E41B7A"/>
    <w:rsid w:val="00E41C3B"/>
    <w:rsid w:val="00E41EEE"/>
    <w:rsid w:val="00E4217F"/>
    <w:rsid w:val="00E42B4F"/>
    <w:rsid w:val="00E42B8C"/>
    <w:rsid w:val="00E42BF4"/>
    <w:rsid w:val="00E4307B"/>
    <w:rsid w:val="00E432D2"/>
    <w:rsid w:val="00E436B5"/>
    <w:rsid w:val="00E4372D"/>
    <w:rsid w:val="00E438F5"/>
    <w:rsid w:val="00E43D52"/>
    <w:rsid w:val="00E443CC"/>
    <w:rsid w:val="00E44747"/>
    <w:rsid w:val="00E45280"/>
    <w:rsid w:val="00E45AE6"/>
    <w:rsid w:val="00E46132"/>
    <w:rsid w:val="00E462B7"/>
    <w:rsid w:val="00E467A2"/>
    <w:rsid w:val="00E46B20"/>
    <w:rsid w:val="00E50A8E"/>
    <w:rsid w:val="00E50E8A"/>
    <w:rsid w:val="00E51474"/>
    <w:rsid w:val="00E51A65"/>
    <w:rsid w:val="00E5214B"/>
    <w:rsid w:val="00E5344C"/>
    <w:rsid w:val="00E54555"/>
    <w:rsid w:val="00E5621C"/>
    <w:rsid w:val="00E56398"/>
    <w:rsid w:val="00E578FD"/>
    <w:rsid w:val="00E57ACA"/>
    <w:rsid w:val="00E57D00"/>
    <w:rsid w:val="00E600D8"/>
    <w:rsid w:val="00E6075C"/>
    <w:rsid w:val="00E613E1"/>
    <w:rsid w:val="00E61FB6"/>
    <w:rsid w:val="00E62190"/>
    <w:rsid w:val="00E631C2"/>
    <w:rsid w:val="00E63A08"/>
    <w:rsid w:val="00E63B4E"/>
    <w:rsid w:val="00E63DBF"/>
    <w:rsid w:val="00E63E5C"/>
    <w:rsid w:val="00E6443A"/>
    <w:rsid w:val="00E64498"/>
    <w:rsid w:val="00E6463F"/>
    <w:rsid w:val="00E64ABE"/>
    <w:rsid w:val="00E64C7F"/>
    <w:rsid w:val="00E655CB"/>
    <w:rsid w:val="00E655F3"/>
    <w:rsid w:val="00E656EA"/>
    <w:rsid w:val="00E65890"/>
    <w:rsid w:val="00E6686B"/>
    <w:rsid w:val="00E66931"/>
    <w:rsid w:val="00E66F15"/>
    <w:rsid w:val="00E670C9"/>
    <w:rsid w:val="00E676CA"/>
    <w:rsid w:val="00E67A57"/>
    <w:rsid w:val="00E7030A"/>
    <w:rsid w:val="00E7066D"/>
    <w:rsid w:val="00E70E6B"/>
    <w:rsid w:val="00E71BA2"/>
    <w:rsid w:val="00E72150"/>
    <w:rsid w:val="00E722E4"/>
    <w:rsid w:val="00E734B5"/>
    <w:rsid w:val="00E73967"/>
    <w:rsid w:val="00E73BFC"/>
    <w:rsid w:val="00E74F58"/>
    <w:rsid w:val="00E76786"/>
    <w:rsid w:val="00E76B73"/>
    <w:rsid w:val="00E8040E"/>
    <w:rsid w:val="00E804B8"/>
    <w:rsid w:val="00E80A20"/>
    <w:rsid w:val="00E80B9B"/>
    <w:rsid w:val="00E815D7"/>
    <w:rsid w:val="00E823C0"/>
    <w:rsid w:val="00E82853"/>
    <w:rsid w:val="00E8287F"/>
    <w:rsid w:val="00E82BED"/>
    <w:rsid w:val="00E82C12"/>
    <w:rsid w:val="00E83154"/>
    <w:rsid w:val="00E83348"/>
    <w:rsid w:val="00E83AF2"/>
    <w:rsid w:val="00E8464E"/>
    <w:rsid w:val="00E84CFC"/>
    <w:rsid w:val="00E8539A"/>
    <w:rsid w:val="00E8559A"/>
    <w:rsid w:val="00E878FD"/>
    <w:rsid w:val="00E87BDC"/>
    <w:rsid w:val="00E9064D"/>
    <w:rsid w:val="00E90B75"/>
    <w:rsid w:val="00E9135E"/>
    <w:rsid w:val="00E91449"/>
    <w:rsid w:val="00E91F11"/>
    <w:rsid w:val="00E92D3A"/>
    <w:rsid w:val="00E9384B"/>
    <w:rsid w:val="00E9393D"/>
    <w:rsid w:val="00E93C32"/>
    <w:rsid w:val="00E94965"/>
    <w:rsid w:val="00E957E1"/>
    <w:rsid w:val="00E95E6D"/>
    <w:rsid w:val="00E9621C"/>
    <w:rsid w:val="00E96557"/>
    <w:rsid w:val="00E96762"/>
    <w:rsid w:val="00E9725E"/>
    <w:rsid w:val="00E97469"/>
    <w:rsid w:val="00E974B9"/>
    <w:rsid w:val="00E97CB8"/>
    <w:rsid w:val="00E97D52"/>
    <w:rsid w:val="00EA0B5D"/>
    <w:rsid w:val="00EA19CE"/>
    <w:rsid w:val="00EA1F51"/>
    <w:rsid w:val="00EA3A14"/>
    <w:rsid w:val="00EA3D81"/>
    <w:rsid w:val="00EA44DB"/>
    <w:rsid w:val="00EA4653"/>
    <w:rsid w:val="00EA4D37"/>
    <w:rsid w:val="00EA4DA3"/>
    <w:rsid w:val="00EA4F4C"/>
    <w:rsid w:val="00EA5863"/>
    <w:rsid w:val="00EA65BE"/>
    <w:rsid w:val="00EA6CDC"/>
    <w:rsid w:val="00EA6F7C"/>
    <w:rsid w:val="00EA6FFA"/>
    <w:rsid w:val="00EA76E5"/>
    <w:rsid w:val="00EA7992"/>
    <w:rsid w:val="00EA79CB"/>
    <w:rsid w:val="00EA7F8E"/>
    <w:rsid w:val="00EB0B12"/>
    <w:rsid w:val="00EB0C8A"/>
    <w:rsid w:val="00EB1B25"/>
    <w:rsid w:val="00EB2954"/>
    <w:rsid w:val="00EB4D1A"/>
    <w:rsid w:val="00EB51BC"/>
    <w:rsid w:val="00EB528A"/>
    <w:rsid w:val="00EB6F40"/>
    <w:rsid w:val="00EB77C3"/>
    <w:rsid w:val="00EC0891"/>
    <w:rsid w:val="00EC0A66"/>
    <w:rsid w:val="00EC1B06"/>
    <w:rsid w:val="00EC1E4A"/>
    <w:rsid w:val="00EC211D"/>
    <w:rsid w:val="00EC2976"/>
    <w:rsid w:val="00EC2C2C"/>
    <w:rsid w:val="00EC2E1C"/>
    <w:rsid w:val="00EC33D8"/>
    <w:rsid w:val="00EC3482"/>
    <w:rsid w:val="00EC3D0C"/>
    <w:rsid w:val="00EC3F36"/>
    <w:rsid w:val="00EC42F2"/>
    <w:rsid w:val="00EC4909"/>
    <w:rsid w:val="00EC5357"/>
    <w:rsid w:val="00EC53C0"/>
    <w:rsid w:val="00EC666D"/>
    <w:rsid w:val="00EC71D3"/>
    <w:rsid w:val="00EC7B43"/>
    <w:rsid w:val="00EC7F1D"/>
    <w:rsid w:val="00ED0172"/>
    <w:rsid w:val="00ED03F3"/>
    <w:rsid w:val="00ED160B"/>
    <w:rsid w:val="00ED1CF1"/>
    <w:rsid w:val="00ED1DA4"/>
    <w:rsid w:val="00ED1E93"/>
    <w:rsid w:val="00ED2525"/>
    <w:rsid w:val="00ED297A"/>
    <w:rsid w:val="00ED35D1"/>
    <w:rsid w:val="00ED3A94"/>
    <w:rsid w:val="00ED3F46"/>
    <w:rsid w:val="00ED3F51"/>
    <w:rsid w:val="00ED40E4"/>
    <w:rsid w:val="00ED4ED6"/>
    <w:rsid w:val="00ED51E5"/>
    <w:rsid w:val="00ED5829"/>
    <w:rsid w:val="00ED5B56"/>
    <w:rsid w:val="00ED6071"/>
    <w:rsid w:val="00ED60A1"/>
    <w:rsid w:val="00ED6405"/>
    <w:rsid w:val="00ED6CDA"/>
    <w:rsid w:val="00ED6CE6"/>
    <w:rsid w:val="00ED6D27"/>
    <w:rsid w:val="00ED6EE4"/>
    <w:rsid w:val="00ED70E0"/>
    <w:rsid w:val="00ED7348"/>
    <w:rsid w:val="00EE01A6"/>
    <w:rsid w:val="00EE161E"/>
    <w:rsid w:val="00EE17BE"/>
    <w:rsid w:val="00EE25E9"/>
    <w:rsid w:val="00EE2941"/>
    <w:rsid w:val="00EE2947"/>
    <w:rsid w:val="00EE354F"/>
    <w:rsid w:val="00EE43AD"/>
    <w:rsid w:val="00EE43E2"/>
    <w:rsid w:val="00EE46A3"/>
    <w:rsid w:val="00EE4FF2"/>
    <w:rsid w:val="00EE5F75"/>
    <w:rsid w:val="00EE6063"/>
    <w:rsid w:val="00EE6526"/>
    <w:rsid w:val="00EE74DC"/>
    <w:rsid w:val="00EF04A0"/>
    <w:rsid w:val="00EF155A"/>
    <w:rsid w:val="00EF174B"/>
    <w:rsid w:val="00EF1B28"/>
    <w:rsid w:val="00EF1E7A"/>
    <w:rsid w:val="00EF1FE9"/>
    <w:rsid w:val="00EF2720"/>
    <w:rsid w:val="00EF2C46"/>
    <w:rsid w:val="00EF2F99"/>
    <w:rsid w:val="00EF3566"/>
    <w:rsid w:val="00EF3977"/>
    <w:rsid w:val="00EF4B07"/>
    <w:rsid w:val="00EF5B90"/>
    <w:rsid w:val="00EF5C25"/>
    <w:rsid w:val="00EF6034"/>
    <w:rsid w:val="00EF68AE"/>
    <w:rsid w:val="00EF6D38"/>
    <w:rsid w:val="00EF72C4"/>
    <w:rsid w:val="00EF72F6"/>
    <w:rsid w:val="00EF7C89"/>
    <w:rsid w:val="00F006D6"/>
    <w:rsid w:val="00F010EF"/>
    <w:rsid w:val="00F019B2"/>
    <w:rsid w:val="00F01D2D"/>
    <w:rsid w:val="00F02DA1"/>
    <w:rsid w:val="00F0302E"/>
    <w:rsid w:val="00F0344F"/>
    <w:rsid w:val="00F03981"/>
    <w:rsid w:val="00F03C60"/>
    <w:rsid w:val="00F04871"/>
    <w:rsid w:val="00F04A8B"/>
    <w:rsid w:val="00F052CA"/>
    <w:rsid w:val="00F052E8"/>
    <w:rsid w:val="00F05A26"/>
    <w:rsid w:val="00F061D6"/>
    <w:rsid w:val="00F063A4"/>
    <w:rsid w:val="00F065E1"/>
    <w:rsid w:val="00F076DB"/>
    <w:rsid w:val="00F07BFE"/>
    <w:rsid w:val="00F07E73"/>
    <w:rsid w:val="00F10CEB"/>
    <w:rsid w:val="00F1199C"/>
    <w:rsid w:val="00F1234F"/>
    <w:rsid w:val="00F12723"/>
    <w:rsid w:val="00F12784"/>
    <w:rsid w:val="00F12840"/>
    <w:rsid w:val="00F12F30"/>
    <w:rsid w:val="00F14140"/>
    <w:rsid w:val="00F142CA"/>
    <w:rsid w:val="00F1513F"/>
    <w:rsid w:val="00F156F2"/>
    <w:rsid w:val="00F1592C"/>
    <w:rsid w:val="00F159E4"/>
    <w:rsid w:val="00F15B08"/>
    <w:rsid w:val="00F15EE7"/>
    <w:rsid w:val="00F15FCC"/>
    <w:rsid w:val="00F16650"/>
    <w:rsid w:val="00F166D7"/>
    <w:rsid w:val="00F1688D"/>
    <w:rsid w:val="00F168E3"/>
    <w:rsid w:val="00F16915"/>
    <w:rsid w:val="00F16A73"/>
    <w:rsid w:val="00F16B59"/>
    <w:rsid w:val="00F170A9"/>
    <w:rsid w:val="00F17F32"/>
    <w:rsid w:val="00F211BC"/>
    <w:rsid w:val="00F2191F"/>
    <w:rsid w:val="00F21BFD"/>
    <w:rsid w:val="00F21D39"/>
    <w:rsid w:val="00F224C1"/>
    <w:rsid w:val="00F2252C"/>
    <w:rsid w:val="00F22B78"/>
    <w:rsid w:val="00F22CF8"/>
    <w:rsid w:val="00F2326F"/>
    <w:rsid w:val="00F23D74"/>
    <w:rsid w:val="00F2448B"/>
    <w:rsid w:val="00F246FE"/>
    <w:rsid w:val="00F24725"/>
    <w:rsid w:val="00F247CB"/>
    <w:rsid w:val="00F253E1"/>
    <w:rsid w:val="00F253FA"/>
    <w:rsid w:val="00F265F8"/>
    <w:rsid w:val="00F26957"/>
    <w:rsid w:val="00F3027C"/>
    <w:rsid w:val="00F303F5"/>
    <w:rsid w:val="00F31A33"/>
    <w:rsid w:val="00F32651"/>
    <w:rsid w:val="00F32C8E"/>
    <w:rsid w:val="00F32D6C"/>
    <w:rsid w:val="00F32DC1"/>
    <w:rsid w:val="00F330EA"/>
    <w:rsid w:val="00F333DB"/>
    <w:rsid w:val="00F33823"/>
    <w:rsid w:val="00F3405A"/>
    <w:rsid w:val="00F3437F"/>
    <w:rsid w:val="00F34B83"/>
    <w:rsid w:val="00F360C3"/>
    <w:rsid w:val="00F367BC"/>
    <w:rsid w:val="00F3686B"/>
    <w:rsid w:val="00F36E6B"/>
    <w:rsid w:val="00F36FD2"/>
    <w:rsid w:val="00F375E9"/>
    <w:rsid w:val="00F3773B"/>
    <w:rsid w:val="00F37749"/>
    <w:rsid w:val="00F37799"/>
    <w:rsid w:val="00F37DBD"/>
    <w:rsid w:val="00F40434"/>
    <w:rsid w:val="00F40576"/>
    <w:rsid w:val="00F4112D"/>
    <w:rsid w:val="00F41B1C"/>
    <w:rsid w:val="00F42194"/>
    <w:rsid w:val="00F421F1"/>
    <w:rsid w:val="00F42728"/>
    <w:rsid w:val="00F42C55"/>
    <w:rsid w:val="00F433D8"/>
    <w:rsid w:val="00F437F6"/>
    <w:rsid w:val="00F4411A"/>
    <w:rsid w:val="00F44984"/>
    <w:rsid w:val="00F451F2"/>
    <w:rsid w:val="00F457E2"/>
    <w:rsid w:val="00F467CE"/>
    <w:rsid w:val="00F471E7"/>
    <w:rsid w:val="00F51177"/>
    <w:rsid w:val="00F511FF"/>
    <w:rsid w:val="00F52284"/>
    <w:rsid w:val="00F522F5"/>
    <w:rsid w:val="00F523DE"/>
    <w:rsid w:val="00F52426"/>
    <w:rsid w:val="00F52A86"/>
    <w:rsid w:val="00F53002"/>
    <w:rsid w:val="00F53C7B"/>
    <w:rsid w:val="00F541A5"/>
    <w:rsid w:val="00F5440F"/>
    <w:rsid w:val="00F5444A"/>
    <w:rsid w:val="00F545ED"/>
    <w:rsid w:val="00F547D7"/>
    <w:rsid w:val="00F5480A"/>
    <w:rsid w:val="00F5501A"/>
    <w:rsid w:val="00F55423"/>
    <w:rsid w:val="00F563AD"/>
    <w:rsid w:val="00F56B1C"/>
    <w:rsid w:val="00F56B3D"/>
    <w:rsid w:val="00F571FE"/>
    <w:rsid w:val="00F57219"/>
    <w:rsid w:val="00F57CA4"/>
    <w:rsid w:val="00F60FAD"/>
    <w:rsid w:val="00F60FAE"/>
    <w:rsid w:val="00F6157F"/>
    <w:rsid w:val="00F6255F"/>
    <w:rsid w:val="00F62873"/>
    <w:rsid w:val="00F63DC6"/>
    <w:rsid w:val="00F643D7"/>
    <w:rsid w:val="00F659A9"/>
    <w:rsid w:val="00F65B3E"/>
    <w:rsid w:val="00F65D25"/>
    <w:rsid w:val="00F65DE2"/>
    <w:rsid w:val="00F6628C"/>
    <w:rsid w:val="00F665DB"/>
    <w:rsid w:val="00F66B65"/>
    <w:rsid w:val="00F67019"/>
    <w:rsid w:val="00F672BF"/>
    <w:rsid w:val="00F676F6"/>
    <w:rsid w:val="00F67941"/>
    <w:rsid w:val="00F67E24"/>
    <w:rsid w:val="00F701F0"/>
    <w:rsid w:val="00F70A46"/>
    <w:rsid w:val="00F70C1E"/>
    <w:rsid w:val="00F70E20"/>
    <w:rsid w:val="00F711E4"/>
    <w:rsid w:val="00F727C0"/>
    <w:rsid w:val="00F72B84"/>
    <w:rsid w:val="00F73508"/>
    <w:rsid w:val="00F73C30"/>
    <w:rsid w:val="00F73E71"/>
    <w:rsid w:val="00F7476C"/>
    <w:rsid w:val="00F74EAD"/>
    <w:rsid w:val="00F75C93"/>
    <w:rsid w:val="00F75F57"/>
    <w:rsid w:val="00F763F7"/>
    <w:rsid w:val="00F764E0"/>
    <w:rsid w:val="00F766B7"/>
    <w:rsid w:val="00F77C83"/>
    <w:rsid w:val="00F8009C"/>
    <w:rsid w:val="00F80657"/>
    <w:rsid w:val="00F8190C"/>
    <w:rsid w:val="00F81CB6"/>
    <w:rsid w:val="00F8279B"/>
    <w:rsid w:val="00F82B04"/>
    <w:rsid w:val="00F82ECF"/>
    <w:rsid w:val="00F83EAF"/>
    <w:rsid w:val="00F8464E"/>
    <w:rsid w:val="00F84B94"/>
    <w:rsid w:val="00F8677B"/>
    <w:rsid w:val="00F86DF1"/>
    <w:rsid w:val="00F874F7"/>
    <w:rsid w:val="00F90E3E"/>
    <w:rsid w:val="00F90EAD"/>
    <w:rsid w:val="00F93FBF"/>
    <w:rsid w:val="00F941A2"/>
    <w:rsid w:val="00F9428D"/>
    <w:rsid w:val="00F94B00"/>
    <w:rsid w:val="00F94D0D"/>
    <w:rsid w:val="00F9564E"/>
    <w:rsid w:val="00F95A22"/>
    <w:rsid w:val="00F96B46"/>
    <w:rsid w:val="00FA0786"/>
    <w:rsid w:val="00FA09B2"/>
    <w:rsid w:val="00FA113A"/>
    <w:rsid w:val="00FA17D7"/>
    <w:rsid w:val="00FA323E"/>
    <w:rsid w:val="00FA3977"/>
    <w:rsid w:val="00FA4DC6"/>
    <w:rsid w:val="00FA6D73"/>
    <w:rsid w:val="00FA7DE8"/>
    <w:rsid w:val="00FB0D37"/>
    <w:rsid w:val="00FB10D6"/>
    <w:rsid w:val="00FB177D"/>
    <w:rsid w:val="00FB2BCC"/>
    <w:rsid w:val="00FB31EA"/>
    <w:rsid w:val="00FB34B4"/>
    <w:rsid w:val="00FB3CD4"/>
    <w:rsid w:val="00FB40E9"/>
    <w:rsid w:val="00FB4578"/>
    <w:rsid w:val="00FB4732"/>
    <w:rsid w:val="00FB504E"/>
    <w:rsid w:val="00FB5DA2"/>
    <w:rsid w:val="00FB60A3"/>
    <w:rsid w:val="00FB60CA"/>
    <w:rsid w:val="00FB6743"/>
    <w:rsid w:val="00FB716D"/>
    <w:rsid w:val="00FB74A6"/>
    <w:rsid w:val="00FB74D0"/>
    <w:rsid w:val="00FB7EA3"/>
    <w:rsid w:val="00FC017B"/>
    <w:rsid w:val="00FC0B36"/>
    <w:rsid w:val="00FC14B0"/>
    <w:rsid w:val="00FC1BFA"/>
    <w:rsid w:val="00FC1E82"/>
    <w:rsid w:val="00FC238C"/>
    <w:rsid w:val="00FC2AE6"/>
    <w:rsid w:val="00FC3E9D"/>
    <w:rsid w:val="00FC44C7"/>
    <w:rsid w:val="00FC4961"/>
    <w:rsid w:val="00FC4AA3"/>
    <w:rsid w:val="00FC5899"/>
    <w:rsid w:val="00FC5B1A"/>
    <w:rsid w:val="00FC715E"/>
    <w:rsid w:val="00FC74FA"/>
    <w:rsid w:val="00FD0A0E"/>
    <w:rsid w:val="00FD20AE"/>
    <w:rsid w:val="00FD33FC"/>
    <w:rsid w:val="00FD39FB"/>
    <w:rsid w:val="00FD4509"/>
    <w:rsid w:val="00FD499B"/>
    <w:rsid w:val="00FD4D08"/>
    <w:rsid w:val="00FD54F5"/>
    <w:rsid w:val="00FD5978"/>
    <w:rsid w:val="00FD6012"/>
    <w:rsid w:val="00FD67E1"/>
    <w:rsid w:val="00FD7621"/>
    <w:rsid w:val="00FD777B"/>
    <w:rsid w:val="00FE0303"/>
    <w:rsid w:val="00FE051F"/>
    <w:rsid w:val="00FE07DD"/>
    <w:rsid w:val="00FE0C63"/>
    <w:rsid w:val="00FE1B29"/>
    <w:rsid w:val="00FE26A4"/>
    <w:rsid w:val="00FE274D"/>
    <w:rsid w:val="00FE2A1A"/>
    <w:rsid w:val="00FE2D60"/>
    <w:rsid w:val="00FE385B"/>
    <w:rsid w:val="00FE3B0C"/>
    <w:rsid w:val="00FE3FF1"/>
    <w:rsid w:val="00FE5813"/>
    <w:rsid w:val="00FE69B5"/>
    <w:rsid w:val="00FE7439"/>
    <w:rsid w:val="00FE77FD"/>
    <w:rsid w:val="00FE7971"/>
    <w:rsid w:val="00FE7B9B"/>
    <w:rsid w:val="00FE7D0F"/>
    <w:rsid w:val="00FE7D99"/>
    <w:rsid w:val="00FE7E54"/>
    <w:rsid w:val="00FF0A03"/>
    <w:rsid w:val="00FF0F92"/>
    <w:rsid w:val="00FF11C9"/>
    <w:rsid w:val="00FF1E80"/>
    <w:rsid w:val="00FF4AC8"/>
    <w:rsid w:val="00FF596E"/>
    <w:rsid w:val="00FF69DC"/>
    <w:rsid w:val="00FF6EFE"/>
    <w:rsid w:val="00FF760B"/>
    <w:rsid w:val="00FF7793"/>
    <w:rsid w:val="00FF7854"/>
    <w:rsid w:val="015D5D2D"/>
    <w:rsid w:val="019520C9"/>
    <w:rsid w:val="020E202D"/>
    <w:rsid w:val="026E463B"/>
    <w:rsid w:val="02AE38A8"/>
    <w:rsid w:val="03AA61F9"/>
    <w:rsid w:val="03C3763B"/>
    <w:rsid w:val="03FF41B8"/>
    <w:rsid w:val="040B4015"/>
    <w:rsid w:val="04466BDB"/>
    <w:rsid w:val="044F2256"/>
    <w:rsid w:val="04AC2F95"/>
    <w:rsid w:val="04C2407A"/>
    <w:rsid w:val="04C53D79"/>
    <w:rsid w:val="04DE3C4D"/>
    <w:rsid w:val="056608E4"/>
    <w:rsid w:val="05724CE0"/>
    <w:rsid w:val="05DD2C1F"/>
    <w:rsid w:val="063E6A7F"/>
    <w:rsid w:val="06910C46"/>
    <w:rsid w:val="06DD5F1B"/>
    <w:rsid w:val="073E7B41"/>
    <w:rsid w:val="07907AF2"/>
    <w:rsid w:val="080E0059"/>
    <w:rsid w:val="08110267"/>
    <w:rsid w:val="082369D5"/>
    <w:rsid w:val="082A153E"/>
    <w:rsid w:val="08855EB5"/>
    <w:rsid w:val="08DE21A1"/>
    <w:rsid w:val="09067ADE"/>
    <w:rsid w:val="090F3D13"/>
    <w:rsid w:val="092E44BA"/>
    <w:rsid w:val="09E92ED1"/>
    <w:rsid w:val="09EC5442"/>
    <w:rsid w:val="0A336615"/>
    <w:rsid w:val="0A7C27CF"/>
    <w:rsid w:val="0A9642EF"/>
    <w:rsid w:val="0AA23405"/>
    <w:rsid w:val="0B0E1BBD"/>
    <w:rsid w:val="0B2F3F86"/>
    <w:rsid w:val="0C2762B8"/>
    <w:rsid w:val="0C793206"/>
    <w:rsid w:val="0CA44A99"/>
    <w:rsid w:val="0CE72B61"/>
    <w:rsid w:val="0D465494"/>
    <w:rsid w:val="0D534705"/>
    <w:rsid w:val="0D8649D4"/>
    <w:rsid w:val="0DB24E7A"/>
    <w:rsid w:val="0E3821A7"/>
    <w:rsid w:val="0E3D2527"/>
    <w:rsid w:val="0E7072B4"/>
    <w:rsid w:val="0E992F53"/>
    <w:rsid w:val="0EB155A8"/>
    <w:rsid w:val="10220EDB"/>
    <w:rsid w:val="107F7B95"/>
    <w:rsid w:val="10AF1802"/>
    <w:rsid w:val="116F356E"/>
    <w:rsid w:val="117D79F5"/>
    <w:rsid w:val="12386EF3"/>
    <w:rsid w:val="12726E5C"/>
    <w:rsid w:val="129E20B0"/>
    <w:rsid w:val="13236A44"/>
    <w:rsid w:val="132B24FC"/>
    <w:rsid w:val="133855A1"/>
    <w:rsid w:val="133A2646"/>
    <w:rsid w:val="13974378"/>
    <w:rsid w:val="13C91232"/>
    <w:rsid w:val="145873B9"/>
    <w:rsid w:val="145B63BF"/>
    <w:rsid w:val="14CD317A"/>
    <w:rsid w:val="15135261"/>
    <w:rsid w:val="155373F4"/>
    <w:rsid w:val="15AA3FF5"/>
    <w:rsid w:val="15EB6A6F"/>
    <w:rsid w:val="166A2A37"/>
    <w:rsid w:val="17147F42"/>
    <w:rsid w:val="172317E9"/>
    <w:rsid w:val="17851D7C"/>
    <w:rsid w:val="17AD2212"/>
    <w:rsid w:val="18D77792"/>
    <w:rsid w:val="18E40C67"/>
    <w:rsid w:val="19300173"/>
    <w:rsid w:val="197E6010"/>
    <w:rsid w:val="19C47FAF"/>
    <w:rsid w:val="1AA75943"/>
    <w:rsid w:val="1B8033ED"/>
    <w:rsid w:val="1B8C2BA4"/>
    <w:rsid w:val="1BA12ADB"/>
    <w:rsid w:val="1BB1037D"/>
    <w:rsid w:val="1BCE74E9"/>
    <w:rsid w:val="1C1738FD"/>
    <w:rsid w:val="1D1C2D64"/>
    <w:rsid w:val="1D2F402C"/>
    <w:rsid w:val="1D5076FC"/>
    <w:rsid w:val="1D933B2E"/>
    <w:rsid w:val="1E27611F"/>
    <w:rsid w:val="1E364ABE"/>
    <w:rsid w:val="1EC92C6F"/>
    <w:rsid w:val="1F1E3599"/>
    <w:rsid w:val="1F7C72EC"/>
    <w:rsid w:val="1FB945DE"/>
    <w:rsid w:val="1FE023B2"/>
    <w:rsid w:val="1FFE03F4"/>
    <w:rsid w:val="20484EED"/>
    <w:rsid w:val="215A353B"/>
    <w:rsid w:val="21F31BB3"/>
    <w:rsid w:val="2240053B"/>
    <w:rsid w:val="22800B5E"/>
    <w:rsid w:val="23513728"/>
    <w:rsid w:val="236447AE"/>
    <w:rsid w:val="24952F2B"/>
    <w:rsid w:val="25513CBE"/>
    <w:rsid w:val="25880F74"/>
    <w:rsid w:val="25905935"/>
    <w:rsid w:val="25DD50AB"/>
    <w:rsid w:val="26924C6E"/>
    <w:rsid w:val="26BA41F7"/>
    <w:rsid w:val="26DA76F1"/>
    <w:rsid w:val="277D473B"/>
    <w:rsid w:val="283B3F6E"/>
    <w:rsid w:val="284D3C88"/>
    <w:rsid w:val="287B03EA"/>
    <w:rsid w:val="28A52E43"/>
    <w:rsid w:val="28BD5493"/>
    <w:rsid w:val="293621A9"/>
    <w:rsid w:val="294D1313"/>
    <w:rsid w:val="29517524"/>
    <w:rsid w:val="297A7A35"/>
    <w:rsid w:val="29831876"/>
    <w:rsid w:val="2A037C7A"/>
    <w:rsid w:val="2A174EEC"/>
    <w:rsid w:val="2ACA5737"/>
    <w:rsid w:val="2B184FE5"/>
    <w:rsid w:val="2B1C2CF7"/>
    <w:rsid w:val="2BDC4A6A"/>
    <w:rsid w:val="2BE26BD0"/>
    <w:rsid w:val="2C685928"/>
    <w:rsid w:val="2C73280B"/>
    <w:rsid w:val="2CDA78B5"/>
    <w:rsid w:val="2CDE1E0E"/>
    <w:rsid w:val="2D0D2A1B"/>
    <w:rsid w:val="2DA37C5D"/>
    <w:rsid w:val="2DA623C7"/>
    <w:rsid w:val="2DEC2429"/>
    <w:rsid w:val="2E483CEC"/>
    <w:rsid w:val="2ECD5B95"/>
    <w:rsid w:val="2ED10DEB"/>
    <w:rsid w:val="2F0F63ED"/>
    <w:rsid w:val="2F751BAC"/>
    <w:rsid w:val="2F896A97"/>
    <w:rsid w:val="2FBD13BC"/>
    <w:rsid w:val="306D660C"/>
    <w:rsid w:val="30907FE4"/>
    <w:rsid w:val="30A43582"/>
    <w:rsid w:val="31874935"/>
    <w:rsid w:val="3299784D"/>
    <w:rsid w:val="32E81EC7"/>
    <w:rsid w:val="33BB5548"/>
    <w:rsid w:val="34666894"/>
    <w:rsid w:val="34A366F1"/>
    <w:rsid w:val="35320B31"/>
    <w:rsid w:val="353C6610"/>
    <w:rsid w:val="35853302"/>
    <w:rsid w:val="35CF2CB5"/>
    <w:rsid w:val="36A66A34"/>
    <w:rsid w:val="36D52D34"/>
    <w:rsid w:val="36DB2942"/>
    <w:rsid w:val="36DF30F9"/>
    <w:rsid w:val="36F35FC9"/>
    <w:rsid w:val="371A1321"/>
    <w:rsid w:val="379264BA"/>
    <w:rsid w:val="37EC174B"/>
    <w:rsid w:val="38052F76"/>
    <w:rsid w:val="382364F4"/>
    <w:rsid w:val="389771E3"/>
    <w:rsid w:val="38D57DCB"/>
    <w:rsid w:val="38DE0A0F"/>
    <w:rsid w:val="38E135F2"/>
    <w:rsid w:val="38ED689E"/>
    <w:rsid w:val="3938206E"/>
    <w:rsid w:val="393D1163"/>
    <w:rsid w:val="394A6667"/>
    <w:rsid w:val="39697D10"/>
    <w:rsid w:val="3999752E"/>
    <w:rsid w:val="39AA29EF"/>
    <w:rsid w:val="39DD52FC"/>
    <w:rsid w:val="3A7F1865"/>
    <w:rsid w:val="3AE9350E"/>
    <w:rsid w:val="3AF522A9"/>
    <w:rsid w:val="3BC706F5"/>
    <w:rsid w:val="3BF6510D"/>
    <w:rsid w:val="3C22535B"/>
    <w:rsid w:val="3C73403C"/>
    <w:rsid w:val="3D050BB0"/>
    <w:rsid w:val="3D1D29AE"/>
    <w:rsid w:val="3D3B2D88"/>
    <w:rsid w:val="3D5631B5"/>
    <w:rsid w:val="3DFB7515"/>
    <w:rsid w:val="3E07174B"/>
    <w:rsid w:val="3E1E6F17"/>
    <w:rsid w:val="3E274D07"/>
    <w:rsid w:val="3ECE68E2"/>
    <w:rsid w:val="3F980C51"/>
    <w:rsid w:val="40154F29"/>
    <w:rsid w:val="401572A4"/>
    <w:rsid w:val="416D145B"/>
    <w:rsid w:val="419A6363"/>
    <w:rsid w:val="41D02F34"/>
    <w:rsid w:val="421B0078"/>
    <w:rsid w:val="428F1FD0"/>
    <w:rsid w:val="429A3CB7"/>
    <w:rsid w:val="42C05F34"/>
    <w:rsid w:val="43616C87"/>
    <w:rsid w:val="4369095F"/>
    <w:rsid w:val="43720844"/>
    <w:rsid w:val="43A62EDA"/>
    <w:rsid w:val="43AE7FAF"/>
    <w:rsid w:val="43CA3B06"/>
    <w:rsid w:val="44E0424F"/>
    <w:rsid w:val="44F46490"/>
    <w:rsid w:val="452D0934"/>
    <w:rsid w:val="45A67D28"/>
    <w:rsid w:val="45BD010E"/>
    <w:rsid w:val="45D81B29"/>
    <w:rsid w:val="45DC55D1"/>
    <w:rsid w:val="4686548C"/>
    <w:rsid w:val="46922353"/>
    <w:rsid w:val="46B77CB7"/>
    <w:rsid w:val="46E0753E"/>
    <w:rsid w:val="46E67085"/>
    <w:rsid w:val="4728744A"/>
    <w:rsid w:val="472D0E6E"/>
    <w:rsid w:val="47600B97"/>
    <w:rsid w:val="47E825BD"/>
    <w:rsid w:val="4822304E"/>
    <w:rsid w:val="48305D6A"/>
    <w:rsid w:val="485C5346"/>
    <w:rsid w:val="487A7539"/>
    <w:rsid w:val="48B86646"/>
    <w:rsid w:val="48F1626A"/>
    <w:rsid w:val="49464196"/>
    <w:rsid w:val="4956101F"/>
    <w:rsid w:val="49B1462A"/>
    <w:rsid w:val="49C33A2C"/>
    <w:rsid w:val="49EF7603"/>
    <w:rsid w:val="4A116731"/>
    <w:rsid w:val="4A1A1DFC"/>
    <w:rsid w:val="4A3569F0"/>
    <w:rsid w:val="4A405556"/>
    <w:rsid w:val="4A562AA1"/>
    <w:rsid w:val="4ADF12C5"/>
    <w:rsid w:val="4AE95BDF"/>
    <w:rsid w:val="4B40470F"/>
    <w:rsid w:val="4B76529D"/>
    <w:rsid w:val="4B801535"/>
    <w:rsid w:val="4B9A5FDF"/>
    <w:rsid w:val="4BA658E5"/>
    <w:rsid w:val="4BE609FF"/>
    <w:rsid w:val="4BE90A10"/>
    <w:rsid w:val="4C5D4DA8"/>
    <w:rsid w:val="4C607172"/>
    <w:rsid w:val="4C8E043C"/>
    <w:rsid w:val="4C9406B6"/>
    <w:rsid w:val="4CD4672E"/>
    <w:rsid w:val="4CDD3B89"/>
    <w:rsid w:val="4CE01424"/>
    <w:rsid w:val="4CEE1F3B"/>
    <w:rsid w:val="4D86614A"/>
    <w:rsid w:val="4DC74954"/>
    <w:rsid w:val="4E02527D"/>
    <w:rsid w:val="4E1A311A"/>
    <w:rsid w:val="4E6001BF"/>
    <w:rsid w:val="4EDC73A8"/>
    <w:rsid w:val="4EE00D38"/>
    <w:rsid w:val="4F663928"/>
    <w:rsid w:val="500573E0"/>
    <w:rsid w:val="50657706"/>
    <w:rsid w:val="510D6EAD"/>
    <w:rsid w:val="511C100A"/>
    <w:rsid w:val="512F4F70"/>
    <w:rsid w:val="51796485"/>
    <w:rsid w:val="517E6BA8"/>
    <w:rsid w:val="51EB59D4"/>
    <w:rsid w:val="51F2352F"/>
    <w:rsid w:val="526D560A"/>
    <w:rsid w:val="52A445E3"/>
    <w:rsid w:val="53342C21"/>
    <w:rsid w:val="54291068"/>
    <w:rsid w:val="54431582"/>
    <w:rsid w:val="54517C2D"/>
    <w:rsid w:val="549D6CE0"/>
    <w:rsid w:val="55523124"/>
    <w:rsid w:val="55B56DD4"/>
    <w:rsid w:val="561C7D6D"/>
    <w:rsid w:val="56277836"/>
    <w:rsid w:val="56623C34"/>
    <w:rsid w:val="5665247F"/>
    <w:rsid w:val="567162E8"/>
    <w:rsid w:val="577C1F14"/>
    <w:rsid w:val="57EC50A5"/>
    <w:rsid w:val="582174D0"/>
    <w:rsid w:val="589A753D"/>
    <w:rsid w:val="59486108"/>
    <w:rsid w:val="59793A27"/>
    <w:rsid w:val="59E5364D"/>
    <w:rsid w:val="59F50170"/>
    <w:rsid w:val="59FE3B49"/>
    <w:rsid w:val="5AD170D1"/>
    <w:rsid w:val="5B4007E5"/>
    <w:rsid w:val="5BF960FD"/>
    <w:rsid w:val="5C475DFA"/>
    <w:rsid w:val="5C970541"/>
    <w:rsid w:val="5CC145AF"/>
    <w:rsid w:val="5E023823"/>
    <w:rsid w:val="5E7713BF"/>
    <w:rsid w:val="5EB85538"/>
    <w:rsid w:val="5EF56663"/>
    <w:rsid w:val="5F01496B"/>
    <w:rsid w:val="5F1B5168"/>
    <w:rsid w:val="5F390219"/>
    <w:rsid w:val="5F8069E9"/>
    <w:rsid w:val="601E5515"/>
    <w:rsid w:val="60BA5CAA"/>
    <w:rsid w:val="61014D6E"/>
    <w:rsid w:val="610A4C29"/>
    <w:rsid w:val="61382E4A"/>
    <w:rsid w:val="614B6F99"/>
    <w:rsid w:val="61861433"/>
    <w:rsid w:val="628276AE"/>
    <w:rsid w:val="62DA466F"/>
    <w:rsid w:val="62ED3E82"/>
    <w:rsid w:val="63387019"/>
    <w:rsid w:val="63A16363"/>
    <w:rsid w:val="63FC3319"/>
    <w:rsid w:val="64087777"/>
    <w:rsid w:val="645B059C"/>
    <w:rsid w:val="647C30F8"/>
    <w:rsid w:val="65175D24"/>
    <w:rsid w:val="65266DBB"/>
    <w:rsid w:val="654A0A85"/>
    <w:rsid w:val="655E125A"/>
    <w:rsid w:val="65C839BB"/>
    <w:rsid w:val="66445940"/>
    <w:rsid w:val="66502FA5"/>
    <w:rsid w:val="66E43CD7"/>
    <w:rsid w:val="67147F27"/>
    <w:rsid w:val="67D625DD"/>
    <w:rsid w:val="67FB4104"/>
    <w:rsid w:val="68953223"/>
    <w:rsid w:val="68A610FA"/>
    <w:rsid w:val="68F128CA"/>
    <w:rsid w:val="691F1F41"/>
    <w:rsid w:val="692D50B5"/>
    <w:rsid w:val="6A162EE5"/>
    <w:rsid w:val="6A522843"/>
    <w:rsid w:val="6A8C3AF9"/>
    <w:rsid w:val="6AD44F0D"/>
    <w:rsid w:val="6AEB6A80"/>
    <w:rsid w:val="6B28611E"/>
    <w:rsid w:val="6B3A523B"/>
    <w:rsid w:val="6B47171A"/>
    <w:rsid w:val="6B6950AC"/>
    <w:rsid w:val="6B6D5A67"/>
    <w:rsid w:val="6B702396"/>
    <w:rsid w:val="6C023599"/>
    <w:rsid w:val="6C810237"/>
    <w:rsid w:val="6D1400E1"/>
    <w:rsid w:val="6D303202"/>
    <w:rsid w:val="6D391CE6"/>
    <w:rsid w:val="6D4B6A75"/>
    <w:rsid w:val="6D715D8C"/>
    <w:rsid w:val="6D76491D"/>
    <w:rsid w:val="6DF87AF7"/>
    <w:rsid w:val="6E2018B7"/>
    <w:rsid w:val="6E880B6A"/>
    <w:rsid w:val="6EF206CE"/>
    <w:rsid w:val="6F361BDE"/>
    <w:rsid w:val="6F3E2FE0"/>
    <w:rsid w:val="6F782F06"/>
    <w:rsid w:val="6FB463E7"/>
    <w:rsid w:val="704931C9"/>
    <w:rsid w:val="70C569B7"/>
    <w:rsid w:val="70CF56AD"/>
    <w:rsid w:val="70FF224D"/>
    <w:rsid w:val="717D396E"/>
    <w:rsid w:val="718F545E"/>
    <w:rsid w:val="719B7235"/>
    <w:rsid w:val="71F73D0B"/>
    <w:rsid w:val="72420C82"/>
    <w:rsid w:val="7258673E"/>
    <w:rsid w:val="725F4B6C"/>
    <w:rsid w:val="72910FDF"/>
    <w:rsid w:val="72EE4F95"/>
    <w:rsid w:val="73080AA7"/>
    <w:rsid w:val="731713C0"/>
    <w:rsid w:val="733D03DA"/>
    <w:rsid w:val="739967C5"/>
    <w:rsid w:val="73BA632F"/>
    <w:rsid w:val="73C7204F"/>
    <w:rsid w:val="73F53418"/>
    <w:rsid w:val="73FE329E"/>
    <w:rsid w:val="74513E3B"/>
    <w:rsid w:val="74B308F0"/>
    <w:rsid w:val="75C05ECC"/>
    <w:rsid w:val="760469D6"/>
    <w:rsid w:val="766D528A"/>
    <w:rsid w:val="76B933FA"/>
    <w:rsid w:val="76B97CFB"/>
    <w:rsid w:val="76DA3962"/>
    <w:rsid w:val="770A1720"/>
    <w:rsid w:val="77904AF1"/>
    <w:rsid w:val="786F1D92"/>
    <w:rsid w:val="78A44E9D"/>
    <w:rsid w:val="78C15E7C"/>
    <w:rsid w:val="78C35459"/>
    <w:rsid w:val="79117828"/>
    <w:rsid w:val="79271F37"/>
    <w:rsid w:val="792C78C8"/>
    <w:rsid w:val="79396420"/>
    <w:rsid w:val="79D626C7"/>
    <w:rsid w:val="7AAE7739"/>
    <w:rsid w:val="7AC82F6D"/>
    <w:rsid w:val="7B195958"/>
    <w:rsid w:val="7B1A49E0"/>
    <w:rsid w:val="7B1C0DAF"/>
    <w:rsid w:val="7B9250F0"/>
    <w:rsid w:val="7C207294"/>
    <w:rsid w:val="7C5635A2"/>
    <w:rsid w:val="7CD1556F"/>
    <w:rsid w:val="7D3F0354"/>
    <w:rsid w:val="7D6E535A"/>
    <w:rsid w:val="7DEF55AF"/>
    <w:rsid w:val="7E365C20"/>
    <w:rsid w:val="7E982896"/>
    <w:rsid w:val="7F4C1069"/>
    <w:rsid w:val="7F5D0496"/>
    <w:rsid w:val="7F94743C"/>
    <w:rsid w:val="7FB43E9E"/>
    <w:rsid w:val="EF8FE6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rules v:ext="edit">
        <o:r id="V:Rule1" type="connector" idref="#自选图形 257"/>
        <o:r id="V:Rule2" type="connector" idref="#自选图形 258"/>
        <o:r id="V:Rule3" type="connector" idref="#自选图形 258"/>
        <o:r id="V:Rule4" type="connector" idref="#自选图形 258"/>
        <o:r id="V:Rule5" type="connector" idref="#_x0000_s2076"/>
        <o:r id="V:Rule6" type="connector" idref="#_x0000_s2077"/>
        <o:r id="V:Rule7" type="connector" idref="#_x0000_s207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qFormat="1" w:unhideWhenUsed="0" w:uiPriority="0" w:name="macro"/>
    <w:lsdException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22" w:firstLineChars="200"/>
      <w:jc w:val="both"/>
    </w:pPr>
    <w:rPr>
      <w:rFonts w:ascii="Calibri" w:hAnsi="Calibri" w:eastAsia="宋体" w:cs="Times New Roman"/>
      <w:kern w:val="2"/>
      <w:sz w:val="24"/>
      <w:szCs w:val="21"/>
      <w:lang w:val="en-US" w:eastAsia="zh-CN" w:bidi="ar-SA"/>
    </w:rPr>
  </w:style>
  <w:style w:type="paragraph" w:styleId="4">
    <w:name w:val="heading 1"/>
    <w:basedOn w:val="1"/>
    <w:next w:val="1"/>
    <w:qFormat/>
    <w:uiPriority w:val="0"/>
    <w:pPr>
      <w:pageBreakBefore/>
      <w:ind w:firstLine="0" w:firstLineChars="0"/>
      <w:jc w:val="left"/>
      <w:outlineLvl w:val="0"/>
    </w:pPr>
    <w:rPr>
      <w:rFonts w:ascii="Times New Roman" w:hAnsi="Times New Roman"/>
      <w:b/>
      <w:bCs/>
      <w:sz w:val="32"/>
    </w:rPr>
  </w:style>
  <w:style w:type="paragraph" w:styleId="5">
    <w:name w:val="heading 2"/>
    <w:basedOn w:val="1"/>
    <w:next w:val="1"/>
    <w:link w:val="263"/>
    <w:qFormat/>
    <w:uiPriority w:val="0"/>
    <w:pPr>
      <w:keepNext/>
      <w:keepLines/>
      <w:snapToGrid w:val="0"/>
      <w:spacing w:line="240" w:lineRule="auto"/>
      <w:ind w:firstLine="0" w:firstLineChars="0"/>
      <w:jc w:val="left"/>
      <w:outlineLvl w:val="1"/>
    </w:pPr>
    <w:rPr>
      <w:rFonts w:ascii="Times New Roman" w:hAnsi="Times New Roman"/>
      <w:b/>
      <w:bCs/>
      <w:sz w:val="28"/>
      <w:szCs w:val="32"/>
    </w:rPr>
  </w:style>
  <w:style w:type="paragraph" w:styleId="6">
    <w:name w:val="heading 3"/>
    <w:basedOn w:val="1"/>
    <w:next w:val="1"/>
    <w:link w:val="331"/>
    <w:qFormat/>
    <w:uiPriority w:val="0"/>
    <w:pPr>
      <w:keepNext/>
      <w:keepLines/>
      <w:ind w:firstLine="0" w:firstLineChars="0"/>
      <w:jc w:val="left"/>
      <w:outlineLvl w:val="2"/>
    </w:pPr>
    <w:rPr>
      <w:rFonts w:ascii="Times New Roman" w:hAnsi="Times New Roman"/>
      <w:b/>
      <w:bCs/>
      <w:szCs w:val="32"/>
    </w:rPr>
  </w:style>
  <w:style w:type="paragraph" w:styleId="7">
    <w:name w:val="heading 4"/>
    <w:basedOn w:val="1"/>
    <w:next w:val="1"/>
    <w:link w:val="262"/>
    <w:qFormat/>
    <w:uiPriority w:val="0"/>
    <w:pPr>
      <w:keepNext/>
      <w:keepLines/>
      <w:tabs>
        <w:tab w:val="left" w:pos="4830"/>
      </w:tabs>
      <w:ind w:firstLine="0" w:firstLineChars="0"/>
      <w:jc w:val="left"/>
      <w:outlineLvl w:val="3"/>
    </w:pPr>
    <w:rPr>
      <w:rFonts w:ascii="Times New Roman" w:hAnsi="Times New Roman"/>
      <w:szCs w:val="28"/>
    </w:rPr>
  </w:style>
  <w:style w:type="paragraph" w:styleId="8">
    <w:name w:val="heading 5"/>
    <w:basedOn w:val="1"/>
    <w:next w:val="1"/>
    <w:qFormat/>
    <w:uiPriority w:val="0"/>
    <w:pPr>
      <w:keepNext/>
      <w:keepLines/>
      <w:spacing w:before="280" w:after="290" w:line="376" w:lineRule="auto"/>
      <w:outlineLvl w:val="4"/>
    </w:pPr>
    <w:rPr>
      <w:b/>
      <w:bCs/>
      <w:sz w:val="28"/>
      <w:szCs w:val="28"/>
    </w:rPr>
  </w:style>
  <w:style w:type="paragraph" w:styleId="9">
    <w:name w:val="heading 6"/>
    <w:basedOn w:val="1"/>
    <w:next w:val="1"/>
    <w:qFormat/>
    <w:uiPriority w:val="0"/>
    <w:pPr>
      <w:keepNext/>
      <w:keepLines/>
      <w:spacing w:before="240" w:after="64" w:line="320" w:lineRule="auto"/>
      <w:outlineLvl w:val="5"/>
    </w:pPr>
    <w:rPr>
      <w:rFonts w:ascii="Arial" w:hAnsi="Arial" w:eastAsia="黑体"/>
      <w:b/>
      <w:bCs/>
    </w:rPr>
  </w:style>
  <w:style w:type="paragraph" w:styleId="10">
    <w:name w:val="heading 7"/>
    <w:basedOn w:val="1"/>
    <w:next w:val="1"/>
    <w:qFormat/>
    <w:uiPriority w:val="0"/>
    <w:pPr>
      <w:keepNext/>
      <w:keepLines/>
      <w:spacing w:before="240" w:after="64" w:line="316" w:lineRule="auto"/>
      <w:outlineLvl w:val="6"/>
    </w:pPr>
    <w:rPr>
      <w:b/>
      <w:bCs/>
    </w:rPr>
  </w:style>
  <w:style w:type="paragraph" w:styleId="11">
    <w:name w:val="heading 8"/>
    <w:basedOn w:val="1"/>
    <w:next w:val="1"/>
    <w:qFormat/>
    <w:uiPriority w:val="0"/>
    <w:pPr>
      <w:keepNext/>
      <w:keepLines/>
      <w:spacing w:before="240" w:after="64" w:line="316" w:lineRule="auto"/>
      <w:outlineLvl w:val="7"/>
    </w:pPr>
    <w:rPr>
      <w:rFonts w:ascii="Arial" w:hAnsi="Arial" w:eastAsia="黑体"/>
    </w:rPr>
  </w:style>
  <w:style w:type="paragraph" w:styleId="12">
    <w:name w:val="heading 9"/>
    <w:basedOn w:val="1"/>
    <w:next w:val="1"/>
    <w:qFormat/>
    <w:uiPriority w:val="0"/>
    <w:pPr>
      <w:keepNext/>
      <w:keepLines/>
      <w:spacing w:before="240" w:after="64" w:line="316" w:lineRule="auto"/>
      <w:outlineLvl w:val="8"/>
    </w:pPr>
    <w:rPr>
      <w:rFonts w:ascii="Arial" w:hAnsi="Arial" w:eastAsia="黑体"/>
    </w:rPr>
  </w:style>
  <w:style w:type="character" w:default="1" w:styleId="51">
    <w:name w:val="Default Paragraph Font"/>
    <w:semiHidden/>
    <w:unhideWhenUsed/>
    <w:qFormat/>
    <w:uiPriority w:val="1"/>
  </w:style>
  <w:style w:type="table" w:default="1" w:styleId="48">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styleId="3">
    <w:name w:val="macro"/>
    <w:semiHidden/>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Courier New"/>
      <w:kern w:val="2"/>
      <w:sz w:val="24"/>
      <w:szCs w:val="24"/>
      <w:lang w:val="en-US" w:eastAsia="zh-CN" w:bidi="ar-SA"/>
    </w:rPr>
  </w:style>
  <w:style w:type="paragraph" w:styleId="13">
    <w:name w:val="toc 7"/>
    <w:basedOn w:val="1"/>
    <w:next w:val="1"/>
    <w:qFormat/>
    <w:uiPriority w:val="39"/>
    <w:pPr>
      <w:ind w:left="1260"/>
      <w:jc w:val="left"/>
    </w:pPr>
    <w:rPr>
      <w:sz w:val="18"/>
      <w:szCs w:val="18"/>
    </w:rPr>
  </w:style>
  <w:style w:type="paragraph" w:styleId="14">
    <w:name w:val="Note Heading"/>
    <w:basedOn w:val="1"/>
    <w:next w:val="1"/>
    <w:qFormat/>
    <w:uiPriority w:val="0"/>
    <w:pPr>
      <w:jc w:val="center"/>
    </w:pPr>
    <w:rPr>
      <w:rFonts w:ascii="宋体"/>
      <w:szCs w:val="20"/>
    </w:rPr>
  </w:style>
  <w:style w:type="paragraph" w:styleId="15">
    <w:name w:val="List Number"/>
    <w:basedOn w:val="1"/>
    <w:qFormat/>
    <w:uiPriority w:val="0"/>
    <w:pPr>
      <w:tabs>
        <w:tab w:val="left" w:pos="360"/>
      </w:tabs>
      <w:ind w:left="59" w:firstLine="454"/>
    </w:pPr>
  </w:style>
  <w:style w:type="paragraph" w:styleId="16">
    <w:name w:val="Normal Indent"/>
    <w:basedOn w:val="1"/>
    <w:link w:val="333"/>
    <w:qFormat/>
    <w:uiPriority w:val="0"/>
    <w:pPr>
      <w:ind w:firstLine="560"/>
    </w:pPr>
    <w:rPr>
      <w:rFonts w:ascii="仿宋_GB2312" w:eastAsia="仿宋_GB2312"/>
      <w:sz w:val="28"/>
    </w:rPr>
  </w:style>
  <w:style w:type="paragraph" w:styleId="17">
    <w:name w:val="caption"/>
    <w:basedOn w:val="1"/>
    <w:next w:val="1"/>
    <w:link w:val="321"/>
    <w:qFormat/>
    <w:uiPriority w:val="0"/>
    <w:pPr>
      <w:ind w:firstLine="200"/>
    </w:pPr>
    <w:rPr>
      <w:rFonts w:ascii="Cambria" w:hAnsi="Cambria" w:eastAsia="黑体"/>
      <w:sz w:val="20"/>
      <w:szCs w:val="20"/>
    </w:rPr>
  </w:style>
  <w:style w:type="paragraph" w:styleId="18">
    <w:name w:val="Document Map"/>
    <w:basedOn w:val="1"/>
    <w:link w:val="251"/>
    <w:semiHidden/>
    <w:qFormat/>
    <w:uiPriority w:val="0"/>
    <w:pPr>
      <w:shd w:val="clear" w:color="auto" w:fill="000080"/>
    </w:pPr>
  </w:style>
  <w:style w:type="paragraph" w:styleId="19">
    <w:name w:val="annotation text"/>
    <w:basedOn w:val="1"/>
    <w:link w:val="269"/>
    <w:semiHidden/>
    <w:qFormat/>
    <w:uiPriority w:val="0"/>
    <w:pPr>
      <w:jc w:val="left"/>
    </w:pPr>
  </w:style>
  <w:style w:type="paragraph" w:styleId="20">
    <w:name w:val="Body Text 3"/>
    <w:basedOn w:val="1"/>
    <w:qFormat/>
    <w:uiPriority w:val="0"/>
    <w:pPr>
      <w:spacing w:after="120"/>
    </w:pPr>
    <w:rPr>
      <w:sz w:val="16"/>
      <w:szCs w:val="16"/>
    </w:rPr>
  </w:style>
  <w:style w:type="paragraph" w:styleId="21">
    <w:name w:val="Body Text"/>
    <w:basedOn w:val="1"/>
    <w:link w:val="332"/>
    <w:qFormat/>
    <w:uiPriority w:val="0"/>
    <w:pPr>
      <w:widowControl/>
      <w:spacing w:before="100" w:beforeAutospacing="1" w:after="100" w:afterAutospacing="1" w:line="384" w:lineRule="auto"/>
      <w:jc w:val="left"/>
    </w:pPr>
    <w:rPr>
      <w:rFonts w:ascii="宋体" w:hAnsi="宋体"/>
      <w:color w:val="000000"/>
      <w:kern w:val="0"/>
      <w:szCs w:val="22"/>
    </w:rPr>
  </w:style>
  <w:style w:type="paragraph" w:styleId="22">
    <w:name w:val="Body Text Indent"/>
    <w:basedOn w:val="1"/>
    <w:qFormat/>
    <w:uiPriority w:val="0"/>
    <w:pPr>
      <w:spacing w:after="120"/>
      <w:ind w:left="420" w:leftChars="200"/>
    </w:pPr>
  </w:style>
  <w:style w:type="paragraph" w:styleId="23">
    <w:name w:val="toc 5"/>
    <w:basedOn w:val="1"/>
    <w:next w:val="1"/>
    <w:qFormat/>
    <w:uiPriority w:val="39"/>
    <w:pPr>
      <w:ind w:left="840"/>
      <w:jc w:val="left"/>
    </w:pPr>
    <w:rPr>
      <w:sz w:val="18"/>
      <w:szCs w:val="18"/>
    </w:rPr>
  </w:style>
  <w:style w:type="paragraph" w:styleId="24">
    <w:name w:val="toc 3"/>
    <w:basedOn w:val="1"/>
    <w:next w:val="1"/>
    <w:qFormat/>
    <w:uiPriority w:val="39"/>
    <w:pPr>
      <w:ind w:left="420"/>
      <w:jc w:val="left"/>
    </w:pPr>
    <w:rPr>
      <w:iCs/>
      <w:szCs w:val="20"/>
    </w:rPr>
  </w:style>
  <w:style w:type="paragraph" w:styleId="25">
    <w:name w:val="Plain Text"/>
    <w:basedOn w:val="1"/>
    <w:link w:val="308"/>
    <w:qFormat/>
    <w:uiPriority w:val="0"/>
    <w:rPr>
      <w:rFonts w:ascii="宋体" w:hAnsi="Courier New"/>
      <w:szCs w:val="20"/>
    </w:rPr>
  </w:style>
  <w:style w:type="paragraph" w:styleId="26">
    <w:name w:val="toc 8"/>
    <w:basedOn w:val="1"/>
    <w:next w:val="1"/>
    <w:qFormat/>
    <w:uiPriority w:val="39"/>
    <w:pPr>
      <w:ind w:left="1470"/>
      <w:jc w:val="left"/>
    </w:pPr>
    <w:rPr>
      <w:sz w:val="18"/>
      <w:szCs w:val="18"/>
    </w:rPr>
  </w:style>
  <w:style w:type="paragraph" w:styleId="27">
    <w:name w:val="Date"/>
    <w:basedOn w:val="1"/>
    <w:next w:val="1"/>
    <w:qFormat/>
    <w:uiPriority w:val="0"/>
    <w:pPr>
      <w:ind w:left="100" w:leftChars="2500"/>
    </w:pPr>
  </w:style>
  <w:style w:type="paragraph" w:styleId="28">
    <w:name w:val="Body Text Indent 2"/>
    <w:basedOn w:val="1"/>
    <w:qFormat/>
    <w:uiPriority w:val="0"/>
    <w:pPr>
      <w:spacing w:after="120" w:line="480" w:lineRule="auto"/>
      <w:ind w:left="420" w:leftChars="200"/>
    </w:pPr>
  </w:style>
  <w:style w:type="paragraph" w:styleId="29">
    <w:name w:val="Balloon Text"/>
    <w:basedOn w:val="1"/>
    <w:link w:val="288"/>
    <w:semiHidden/>
    <w:qFormat/>
    <w:uiPriority w:val="0"/>
    <w:rPr>
      <w:sz w:val="18"/>
      <w:szCs w:val="18"/>
    </w:rPr>
  </w:style>
  <w:style w:type="paragraph" w:styleId="30">
    <w:name w:val="footer"/>
    <w:basedOn w:val="1"/>
    <w:link w:val="271"/>
    <w:qFormat/>
    <w:uiPriority w:val="0"/>
    <w:pPr>
      <w:tabs>
        <w:tab w:val="center" w:pos="4153"/>
        <w:tab w:val="right" w:pos="8306"/>
      </w:tabs>
      <w:snapToGrid w:val="0"/>
      <w:jc w:val="left"/>
    </w:pPr>
    <w:rPr>
      <w:sz w:val="18"/>
      <w:szCs w:val="18"/>
    </w:rPr>
  </w:style>
  <w:style w:type="paragraph" w:styleId="31">
    <w:name w:val="header"/>
    <w:basedOn w:val="1"/>
    <w:link w:val="260"/>
    <w:qFormat/>
    <w:uiPriority w:val="0"/>
    <w:pPr>
      <w:pBdr>
        <w:bottom w:val="single" w:color="auto" w:sz="6" w:space="1"/>
      </w:pBdr>
      <w:tabs>
        <w:tab w:val="center" w:pos="4153"/>
        <w:tab w:val="right" w:pos="8306"/>
      </w:tabs>
      <w:snapToGrid w:val="0"/>
      <w:jc w:val="center"/>
    </w:pPr>
    <w:rPr>
      <w:sz w:val="18"/>
      <w:szCs w:val="18"/>
    </w:rPr>
  </w:style>
  <w:style w:type="paragraph" w:styleId="32">
    <w:name w:val="toc 1"/>
    <w:basedOn w:val="1"/>
    <w:next w:val="1"/>
    <w:qFormat/>
    <w:uiPriority w:val="39"/>
    <w:pPr>
      <w:jc w:val="left"/>
    </w:pPr>
    <w:rPr>
      <w:rFonts w:ascii="Times New Roman" w:hAnsi="Times New Roman"/>
      <w:b/>
      <w:bCs/>
      <w:caps/>
      <w:sz w:val="28"/>
      <w:szCs w:val="32"/>
    </w:rPr>
  </w:style>
  <w:style w:type="paragraph" w:styleId="33">
    <w:name w:val="toc 4"/>
    <w:basedOn w:val="1"/>
    <w:next w:val="1"/>
    <w:qFormat/>
    <w:uiPriority w:val="39"/>
    <w:pPr>
      <w:ind w:left="630"/>
      <w:jc w:val="left"/>
    </w:pPr>
    <w:rPr>
      <w:sz w:val="18"/>
      <w:szCs w:val="18"/>
    </w:rPr>
  </w:style>
  <w:style w:type="paragraph" w:styleId="34">
    <w:name w:val="index heading"/>
    <w:basedOn w:val="1"/>
    <w:next w:val="35"/>
    <w:semiHidden/>
    <w:qFormat/>
    <w:uiPriority w:val="0"/>
  </w:style>
  <w:style w:type="paragraph" w:styleId="35">
    <w:name w:val="index 1"/>
    <w:basedOn w:val="1"/>
    <w:next w:val="1"/>
    <w:semiHidden/>
    <w:qFormat/>
    <w:uiPriority w:val="0"/>
  </w:style>
  <w:style w:type="paragraph" w:styleId="36">
    <w:name w:val="List"/>
    <w:basedOn w:val="1"/>
    <w:qFormat/>
    <w:uiPriority w:val="0"/>
    <w:pPr>
      <w:ind w:left="200" w:hanging="200" w:hangingChars="200"/>
    </w:pPr>
  </w:style>
  <w:style w:type="paragraph" w:styleId="37">
    <w:name w:val="toc 6"/>
    <w:basedOn w:val="1"/>
    <w:next w:val="1"/>
    <w:qFormat/>
    <w:uiPriority w:val="39"/>
    <w:pPr>
      <w:ind w:left="1050"/>
      <w:jc w:val="left"/>
    </w:pPr>
    <w:rPr>
      <w:sz w:val="18"/>
      <w:szCs w:val="18"/>
    </w:rPr>
  </w:style>
  <w:style w:type="paragraph" w:styleId="38">
    <w:name w:val="Body Text Indent 3"/>
    <w:basedOn w:val="1"/>
    <w:qFormat/>
    <w:uiPriority w:val="0"/>
    <w:pPr>
      <w:spacing w:after="120"/>
      <w:ind w:left="420" w:leftChars="200"/>
    </w:pPr>
    <w:rPr>
      <w:sz w:val="16"/>
      <w:szCs w:val="16"/>
    </w:rPr>
  </w:style>
  <w:style w:type="paragraph" w:styleId="39">
    <w:name w:val="toc 2"/>
    <w:basedOn w:val="1"/>
    <w:next w:val="1"/>
    <w:qFormat/>
    <w:uiPriority w:val="39"/>
    <w:pPr>
      <w:ind w:left="210"/>
      <w:jc w:val="left"/>
    </w:pPr>
    <w:rPr>
      <w:smallCaps/>
      <w:szCs w:val="20"/>
    </w:rPr>
  </w:style>
  <w:style w:type="paragraph" w:styleId="40">
    <w:name w:val="toc 9"/>
    <w:basedOn w:val="1"/>
    <w:next w:val="1"/>
    <w:qFormat/>
    <w:uiPriority w:val="39"/>
    <w:pPr>
      <w:ind w:left="1680"/>
      <w:jc w:val="left"/>
    </w:pPr>
    <w:rPr>
      <w:sz w:val="18"/>
      <w:szCs w:val="18"/>
    </w:rPr>
  </w:style>
  <w:style w:type="paragraph" w:styleId="41">
    <w:name w:val="Body Text 2"/>
    <w:basedOn w:val="1"/>
    <w:qFormat/>
    <w:uiPriority w:val="0"/>
    <w:pPr>
      <w:spacing w:after="120" w:line="480" w:lineRule="auto"/>
    </w:pPr>
  </w:style>
  <w:style w:type="paragraph" w:styleId="42">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rPr>
  </w:style>
  <w:style w:type="paragraph" w:styleId="43">
    <w:name w:val="Normal (Web)"/>
    <w:basedOn w:val="1"/>
    <w:link w:val="254"/>
    <w:qFormat/>
    <w:uiPriority w:val="0"/>
    <w:pPr>
      <w:widowControl/>
      <w:spacing w:before="100" w:beforeAutospacing="1" w:after="100" w:afterAutospacing="1"/>
      <w:jc w:val="left"/>
    </w:pPr>
    <w:rPr>
      <w:rFonts w:ascii="宋体" w:hAnsi="宋体" w:eastAsia="仿宋"/>
      <w:kern w:val="0"/>
      <w:szCs w:val="20"/>
    </w:rPr>
  </w:style>
  <w:style w:type="paragraph" w:styleId="44">
    <w:name w:val="Title"/>
    <w:basedOn w:val="1"/>
    <w:next w:val="1"/>
    <w:qFormat/>
    <w:uiPriority w:val="0"/>
    <w:pPr>
      <w:spacing w:before="240" w:after="60"/>
      <w:jc w:val="center"/>
      <w:outlineLvl w:val="0"/>
    </w:pPr>
    <w:rPr>
      <w:rFonts w:ascii="Cambria" w:hAnsi="Cambria"/>
      <w:b/>
      <w:bCs/>
      <w:sz w:val="32"/>
      <w:szCs w:val="32"/>
    </w:rPr>
  </w:style>
  <w:style w:type="paragraph" w:styleId="45">
    <w:name w:val="annotation subject"/>
    <w:basedOn w:val="19"/>
    <w:next w:val="19"/>
    <w:link w:val="327"/>
    <w:semiHidden/>
    <w:qFormat/>
    <w:uiPriority w:val="0"/>
    <w:pPr>
      <w:ind w:firstLine="200"/>
    </w:pPr>
    <w:rPr>
      <w:b/>
      <w:bCs/>
      <w:sz w:val="28"/>
      <w:szCs w:val="22"/>
    </w:rPr>
  </w:style>
  <w:style w:type="paragraph" w:styleId="46">
    <w:name w:val="Body Text First Indent"/>
    <w:basedOn w:val="1"/>
    <w:qFormat/>
    <w:uiPriority w:val="0"/>
    <w:pPr>
      <w:ind w:firstLine="420" w:firstLineChars="100"/>
    </w:pPr>
  </w:style>
  <w:style w:type="paragraph" w:styleId="47">
    <w:name w:val="Body Text First Indent 2"/>
    <w:basedOn w:val="1"/>
    <w:next w:val="1"/>
    <w:qFormat/>
    <w:uiPriority w:val="0"/>
    <w:pPr>
      <w:ind w:firstLine="420"/>
    </w:pPr>
  </w:style>
  <w:style w:type="table" w:styleId="49">
    <w:name w:val="Table Grid"/>
    <w:basedOn w:val="4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0">
    <w:name w:val="Table Professional"/>
    <w:basedOn w:val="48"/>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52">
    <w:name w:val="Strong"/>
    <w:qFormat/>
    <w:uiPriority w:val="0"/>
    <w:rPr>
      <w:b/>
      <w:bCs/>
    </w:rPr>
  </w:style>
  <w:style w:type="character" w:styleId="53">
    <w:name w:val="page number"/>
    <w:basedOn w:val="51"/>
    <w:qFormat/>
    <w:uiPriority w:val="0"/>
  </w:style>
  <w:style w:type="character" w:styleId="54">
    <w:name w:val="FollowedHyperlink"/>
    <w:qFormat/>
    <w:uiPriority w:val="0"/>
    <w:rPr>
      <w:color w:val="333333"/>
      <w:u w:val="none"/>
    </w:rPr>
  </w:style>
  <w:style w:type="character" w:styleId="55">
    <w:name w:val="Emphasis"/>
    <w:qFormat/>
    <w:uiPriority w:val="0"/>
    <w:rPr>
      <w:i/>
      <w:iCs/>
    </w:rPr>
  </w:style>
  <w:style w:type="character" w:styleId="56">
    <w:name w:val="Hyperlink"/>
    <w:qFormat/>
    <w:uiPriority w:val="99"/>
    <w:rPr>
      <w:color w:val="333333"/>
      <w:u w:val="none"/>
    </w:rPr>
  </w:style>
  <w:style w:type="character" w:styleId="57">
    <w:name w:val="annotation reference"/>
    <w:semiHidden/>
    <w:qFormat/>
    <w:uiPriority w:val="0"/>
    <w:rPr>
      <w:sz w:val="21"/>
      <w:szCs w:val="21"/>
    </w:rPr>
  </w:style>
  <w:style w:type="paragraph" w:customStyle="1" w:styleId="58">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customStyle="1" w:styleId="59">
    <w:name w:val="标题4"/>
    <w:basedOn w:val="1"/>
    <w:qFormat/>
    <w:uiPriority w:val="0"/>
    <w:pPr>
      <w:tabs>
        <w:tab w:val="left" w:pos="4830"/>
      </w:tabs>
      <w:ind w:firstLine="360" w:firstLineChars="150"/>
      <w:jc w:val="center"/>
    </w:pPr>
    <w:rPr>
      <w:rFonts w:ascii="宋体" w:hAnsi="宋体"/>
      <w:b/>
      <w:bCs/>
      <w:kern w:val="0"/>
    </w:rPr>
  </w:style>
  <w:style w:type="paragraph" w:customStyle="1" w:styleId="60">
    <w:name w:val="样式1"/>
    <w:basedOn w:val="1"/>
    <w:qFormat/>
    <w:uiPriority w:val="0"/>
    <w:pPr>
      <w:tabs>
        <w:tab w:val="left" w:pos="1980"/>
        <w:tab w:val="left" w:pos="6840"/>
      </w:tabs>
      <w:adjustRightInd w:val="0"/>
      <w:spacing w:line="420" w:lineRule="exact"/>
      <w:jc w:val="center"/>
      <w:textAlignment w:val="center"/>
    </w:pPr>
    <w:rPr>
      <w:kern w:val="0"/>
      <w:szCs w:val="20"/>
    </w:rPr>
  </w:style>
  <w:style w:type="paragraph" w:customStyle="1" w:styleId="61">
    <w:name w:val="样式4"/>
    <w:basedOn w:val="1"/>
    <w:qFormat/>
    <w:uiPriority w:val="0"/>
    <w:pPr>
      <w:ind w:firstLine="480"/>
    </w:pPr>
  </w:style>
  <w:style w:type="paragraph" w:customStyle="1" w:styleId="62">
    <w:name w:val="字元 字元 Char Char Char Char Char Char Char Char Char Char Char Char"/>
    <w:basedOn w:val="1"/>
    <w:qFormat/>
    <w:uiPriority w:val="0"/>
    <w:pPr>
      <w:adjustRightInd w:val="0"/>
    </w:pPr>
    <w:rPr>
      <w:kern w:val="0"/>
      <w:szCs w:val="20"/>
    </w:rPr>
  </w:style>
  <w:style w:type="paragraph" w:customStyle="1" w:styleId="63">
    <w:name w:val="列出段落1"/>
    <w:basedOn w:val="1"/>
    <w:qFormat/>
    <w:uiPriority w:val="0"/>
    <w:pPr>
      <w:ind w:firstLine="420"/>
    </w:pPr>
    <w:rPr>
      <w:sz w:val="28"/>
      <w:szCs w:val="22"/>
    </w:rPr>
  </w:style>
  <w:style w:type="paragraph" w:customStyle="1" w:styleId="64">
    <w:name w:val="标题3"/>
    <w:basedOn w:val="6"/>
    <w:next w:val="1"/>
    <w:qFormat/>
    <w:uiPriority w:val="0"/>
    <w:pPr>
      <w:spacing w:before="100" w:beforeAutospacing="1" w:after="100" w:afterAutospacing="1" w:line="240" w:lineRule="auto"/>
    </w:pPr>
    <w:rPr>
      <w:rFonts w:ascii="宋体" w:hAnsi="宋体" w:cs="Arial"/>
      <w:bCs w:val="0"/>
      <w:color w:val="000000"/>
      <w:kern w:val="0"/>
      <w:szCs w:val="28"/>
    </w:rPr>
  </w:style>
  <w:style w:type="paragraph" w:customStyle="1" w:styleId="65">
    <w:name w:val="表格正文"/>
    <w:basedOn w:val="1"/>
    <w:link w:val="324"/>
    <w:qFormat/>
    <w:uiPriority w:val="0"/>
    <w:pPr>
      <w:spacing w:line="360" w:lineRule="exact"/>
      <w:jc w:val="center"/>
    </w:pPr>
    <w:rPr>
      <w:rFonts w:ascii="Arial" w:hAnsi="Arial"/>
    </w:rPr>
  </w:style>
  <w:style w:type="paragraph" w:customStyle="1" w:styleId="66">
    <w:name w:val="p24"/>
    <w:basedOn w:val="1"/>
    <w:qFormat/>
    <w:uiPriority w:val="0"/>
    <w:pPr>
      <w:spacing w:line="440" w:lineRule="atLeast"/>
      <w:ind w:firstLine="420"/>
    </w:pPr>
  </w:style>
  <w:style w:type="paragraph" w:customStyle="1" w:styleId="67">
    <w:name w:val="陈光的正文"/>
    <w:basedOn w:val="1"/>
    <w:qFormat/>
    <w:uiPriority w:val="0"/>
    <w:pPr>
      <w:ind w:firstLine="567"/>
    </w:pPr>
    <w:rPr>
      <w:sz w:val="28"/>
      <w:szCs w:val="20"/>
    </w:rPr>
  </w:style>
  <w:style w:type="paragraph" w:customStyle="1" w:styleId="68">
    <w:name w:val="样式 小四 行距: 固定值 28 磅"/>
    <w:basedOn w:val="1"/>
    <w:qFormat/>
    <w:uiPriority w:val="0"/>
    <w:pPr>
      <w:spacing w:line="480" w:lineRule="exact"/>
      <w:ind w:firstLine="200"/>
    </w:pPr>
  </w:style>
  <w:style w:type="paragraph" w:customStyle="1" w:styleId="69">
    <w:name w:val="表中文字"/>
    <w:basedOn w:val="1"/>
    <w:qFormat/>
    <w:uiPriority w:val="0"/>
    <w:pPr>
      <w:snapToGrid w:val="0"/>
      <w:spacing w:line="360" w:lineRule="exact"/>
      <w:jc w:val="center"/>
    </w:pPr>
    <w:rPr>
      <w:rFonts w:eastAsia="仿宋_GB2312"/>
      <w:szCs w:val="18"/>
    </w:rPr>
  </w:style>
  <w:style w:type="paragraph" w:customStyle="1" w:styleId="70">
    <w:name w:val="xl24"/>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rPr>
  </w:style>
  <w:style w:type="paragraph" w:customStyle="1" w:styleId="71">
    <w:name w:val="Char Char Char Char"/>
    <w:basedOn w:val="1"/>
    <w:qFormat/>
    <w:uiPriority w:val="0"/>
  </w:style>
  <w:style w:type="paragraph" w:customStyle="1" w:styleId="72">
    <w:name w:val="纯文本1"/>
    <w:basedOn w:val="1"/>
    <w:qFormat/>
    <w:uiPriority w:val="0"/>
    <w:pPr>
      <w:adjustRightInd w:val="0"/>
      <w:textAlignment w:val="baseline"/>
    </w:pPr>
    <w:rPr>
      <w:rFonts w:ascii="宋体" w:hAnsi="Courier New"/>
      <w:szCs w:val="20"/>
    </w:rPr>
  </w:style>
  <w:style w:type="paragraph" w:customStyle="1" w:styleId="73">
    <w:name w:val="_Style 2"/>
    <w:basedOn w:val="1"/>
    <w:qFormat/>
    <w:uiPriority w:val="0"/>
    <w:pPr>
      <w:ind w:firstLine="420"/>
    </w:pPr>
  </w:style>
  <w:style w:type="paragraph" w:customStyle="1" w:styleId="74">
    <w:name w:val="Char Char Char1 Char Char Char Char"/>
    <w:basedOn w:val="1"/>
    <w:qFormat/>
    <w:uiPriority w:val="0"/>
  </w:style>
  <w:style w:type="paragraph" w:customStyle="1" w:styleId="75">
    <w:name w:val="char"/>
    <w:basedOn w:val="1"/>
    <w:qFormat/>
    <w:uiPriority w:val="0"/>
    <w:pPr>
      <w:widowControl/>
      <w:spacing w:after="160" w:line="240" w:lineRule="exact"/>
      <w:jc w:val="left"/>
    </w:pPr>
    <w:rPr>
      <w:rFonts w:ascii="Verdana" w:hAnsi="Verdana" w:eastAsia="仿宋_GB2312" w:cs="”“Times New Roman”“"/>
      <w:kern w:val="0"/>
      <w:szCs w:val="20"/>
      <w:lang w:eastAsia="en-US"/>
    </w:rPr>
  </w:style>
  <w:style w:type="paragraph" w:customStyle="1" w:styleId="76">
    <w:name w:val="样式 样式 小四 行距: 固定值 28 磅 + 首行缩进:  2 字符"/>
    <w:basedOn w:val="68"/>
    <w:qFormat/>
    <w:uiPriority w:val="0"/>
    <w:pPr>
      <w:spacing w:line="400" w:lineRule="exact"/>
    </w:pPr>
  </w:style>
  <w:style w:type="paragraph" w:customStyle="1" w:styleId="77">
    <w:name w:val="！正文"/>
    <w:basedOn w:val="1"/>
    <w:qFormat/>
    <w:uiPriority w:val="0"/>
    <w:pPr>
      <w:widowControl/>
      <w:ind w:firstLine="200"/>
    </w:pPr>
    <w:rPr>
      <w:lang w:eastAsia="en-US" w:bidi="en-US"/>
    </w:rPr>
  </w:style>
  <w:style w:type="paragraph" w:customStyle="1" w:styleId="78">
    <w:name w:val="表格文字 居中"/>
    <w:basedOn w:val="1"/>
    <w:qFormat/>
    <w:uiPriority w:val="0"/>
    <w:pPr>
      <w:spacing w:line="240" w:lineRule="auto"/>
      <w:ind w:firstLine="0" w:firstLineChars="0"/>
      <w:jc w:val="center"/>
    </w:pPr>
    <w:rPr>
      <w:rFonts w:cs="宋体"/>
      <w:sz w:val="21"/>
      <w:szCs w:val="20"/>
    </w:rPr>
  </w:style>
  <w:style w:type="paragraph" w:customStyle="1" w:styleId="79">
    <w:name w:val="Char1"/>
    <w:basedOn w:val="1"/>
    <w:qFormat/>
    <w:uiPriority w:val="0"/>
    <w:pPr>
      <w:widowControl/>
      <w:jc w:val="left"/>
    </w:pPr>
  </w:style>
  <w:style w:type="paragraph" w:customStyle="1" w:styleId="80">
    <w:name w:val="新正文样式"/>
    <w:basedOn w:val="1"/>
    <w:qFormat/>
    <w:uiPriority w:val="0"/>
    <w:pPr>
      <w:tabs>
        <w:tab w:val="left" w:pos="567"/>
      </w:tabs>
      <w:ind w:firstLine="567"/>
    </w:pPr>
    <w:rPr>
      <w:spacing w:val="20"/>
    </w:rPr>
  </w:style>
  <w:style w:type="paragraph" w:customStyle="1" w:styleId="81">
    <w:name w:val="正文段落LXF"/>
    <w:basedOn w:val="1"/>
    <w:qFormat/>
    <w:uiPriority w:val="0"/>
    <w:pPr>
      <w:spacing w:line="520" w:lineRule="atLeast"/>
      <w:ind w:firstLine="200"/>
    </w:pPr>
    <w:rPr>
      <w:rFonts w:ascii="宋体" w:hAnsi="宋体"/>
      <w:sz w:val="28"/>
      <w:szCs w:val="28"/>
    </w:rPr>
  </w:style>
  <w:style w:type="paragraph" w:customStyle="1" w:styleId="82">
    <w:name w:val="表格 32"/>
    <w:basedOn w:val="1"/>
    <w:qFormat/>
    <w:uiPriority w:val="0"/>
    <w:pPr>
      <w:autoSpaceDE w:val="0"/>
      <w:autoSpaceDN w:val="0"/>
      <w:adjustRightInd w:val="0"/>
      <w:snapToGrid w:val="0"/>
      <w:jc w:val="center"/>
      <w:textAlignment w:val="baseline"/>
    </w:pPr>
    <w:rPr>
      <w:rFonts w:eastAsia="楷体_GB2312"/>
      <w:kern w:val="0"/>
      <w:szCs w:val="20"/>
    </w:rPr>
  </w:style>
  <w:style w:type="paragraph" w:customStyle="1" w:styleId="83">
    <w:name w:val="样式 样式 样式 小四 行距: 固定值 28 磅 + 首行缩进:  2 字符 + 首行缩进:  2 字符"/>
    <w:basedOn w:val="76"/>
    <w:qFormat/>
    <w:uiPriority w:val="0"/>
  </w:style>
  <w:style w:type="paragraph" w:customStyle="1" w:styleId="84">
    <w:name w:val="CM52"/>
    <w:basedOn w:val="58"/>
    <w:next w:val="58"/>
    <w:qFormat/>
    <w:uiPriority w:val="0"/>
    <w:pPr>
      <w:spacing w:after="73"/>
    </w:pPr>
    <w:rPr>
      <w:rFonts w:ascii="仿宋_GB2312" w:eastAsia="仿宋_GB2312"/>
      <w:color w:val="auto"/>
    </w:rPr>
  </w:style>
  <w:style w:type="paragraph" w:customStyle="1" w:styleId="85">
    <w:name w:val="xl25"/>
    <w:basedOn w:val="1"/>
    <w:qFormat/>
    <w:uiPriority w:val="0"/>
    <w:pPr>
      <w:widowControl/>
      <w:pBdr>
        <w:bottom w:val="single" w:color="auto" w:sz="4" w:space="0"/>
        <w:right w:val="single" w:color="auto" w:sz="4" w:space="0"/>
      </w:pBdr>
      <w:spacing w:before="100" w:beforeAutospacing="1" w:after="100" w:afterAutospacing="1"/>
      <w:jc w:val="left"/>
    </w:pPr>
    <w:rPr>
      <w:kern w:val="0"/>
    </w:rPr>
  </w:style>
  <w:style w:type="paragraph" w:customStyle="1" w:styleId="86">
    <w:name w:val="6表格"/>
    <w:basedOn w:val="1"/>
    <w:qFormat/>
    <w:uiPriority w:val="0"/>
    <w:pPr>
      <w:adjustRightInd w:val="0"/>
      <w:snapToGrid w:val="0"/>
      <w:spacing w:before="60" w:line="240" w:lineRule="atLeast"/>
      <w:jc w:val="center"/>
    </w:pPr>
    <w:rPr>
      <w:snapToGrid w:val="0"/>
      <w:kern w:val="0"/>
      <w:szCs w:val="20"/>
    </w:rPr>
  </w:style>
  <w:style w:type="paragraph" w:customStyle="1" w:styleId="87">
    <w:name w:val="Char Char Char Char Char Char Char Char Char Char Char Char Char Char Char Char"/>
    <w:basedOn w:val="1"/>
    <w:qFormat/>
    <w:uiPriority w:val="0"/>
    <w:rPr>
      <w:sz w:val="32"/>
      <w:szCs w:val="32"/>
    </w:rPr>
  </w:style>
  <w:style w:type="paragraph" w:customStyle="1" w:styleId="88">
    <w:name w:val="正文文本 21"/>
    <w:basedOn w:val="1"/>
    <w:qFormat/>
    <w:uiPriority w:val="0"/>
    <w:pPr>
      <w:adjustRightInd w:val="0"/>
      <w:ind w:firstLine="480"/>
      <w:textAlignment w:val="baseline"/>
    </w:pPr>
    <w:rPr>
      <w:rFonts w:ascii="宋体"/>
      <w:kern w:val="0"/>
      <w:szCs w:val="20"/>
    </w:rPr>
  </w:style>
  <w:style w:type="paragraph" w:customStyle="1" w:styleId="89">
    <w:name w:val="_Style 85"/>
    <w:semiHidden/>
    <w:qFormat/>
    <w:uiPriority w:val="0"/>
    <w:rPr>
      <w:rFonts w:ascii="Calibri" w:hAnsi="Calibri" w:eastAsia="宋体" w:cs="Times New Roman"/>
      <w:kern w:val="2"/>
      <w:sz w:val="21"/>
      <w:szCs w:val="24"/>
      <w:lang w:val="en-US" w:eastAsia="zh-CN" w:bidi="ar-SA"/>
    </w:rPr>
  </w:style>
  <w:style w:type="paragraph" w:customStyle="1" w:styleId="90">
    <w:name w:val="样式 章 + 加粗 + 黑体"/>
    <w:basedOn w:val="1"/>
    <w:qFormat/>
    <w:uiPriority w:val="0"/>
    <w:pPr>
      <w:keepNext/>
      <w:ind w:firstLine="573"/>
      <w:jc w:val="left"/>
      <w:outlineLvl w:val="0"/>
    </w:pPr>
    <w:rPr>
      <w:rFonts w:ascii="黑体" w:hAnsi="黑体" w:eastAsia="黑体"/>
      <w:b/>
      <w:bCs/>
      <w:sz w:val="28"/>
      <w:szCs w:val="28"/>
    </w:rPr>
  </w:style>
  <w:style w:type="paragraph" w:customStyle="1" w:styleId="91">
    <w:name w:val="缺省文本"/>
    <w:basedOn w:val="1"/>
    <w:qFormat/>
    <w:uiPriority w:val="0"/>
    <w:pPr>
      <w:widowControl/>
      <w:autoSpaceDE w:val="0"/>
      <w:autoSpaceDN w:val="0"/>
      <w:adjustRightInd w:val="0"/>
      <w:jc w:val="left"/>
    </w:pPr>
    <w:rPr>
      <w:rFonts w:eastAsia="Times New Roman"/>
      <w:kern w:val="0"/>
      <w:lang w:eastAsia="en-US"/>
    </w:rPr>
  </w:style>
  <w:style w:type="paragraph" w:customStyle="1" w:styleId="92">
    <w:name w:val="Char Char Char1"/>
    <w:basedOn w:val="7"/>
    <w:qFormat/>
    <w:uiPriority w:val="0"/>
    <w:pPr>
      <w:spacing w:beforeLines="100"/>
    </w:pPr>
    <w:rPr>
      <w:rFonts w:eastAsia="Times New Roman"/>
    </w:rPr>
  </w:style>
  <w:style w:type="paragraph" w:customStyle="1" w:styleId="93">
    <w:name w:val="报告书表格"/>
    <w:basedOn w:val="1"/>
    <w:qFormat/>
    <w:uiPriority w:val="0"/>
    <w:pPr>
      <w:adjustRightInd w:val="0"/>
      <w:spacing w:before="60" w:after="60" w:line="240" w:lineRule="atLeast"/>
      <w:jc w:val="center"/>
      <w:textAlignment w:val="baseline"/>
    </w:pPr>
    <w:rPr>
      <w:kern w:val="0"/>
      <w:szCs w:val="20"/>
    </w:rPr>
  </w:style>
  <w:style w:type="paragraph" w:customStyle="1" w:styleId="94">
    <w:name w:val="日期1"/>
    <w:basedOn w:val="1"/>
    <w:next w:val="1"/>
    <w:qFormat/>
    <w:uiPriority w:val="0"/>
    <w:pPr>
      <w:adjustRightInd w:val="0"/>
      <w:spacing w:line="360" w:lineRule="atLeast"/>
    </w:pPr>
    <w:rPr>
      <w:rFonts w:hint="eastAsia" w:ascii="宋体"/>
      <w:spacing w:val="20"/>
      <w:kern w:val="0"/>
      <w:sz w:val="28"/>
      <w:szCs w:val="20"/>
    </w:rPr>
  </w:style>
  <w:style w:type="paragraph" w:customStyle="1" w:styleId="95">
    <w:name w:val="Char Char Char Char Char Char 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96">
    <w:name w:val="表"/>
    <w:basedOn w:val="1"/>
    <w:qFormat/>
    <w:uiPriority w:val="0"/>
    <w:pPr>
      <w:spacing w:line="440" w:lineRule="exact"/>
      <w:jc w:val="left"/>
    </w:pPr>
    <w:rPr>
      <w:rFonts w:ascii="宋体" w:hAnsi="宋体"/>
      <w:lang w:val="en-GB"/>
    </w:rPr>
  </w:style>
  <w:style w:type="paragraph" w:customStyle="1" w:styleId="97">
    <w:name w:val="表尾"/>
    <w:basedOn w:val="1"/>
    <w:qFormat/>
    <w:uiPriority w:val="0"/>
    <w:pPr>
      <w:tabs>
        <w:tab w:val="left" w:pos="1021"/>
      </w:tabs>
      <w:spacing w:line="200" w:lineRule="exact"/>
    </w:pPr>
    <w:rPr>
      <w:sz w:val="10"/>
      <w:szCs w:val="20"/>
    </w:rPr>
  </w:style>
  <w:style w:type="paragraph" w:customStyle="1" w:styleId="98">
    <w:name w:val="表格标题"/>
    <w:basedOn w:val="6"/>
    <w:qFormat/>
    <w:uiPriority w:val="0"/>
    <w:pPr>
      <w:adjustRightInd w:val="0"/>
      <w:snapToGrid w:val="0"/>
      <w:spacing w:line="348" w:lineRule="auto"/>
      <w:jc w:val="center"/>
      <w:textAlignment w:val="baseline"/>
      <w:outlineLvl w:val="9"/>
    </w:pPr>
    <w:rPr>
      <w:b w:val="0"/>
      <w:snapToGrid w:val="0"/>
      <w:kern w:val="0"/>
      <w:szCs w:val="28"/>
    </w:rPr>
  </w:style>
  <w:style w:type="paragraph" w:customStyle="1" w:styleId="99">
    <w:name w:val="段落 Char Char2 Char Char Char Char Char"/>
    <w:basedOn w:val="1"/>
    <w:link w:val="281"/>
    <w:qFormat/>
    <w:uiPriority w:val="0"/>
    <w:pPr>
      <w:tabs>
        <w:tab w:val="left" w:pos="1021"/>
      </w:tabs>
      <w:spacing w:line="540" w:lineRule="exact"/>
      <w:ind w:firstLine="560"/>
    </w:pPr>
    <w:rPr>
      <w:rFonts w:ascii="宋体" w:hAnsi="宋体"/>
      <w:kern w:val="24"/>
      <w:sz w:val="28"/>
      <w:szCs w:val="28"/>
    </w:rPr>
  </w:style>
  <w:style w:type="paragraph" w:customStyle="1" w:styleId="100">
    <w:name w:val="默认段落字体 Para Char Char Char Char Char Char Char Char Char1 Char Char Char Char Char Char Char"/>
    <w:basedOn w:val="18"/>
    <w:qFormat/>
    <w:uiPriority w:val="0"/>
    <w:rPr>
      <w:rFonts w:ascii="Tahoma" w:hAnsi="Tahoma" w:cs="Tahoma"/>
    </w:rPr>
  </w:style>
  <w:style w:type="paragraph" w:customStyle="1" w:styleId="101">
    <w:name w:val="td2"/>
    <w:basedOn w:val="1"/>
    <w:qFormat/>
    <w:uiPriority w:val="0"/>
    <w:pPr>
      <w:widowControl/>
      <w:spacing w:before="100" w:beforeAutospacing="1" w:after="100" w:afterAutospacing="1"/>
      <w:jc w:val="right"/>
    </w:pPr>
    <w:rPr>
      <w:rFonts w:ascii="宋体" w:hAnsi="宋体"/>
      <w:color w:val="0000FF"/>
      <w:kern w:val="0"/>
      <w:sz w:val="20"/>
      <w:szCs w:val="20"/>
    </w:rPr>
  </w:style>
  <w:style w:type="paragraph" w:customStyle="1" w:styleId="102">
    <w:name w:val="CM3"/>
    <w:basedOn w:val="58"/>
    <w:next w:val="58"/>
    <w:qFormat/>
    <w:uiPriority w:val="0"/>
    <w:pPr>
      <w:spacing w:line="588" w:lineRule="atLeast"/>
    </w:pPr>
    <w:rPr>
      <w:rFonts w:ascii="黑体" w:eastAsia="黑体"/>
      <w:color w:val="auto"/>
    </w:rPr>
  </w:style>
  <w:style w:type="paragraph" w:customStyle="1" w:styleId="103">
    <w:name w:val="xl2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kern w:val="0"/>
    </w:rPr>
  </w:style>
  <w:style w:type="paragraph" w:customStyle="1" w:styleId="104">
    <w:name w:val="样式111"/>
    <w:qFormat/>
    <w:uiPriority w:val="0"/>
    <w:pPr>
      <w:adjustRightInd w:val="0"/>
      <w:snapToGrid w:val="0"/>
      <w:jc w:val="both"/>
    </w:pPr>
    <w:rPr>
      <w:rFonts w:ascii="宋体" w:hAnsi="Calibri" w:eastAsia="宋体" w:cs="Times New Roman"/>
      <w:sz w:val="21"/>
      <w:lang w:val="en-US" w:eastAsia="zh-CN" w:bidi="ar-SA"/>
    </w:rPr>
  </w:style>
  <w:style w:type="paragraph" w:customStyle="1" w:styleId="105">
    <w:name w:val="CM6"/>
    <w:basedOn w:val="58"/>
    <w:next w:val="58"/>
    <w:qFormat/>
    <w:uiPriority w:val="0"/>
    <w:pPr>
      <w:spacing w:line="588" w:lineRule="atLeast"/>
    </w:pPr>
    <w:rPr>
      <w:rFonts w:ascii="黑体" w:eastAsia="黑体"/>
      <w:color w:val="auto"/>
    </w:rPr>
  </w:style>
  <w:style w:type="paragraph" w:customStyle="1" w:styleId="106">
    <w:name w:val="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Cs w:val="20"/>
      <w:lang w:eastAsia="en-US"/>
    </w:rPr>
  </w:style>
  <w:style w:type="paragraph" w:customStyle="1" w:styleId="107">
    <w:name w:val="Char Char2 Char Char Char Char"/>
    <w:basedOn w:val="1"/>
    <w:qFormat/>
    <w:uiPriority w:val="0"/>
    <w:pPr>
      <w:adjustRightInd w:val="0"/>
      <w:snapToGrid w:val="0"/>
    </w:pPr>
    <w:rPr>
      <w:rFonts w:ascii="宋体" w:hAnsi="宋体" w:cs="宋体"/>
    </w:rPr>
  </w:style>
  <w:style w:type="paragraph" w:customStyle="1" w:styleId="108">
    <w:name w:val="表格（5号）"/>
    <w:basedOn w:val="1"/>
    <w:qFormat/>
    <w:uiPriority w:val="0"/>
    <w:pPr>
      <w:spacing w:line="320" w:lineRule="exact"/>
      <w:jc w:val="center"/>
    </w:pPr>
    <w:rPr>
      <w:kern w:val="0"/>
    </w:rPr>
  </w:style>
  <w:style w:type="paragraph" w:customStyle="1" w:styleId="109">
    <w:name w:val="正文1"/>
    <w:qFormat/>
    <w:uiPriority w:val="0"/>
    <w:pPr>
      <w:jc w:val="both"/>
    </w:pPr>
    <w:rPr>
      <w:rFonts w:ascii="Calibri" w:hAnsi="Calibri" w:eastAsia="宋体" w:cs="Times New Roman"/>
      <w:kern w:val="2"/>
      <w:sz w:val="21"/>
      <w:szCs w:val="21"/>
      <w:lang w:val="en-US" w:eastAsia="zh-CN" w:bidi="ar-SA"/>
    </w:rPr>
  </w:style>
  <w:style w:type="paragraph" w:customStyle="1" w:styleId="110">
    <w:name w:val="表中标题"/>
    <w:basedOn w:val="1"/>
    <w:qFormat/>
    <w:uiPriority w:val="0"/>
    <w:pPr>
      <w:spacing w:line="320" w:lineRule="exact"/>
      <w:jc w:val="center"/>
    </w:pPr>
    <w:rPr>
      <w:rFonts w:eastAsia="仿宋_GB2312"/>
      <w:b/>
    </w:rPr>
  </w:style>
  <w:style w:type="paragraph" w:customStyle="1" w:styleId="111">
    <w:name w:val="1 Char Char Char Char"/>
    <w:basedOn w:val="1"/>
    <w:qFormat/>
    <w:uiPriority w:val="0"/>
    <w:pPr>
      <w:widowControl/>
      <w:jc w:val="left"/>
    </w:pPr>
    <w:rPr>
      <w:rFonts w:ascii="宋体" w:hAnsi="宋体" w:cs="宋体"/>
      <w:kern w:val="0"/>
    </w:rPr>
  </w:style>
  <w:style w:type="paragraph" w:customStyle="1" w:styleId="112">
    <w:name w:val="Char Char Char Char1"/>
    <w:basedOn w:val="1"/>
    <w:qFormat/>
    <w:uiPriority w:val="0"/>
    <w:pPr>
      <w:widowControl/>
      <w:adjustRightInd w:val="0"/>
      <w:spacing w:after="160" w:line="240" w:lineRule="exact"/>
      <w:jc w:val="left"/>
    </w:pPr>
    <w:rPr>
      <w:rFonts w:ascii="Arial" w:hAnsi="Arial" w:eastAsia="Times New Roman" w:cs="Verdana"/>
      <w:b/>
      <w:kern w:val="0"/>
      <w:lang w:eastAsia="en-US"/>
    </w:rPr>
  </w:style>
  <w:style w:type="paragraph" w:customStyle="1" w:styleId="113">
    <w:name w:val="赵正文"/>
    <w:basedOn w:val="1"/>
    <w:qFormat/>
    <w:uiPriority w:val="0"/>
    <w:pPr>
      <w:ind w:firstLine="200"/>
      <w:jc w:val="left"/>
    </w:pPr>
    <w:rPr>
      <w:bCs/>
    </w:rPr>
  </w:style>
  <w:style w:type="paragraph" w:customStyle="1" w:styleId="114">
    <w:name w:val="xl32"/>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kern w:val="0"/>
    </w:rPr>
  </w:style>
  <w:style w:type="paragraph" w:customStyle="1" w:styleId="115">
    <w:name w:val="默认段落字体 Para Char"/>
    <w:basedOn w:val="1"/>
    <w:qFormat/>
    <w:uiPriority w:val="0"/>
    <w:pPr>
      <w:tabs>
        <w:tab w:val="left" w:pos="6940"/>
      </w:tabs>
    </w:pPr>
  </w:style>
  <w:style w:type="paragraph" w:customStyle="1" w:styleId="116">
    <w:name w:val="CM4"/>
    <w:basedOn w:val="58"/>
    <w:next w:val="58"/>
    <w:qFormat/>
    <w:uiPriority w:val="0"/>
    <w:pPr>
      <w:spacing w:line="591" w:lineRule="atLeast"/>
    </w:pPr>
    <w:rPr>
      <w:rFonts w:ascii="黑体" w:eastAsia="黑体"/>
      <w:color w:val="auto"/>
    </w:rPr>
  </w:style>
  <w:style w:type="paragraph" w:customStyle="1" w:styleId="117">
    <w:name w:val="[正文格式]"/>
    <w:basedOn w:val="1"/>
    <w:link w:val="276"/>
    <w:qFormat/>
    <w:uiPriority w:val="0"/>
    <w:pPr>
      <w:spacing w:line="440" w:lineRule="exact"/>
      <w:ind w:firstLine="500"/>
    </w:pPr>
    <w:rPr>
      <w:sz w:val="25"/>
      <w:szCs w:val="20"/>
    </w:rPr>
  </w:style>
  <w:style w:type="paragraph" w:customStyle="1" w:styleId="118">
    <w:name w:val="白银正文"/>
    <w:basedOn w:val="1"/>
    <w:link w:val="319"/>
    <w:qFormat/>
    <w:uiPriority w:val="0"/>
    <w:pPr>
      <w:ind w:firstLine="200"/>
    </w:pPr>
    <w:rPr>
      <w:szCs w:val="22"/>
    </w:rPr>
  </w:style>
  <w:style w:type="paragraph" w:customStyle="1" w:styleId="119">
    <w:name w:val="xl7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olor w:val="000000"/>
      <w:kern w:val="0"/>
    </w:rPr>
  </w:style>
  <w:style w:type="paragraph" w:customStyle="1" w:styleId="120">
    <w:name w:val="Char Char Char Char Char Char Char Char Char Char Char Char Char Char Char Char Char Char Char Char Char Char Char Char1 Char"/>
    <w:basedOn w:val="1"/>
    <w:qFormat/>
    <w:uiPriority w:val="0"/>
    <w:pPr>
      <w:widowControl/>
      <w:jc w:val="left"/>
    </w:pPr>
    <w:rPr>
      <w:rFonts w:cs="黑体"/>
      <w:szCs w:val="22"/>
    </w:rPr>
  </w:style>
  <w:style w:type="paragraph" w:customStyle="1" w:styleId="121">
    <w:name w:val="表格 33"/>
    <w:basedOn w:val="1"/>
    <w:qFormat/>
    <w:uiPriority w:val="0"/>
    <w:pPr>
      <w:autoSpaceDE w:val="0"/>
      <w:autoSpaceDN w:val="0"/>
      <w:adjustRightInd w:val="0"/>
      <w:jc w:val="center"/>
      <w:textAlignment w:val="baseline"/>
    </w:pPr>
    <w:rPr>
      <w:rFonts w:eastAsia="楷体"/>
      <w:kern w:val="0"/>
      <w:szCs w:val="20"/>
    </w:rPr>
  </w:style>
  <w:style w:type="paragraph" w:customStyle="1" w:styleId="122">
    <w:name w:val="字元 字元"/>
    <w:basedOn w:val="1"/>
    <w:qFormat/>
    <w:uiPriority w:val="0"/>
    <w:pPr>
      <w:snapToGrid w:val="0"/>
      <w:ind w:firstLine="529"/>
    </w:pPr>
    <w:rPr>
      <w:rFonts w:ascii="宋体" w:hAnsi="宋体"/>
      <w:b/>
    </w:rPr>
  </w:style>
  <w:style w:type="paragraph" w:customStyle="1" w:styleId="123">
    <w:name w:val="主体"/>
    <w:link w:val="275"/>
    <w:qFormat/>
    <w:uiPriority w:val="0"/>
    <w:pPr>
      <w:widowControl w:val="0"/>
      <w:autoSpaceDE w:val="0"/>
      <w:autoSpaceDN w:val="0"/>
      <w:spacing w:line="440" w:lineRule="exact"/>
      <w:ind w:firstLine="480" w:firstLineChars="200"/>
      <w:jc w:val="both"/>
    </w:pPr>
    <w:rPr>
      <w:rFonts w:ascii="Calibri" w:hAnsi="Calibri" w:eastAsia="仿宋_GB2312" w:cs="Times New Roman"/>
      <w:bCs/>
      <w:kern w:val="2"/>
      <w:sz w:val="24"/>
      <w:szCs w:val="24"/>
      <w:lang w:val="en-US" w:eastAsia="zh-CN" w:bidi="ar-SA"/>
    </w:rPr>
  </w:style>
  <w:style w:type="paragraph" w:customStyle="1" w:styleId="124">
    <w:name w:val="字元 字元 Char Char Char Char Char Char Char Char Char Char Char Char1"/>
    <w:basedOn w:val="1"/>
    <w:qFormat/>
    <w:uiPriority w:val="0"/>
    <w:pPr>
      <w:adjustRightInd w:val="0"/>
    </w:pPr>
    <w:rPr>
      <w:kern w:val="0"/>
      <w:szCs w:val="20"/>
    </w:rPr>
  </w:style>
  <w:style w:type="paragraph" w:customStyle="1" w:styleId="125">
    <w:name w:val="段"/>
    <w:link w:val="326"/>
    <w:qFormat/>
    <w:uiPriority w:val="0"/>
    <w:pPr>
      <w:tabs>
        <w:tab w:val="center" w:pos="4201"/>
        <w:tab w:val="right" w:leader="dot" w:pos="9298"/>
      </w:tabs>
      <w:autoSpaceDE w:val="0"/>
      <w:autoSpaceDN w:val="0"/>
      <w:ind w:firstLine="420" w:firstLineChars="200"/>
      <w:jc w:val="both"/>
    </w:pPr>
    <w:rPr>
      <w:rFonts w:ascii="宋体" w:hAnsi="Calibri" w:eastAsia="宋体" w:cs="Times New Roman"/>
      <w:kern w:val="2"/>
      <w:sz w:val="21"/>
      <w:szCs w:val="22"/>
      <w:lang w:val="en-US" w:eastAsia="zh-CN" w:bidi="ar-SA"/>
    </w:rPr>
  </w:style>
  <w:style w:type="paragraph" w:customStyle="1" w:styleId="126">
    <w:name w:val="font5"/>
    <w:basedOn w:val="1"/>
    <w:qFormat/>
    <w:uiPriority w:val="0"/>
    <w:pPr>
      <w:widowControl/>
      <w:spacing w:before="100" w:beforeAutospacing="1" w:after="100" w:afterAutospacing="1"/>
      <w:jc w:val="left"/>
    </w:pPr>
    <w:rPr>
      <w:rFonts w:hint="eastAsia" w:ascii="宋体" w:hAnsi="宋体" w:cs="Arial Unicode MS"/>
      <w:kern w:val="0"/>
      <w:sz w:val="18"/>
      <w:szCs w:val="18"/>
    </w:rPr>
  </w:style>
  <w:style w:type="paragraph" w:customStyle="1" w:styleId="127">
    <w:name w:val="批注框文本 Char Char"/>
    <w:basedOn w:val="1"/>
    <w:qFormat/>
    <w:uiPriority w:val="0"/>
    <w:rPr>
      <w:sz w:val="18"/>
      <w:szCs w:val="18"/>
    </w:rPr>
  </w:style>
  <w:style w:type="paragraph" w:customStyle="1" w:styleId="128">
    <w:name w:val="Char4"/>
    <w:basedOn w:val="1"/>
    <w:qFormat/>
    <w:uiPriority w:val="0"/>
    <w:pPr>
      <w:ind w:firstLine="200"/>
    </w:pPr>
    <w:rPr>
      <w:rFonts w:ascii="宋体" w:hAnsi="宋体" w:cs="宋体"/>
    </w:rPr>
  </w:style>
  <w:style w:type="paragraph" w:customStyle="1" w:styleId="129">
    <w:name w:val="xl33"/>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kern w:val="0"/>
    </w:rPr>
  </w:style>
  <w:style w:type="paragraph" w:customStyle="1" w:styleId="130">
    <w:name w:val="Char Char Char Char Char Char"/>
    <w:basedOn w:val="1"/>
    <w:next w:val="3"/>
    <w:qFormat/>
    <w:uiPriority w:val="0"/>
    <w:rPr>
      <w:szCs w:val="20"/>
    </w:rPr>
  </w:style>
  <w:style w:type="paragraph" w:customStyle="1" w:styleId="131">
    <w:name w:val="表格2"/>
    <w:basedOn w:val="1"/>
    <w:link w:val="315"/>
    <w:qFormat/>
    <w:uiPriority w:val="0"/>
    <w:pPr>
      <w:spacing w:line="400" w:lineRule="exact"/>
    </w:pPr>
    <w:rPr>
      <w:rFonts w:ascii="宋体" w:hAnsi="宋体"/>
      <w:szCs w:val="28"/>
    </w:rPr>
  </w:style>
  <w:style w:type="paragraph" w:customStyle="1" w:styleId="132">
    <w:name w:val="样式 表格 32 + 首行缩进:  2 字符"/>
    <w:basedOn w:val="1"/>
    <w:qFormat/>
    <w:uiPriority w:val="0"/>
    <w:pPr>
      <w:autoSpaceDE w:val="0"/>
      <w:autoSpaceDN w:val="0"/>
      <w:adjustRightInd w:val="0"/>
      <w:spacing w:line="0" w:lineRule="atLeast"/>
      <w:jc w:val="center"/>
      <w:textAlignment w:val="baseline"/>
    </w:pPr>
    <w:rPr>
      <w:kern w:val="0"/>
    </w:rPr>
  </w:style>
  <w:style w:type="paragraph" w:customStyle="1" w:styleId="133">
    <w:name w:val="白银标题3"/>
    <w:basedOn w:val="6"/>
    <w:link w:val="242"/>
    <w:qFormat/>
    <w:uiPriority w:val="0"/>
    <w:pPr>
      <w:spacing w:before="120"/>
    </w:pPr>
    <w:rPr>
      <w:szCs w:val="24"/>
    </w:rPr>
  </w:style>
  <w:style w:type="paragraph" w:customStyle="1" w:styleId="134">
    <w:name w:val="CM14"/>
    <w:basedOn w:val="58"/>
    <w:next w:val="58"/>
    <w:qFormat/>
    <w:uiPriority w:val="0"/>
    <w:rPr>
      <w:rFonts w:ascii="黑体" w:eastAsia="黑体"/>
      <w:color w:val="auto"/>
    </w:rPr>
  </w:style>
  <w:style w:type="paragraph" w:customStyle="1" w:styleId="135">
    <w:name w:val="CM51"/>
    <w:basedOn w:val="58"/>
    <w:next w:val="58"/>
    <w:qFormat/>
    <w:uiPriority w:val="0"/>
    <w:pPr>
      <w:spacing w:after="145"/>
    </w:pPr>
    <w:rPr>
      <w:rFonts w:ascii="仿宋_GB2312" w:eastAsia="仿宋_GB2312"/>
      <w:color w:val="auto"/>
    </w:rPr>
  </w:style>
  <w:style w:type="paragraph" w:customStyle="1" w:styleId="136">
    <w:name w:val="样式 表格 32 + 首行缩进:  2 字符1"/>
    <w:basedOn w:val="1"/>
    <w:qFormat/>
    <w:uiPriority w:val="0"/>
    <w:pPr>
      <w:autoSpaceDE w:val="0"/>
      <w:autoSpaceDN w:val="0"/>
      <w:adjustRightInd w:val="0"/>
      <w:jc w:val="center"/>
      <w:textAlignment w:val="baseline"/>
    </w:pPr>
    <w:rPr>
      <w:rFonts w:cs="宋体"/>
      <w:kern w:val="0"/>
    </w:rPr>
  </w:style>
  <w:style w:type="paragraph" w:customStyle="1" w:styleId="137">
    <w:name w:val="Char Char Char Char Char Char Char Char Char Char Char Char Char Char"/>
    <w:basedOn w:val="1"/>
    <w:qFormat/>
    <w:uiPriority w:val="0"/>
    <w:pPr>
      <w:ind w:firstLine="200"/>
    </w:pPr>
    <w:rPr>
      <w:rFonts w:ascii="宋体" w:hAnsi="宋体" w:cs="宋体"/>
      <w:szCs w:val="26"/>
    </w:rPr>
  </w:style>
  <w:style w:type="paragraph" w:customStyle="1" w:styleId="138">
    <w:name w:val="图文框"/>
    <w:basedOn w:val="1"/>
    <w:qFormat/>
    <w:uiPriority w:val="0"/>
    <w:pPr>
      <w:jc w:val="center"/>
    </w:pPr>
    <w:rPr>
      <w:szCs w:val="20"/>
    </w:rPr>
  </w:style>
  <w:style w:type="paragraph" w:customStyle="1" w:styleId="139">
    <w:name w:val="_Style 1"/>
    <w:basedOn w:val="1"/>
    <w:qFormat/>
    <w:uiPriority w:val="0"/>
    <w:pPr>
      <w:ind w:firstLine="420"/>
    </w:pPr>
  </w:style>
  <w:style w:type="paragraph" w:customStyle="1" w:styleId="140">
    <w:name w:val="表头 Char Char1"/>
    <w:basedOn w:val="1"/>
    <w:link w:val="291"/>
    <w:qFormat/>
    <w:uiPriority w:val="0"/>
    <w:pPr>
      <w:tabs>
        <w:tab w:val="left" w:pos="1021"/>
      </w:tabs>
      <w:spacing w:before="60" w:line="300" w:lineRule="auto"/>
      <w:jc w:val="center"/>
    </w:pPr>
    <w:rPr>
      <w:rFonts w:ascii="宋体" w:hAnsi="宋体"/>
      <w:color w:val="000000"/>
      <w:kern w:val="24"/>
      <w:sz w:val="28"/>
      <w:szCs w:val="28"/>
    </w:rPr>
  </w:style>
  <w:style w:type="paragraph" w:customStyle="1" w:styleId="141">
    <w:name w:val="列出段落11"/>
    <w:basedOn w:val="1"/>
    <w:qFormat/>
    <w:uiPriority w:val="0"/>
    <w:pPr>
      <w:ind w:firstLine="420"/>
    </w:pPr>
    <w:rPr>
      <w:szCs w:val="22"/>
    </w:rPr>
  </w:style>
  <w:style w:type="paragraph" w:customStyle="1" w:styleId="142">
    <w:name w:val="样式 样式4 + 首行缩进:  0.75 字符"/>
    <w:basedOn w:val="1"/>
    <w:qFormat/>
    <w:uiPriority w:val="0"/>
    <w:pPr>
      <w:adjustRightInd w:val="0"/>
      <w:snapToGrid w:val="0"/>
      <w:ind w:firstLine="482"/>
      <w:jc w:val="left"/>
    </w:pPr>
  </w:style>
  <w:style w:type="paragraph" w:customStyle="1" w:styleId="143">
    <w:name w:val="xl50"/>
    <w:basedOn w:val="1"/>
    <w:qFormat/>
    <w:uiPriority w:val="0"/>
    <w:pPr>
      <w:widowControl/>
      <w:pBdr>
        <w:left w:val="single" w:color="auto" w:sz="4" w:space="0"/>
        <w:right w:val="single" w:color="auto" w:sz="4" w:space="0"/>
      </w:pBdr>
      <w:spacing w:before="100" w:after="100"/>
      <w:jc w:val="center"/>
      <w:textAlignment w:val="center"/>
    </w:pPr>
    <w:rPr>
      <w:rFonts w:ascii="宋体" w:hAnsi="宋体"/>
      <w:kern w:val="0"/>
      <w:szCs w:val="20"/>
    </w:rPr>
  </w:style>
  <w:style w:type="paragraph" w:customStyle="1" w:styleId="144">
    <w:name w:val="表文"/>
    <w:basedOn w:val="1"/>
    <w:qFormat/>
    <w:uiPriority w:val="0"/>
    <w:pPr>
      <w:tabs>
        <w:tab w:val="left" w:pos="1021"/>
      </w:tabs>
      <w:jc w:val="center"/>
    </w:pPr>
    <w:rPr>
      <w:color w:val="000000"/>
      <w:spacing w:val="1"/>
      <w:kern w:val="0"/>
    </w:rPr>
  </w:style>
  <w:style w:type="paragraph" w:customStyle="1" w:styleId="145">
    <w:name w:val="表格1"/>
    <w:basedOn w:val="1"/>
    <w:link w:val="292"/>
    <w:qFormat/>
    <w:uiPriority w:val="0"/>
    <w:pPr>
      <w:spacing w:line="400" w:lineRule="exact"/>
      <w:jc w:val="center"/>
    </w:pPr>
    <w:rPr>
      <w:rFonts w:ascii="宋体" w:hAnsi="宋体"/>
      <w:szCs w:val="28"/>
    </w:rPr>
  </w:style>
  <w:style w:type="paragraph" w:customStyle="1" w:styleId="146">
    <w:name w:val="图表文"/>
    <w:basedOn w:val="1"/>
    <w:link w:val="293"/>
    <w:qFormat/>
    <w:uiPriority w:val="0"/>
    <w:pPr>
      <w:jc w:val="center"/>
    </w:pPr>
  </w:style>
  <w:style w:type="paragraph" w:customStyle="1" w:styleId="147">
    <w:name w:val="Char"/>
    <w:basedOn w:val="1"/>
    <w:link w:val="316"/>
    <w:qFormat/>
    <w:uiPriority w:val="0"/>
  </w:style>
  <w:style w:type="paragraph" w:customStyle="1" w:styleId="148">
    <w:name w:val="Char Char Char Char Char Char Char Char Char Char Char Char Char Char Char Char Char Char Char Char Char Char Char Char Char Char Char Char Char Char Char Char Char1"/>
    <w:basedOn w:val="1"/>
    <w:qFormat/>
    <w:uiPriority w:val="0"/>
    <w:pPr>
      <w:widowControl/>
      <w:ind w:left="41" w:hanging="41" w:hangingChars="17"/>
      <w:jc w:val="left"/>
    </w:pPr>
    <w:rPr>
      <w:rFonts w:ascii="Verdana" w:hAnsi="Verdana" w:eastAsia="仿宋_GB2312"/>
      <w:kern w:val="0"/>
      <w:szCs w:val="20"/>
      <w:lang w:eastAsia="en-US"/>
    </w:rPr>
  </w:style>
  <w:style w:type="paragraph" w:customStyle="1" w:styleId="149">
    <w:name w:val="表格内容"/>
    <w:qFormat/>
    <w:uiPriority w:val="0"/>
    <w:pPr>
      <w:jc w:val="both"/>
    </w:pPr>
    <w:rPr>
      <w:rFonts w:ascii="Calibri" w:hAnsi="Calibri" w:eastAsia="楷体_GB2312" w:cs="Times New Roman"/>
      <w:color w:val="000000"/>
      <w:kern w:val="2"/>
      <w:sz w:val="21"/>
      <w:szCs w:val="24"/>
      <w:lang w:val="en-US" w:eastAsia="zh-CN" w:bidi="ar-SA"/>
    </w:rPr>
  </w:style>
  <w:style w:type="paragraph" w:customStyle="1" w:styleId="150">
    <w:name w:val="Char1 Char Char Char"/>
    <w:basedOn w:val="1"/>
    <w:qFormat/>
    <w:uiPriority w:val="0"/>
    <w:rPr>
      <w:rFonts w:ascii="Tahoma" w:hAnsi="Tahoma"/>
      <w:sz w:val="30"/>
      <w:szCs w:val="30"/>
    </w:rPr>
  </w:style>
  <w:style w:type="paragraph" w:customStyle="1" w:styleId="151">
    <w:name w:val="中文报告书样式"/>
    <w:basedOn w:val="1"/>
    <w:qFormat/>
    <w:uiPriority w:val="0"/>
    <w:pPr>
      <w:adjustRightInd w:val="0"/>
      <w:spacing w:line="480" w:lineRule="atLeast"/>
      <w:ind w:firstLine="482"/>
      <w:textAlignment w:val="baseline"/>
    </w:pPr>
    <w:rPr>
      <w:kern w:val="24"/>
      <w:szCs w:val="20"/>
    </w:rPr>
  </w:style>
  <w:style w:type="paragraph" w:customStyle="1" w:styleId="152">
    <w:name w:val="样式 标题 3 + 非加粗"/>
    <w:basedOn w:val="6"/>
    <w:qFormat/>
    <w:uiPriority w:val="0"/>
    <w:pPr>
      <w:spacing w:before="100" w:beforeAutospacing="1" w:after="100" w:afterAutospacing="1" w:line="240" w:lineRule="exact"/>
    </w:pPr>
    <w:rPr>
      <w:bCs w:val="0"/>
      <w:sz w:val="28"/>
    </w:rPr>
  </w:style>
  <w:style w:type="paragraph" w:customStyle="1" w:styleId="153">
    <w:name w:val="不缩进"/>
    <w:basedOn w:val="1"/>
    <w:qFormat/>
    <w:uiPriority w:val="0"/>
    <w:pPr>
      <w:autoSpaceDE w:val="0"/>
      <w:autoSpaceDN w:val="0"/>
      <w:adjustRightInd w:val="0"/>
      <w:spacing w:before="100" w:after="100" w:line="240" w:lineRule="atLeast"/>
      <w:jc w:val="center"/>
      <w:textAlignment w:val="baseline"/>
    </w:pPr>
    <w:rPr>
      <w:rFonts w:ascii="宋体"/>
      <w:kern w:val="0"/>
      <w:sz w:val="22"/>
      <w:szCs w:val="20"/>
    </w:rPr>
  </w:style>
  <w:style w:type="paragraph" w:customStyle="1" w:styleId="154">
    <w:name w:val="正文段落"/>
    <w:basedOn w:val="1"/>
    <w:qFormat/>
    <w:uiPriority w:val="0"/>
    <w:pPr>
      <w:spacing w:line="580" w:lineRule="atLeast"/>
      <w:ind w:firstLine="561"/>
    </w:pPr>
    <w:rPr>
      <w:rFonts w:ascii="宋体" w:hAnsi="宋体" w:cs="宋体"/>
      <w:sz w:val="28"/>
      <w:szCs w:val="28"/>
    </w:rPr>
  </w:style>
  <w:style w:type="paragraph" w:customStyle="1" w:styleId="155">
    <w:name w:val="段落"/>
    <w:basedOn w:val="1"/>
    <w:qFormat/>
    <w:uiPriority w:val="0"/>
    <w:pPr>
      <w:tabs>
        <w:tab w:val="left" w:pos="1021"/>
      </w:tabs>
      <w:adjustRightInd w:val="0"/>
      <w:ind w:firstLine="119"/>
    </w:pPr>
    <w:rPr>
      <w:rFonts w:ascii="楷体_GB2312" w:eastAsia="楷体_GB2312"/>
      <w:b/>
      <w:color w:val="000000"/>
      <w:spacing w:val="-20"/>
      <w:kern w:val="24"/>
    </w:rPr>
  </w:style>
  <w:style w:type="paragraph" w:customStyle="1" w:styleId="156">
    <w:name w:val="CM47"/>
    <w:basedOn w:val="58"/>
    <w:next w:val="58"/>
    <w:qFormat/>
    <w:uiPriority w:val="0"/>
    <w:pPr>
      <w:spacing w:after="260"/>
    </w:pPr>
    <w:rPr>
      <w:rFonts w:ascii="仿宋_GB2312" w:eastAsia="仿宋_GB2312"/>
      <w:color w:val="auto"/>
    </w:rPr>
  </w:style>
  <w:style w:type="paragraph" w:customStyle="1" w:styleId="157">
    <w:name w:val="Char2 Char Char Char Char Char Char"/>
    <w:basedOn w:val="1"/>
    <w:next w:val="3"/>
    <w:qFormat/>
    <w:uiPriority w:val="0"/>
    <w:rPr>
      <w:sz w:val="28"/>
      <w:szCs w:val="20"/>
    </w:rPr>
  </w:style>
  <w:style w:type="paragraph" w:customStyle="1" w:styleId="158">
    <w:name w:val="YHY"/>
    <w:basedOn w:val="1"/>
    <w:qFormat/>
    <w:uiPriority w:val="0"/>
    <w:pPr>
      <w:spacing w:beforeLines="50" w:afterLines="50"/>
      <w:ind w:firstLine="200"/>
    </w:pPr>
    <w:rPr>
      <w:rFonts w:cs="宋体"/>
    </w:rPr>
  </w:style>
  <w:style w:type="paragraph" w:customStyle="1" w:styleId="159">
    <w:name w:val="Char Char Char Char Char Char Char Char Char Char Char Char1 Char Char Char Char Char Char Char Char Char Char Char Char Char Char Char Char Char Char Char"/>
    <w:basedOn w:val="1"/>
    <w:qFormat/>
    <w:uiPriority w:val="0"/>
    <w:pPr>
      <w:ind w:firstLine="200"/>
    </w:pPr>
    <w:rPr>
      <w:rFonts w:ascii="宋体" w:hAnsi="宋体" w:cs="宋体"/>
      <w:szCs w:val="26"/>
    </w:rPr>
  </w:style>
  <w:style w:type="paragraph" w:customStyle="1" w:styleId="160">
    <w:name w:val="MTDisplayEquation"/>
    <w:basedOn w:val="1"/>
    <w:next w:val="1"/>
    <w:qFormat/>
    <w:uiPriority w:val="0"/>
    <w:pPr>
      <w:tabs>
        <w:tab w:val="center" w:pos="4160"/>
        <w:tab w:val="right" w:pos="8300"/>
      </w:tabs>
      <w:spacing w:line="400" w:lineRule="atLeast"/>
      <w:ind w:firstLine="200"/>
    </w:pPr>
  </w:style>
  <w:style w:type="paragraph" w:customStyle="1" w:styleId="161">
    <w:name w:val="表内字"/>
    <w:qFormat/>
    <w:uiPriority w:val="0"/>
    <w:pPr>
      <w:jc w:val="center"/>
    </w:pPr>
    <w:rPr>
      <w:rFonts w:ascii="Calibri" w:hAnsi="Calibri" w:eastAsia="宋体" w:cs="Times New Roman"/>
      <w:color w:val="000000"/>
      <w:sz w:val="21"/>
      <w:lang w:val="en-US" w:eastAsia="zh-CN" w:bidi="ar-SA"/>
    </w:rPr>
  </w:style>
  <w:style w:type="paragraph" w:customStyle="1" w:styleId="162">
    <w:name w:val="正文11"/>
    <w:basedOn w:val="1"/>
    <w:link w:val="240"/>
    <w:qFormat/>
    <w:uiPriority w:val="0"/>
    <w:pPr>
      <w:adjustRightInd w:val="0"/>
      <w:snapToGrid w:val="0"/>
      <w:spacing w:line="500" w:lineRule="atLeast"/>
      <w:ind w:firstLine="567"/>
    </w:pPr>
    <w:rPr>
      <w:sz w:val="28"/>
      <w:szCs w:val="20"/>
    </w:rPr>
  </w:style>
  <w:style w:type="paragraph" w:customStyle="1" w:styleId="163">
    <w:name w:val="xl39"/>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hint="eastAsia" w:ascii="仿宋_GB2312" w:hAnsi="宋体" w:eastAsia="仿宋_GB2312"/>
      <w:kern w:val="0"/>
    </w:rPr>
  </w:style>
  <w:style w:type="paragraph" w:customStyle="1" w:styleId="164">
    <w:name w:val="样式6"/>
    <w:basedOn w:val="1"/>
    <w:qFormat/>
    <w:uiPriority w:val="0"/>
    <w:pPr>
      <w:jc w:val="center"/>
    </w:pPr>
    <w:rPr>
      <w:rFonts w:ascii="宋体" w:hAnsi="宋体"/>
      <w:b/>
      <w:sz w:val="28"/>
      <w:szCs w:val="28"/>
    </w:rPr>
  </w:style>
  <w:style w:type="paragraph" w:customStyle="1" w:styleId="165">
    <w:name w:val="--"/>
    <w:basedOn w:val="1"/>
    <w:qFormat/>
    <w:uiPriority w:val="0"/>
    <w:pPr>
      <w:widowControl/>
      <w:spacing w:before="100" w:beforeAutospacing="1" w:after="100" w:afterAutospacing="1"/>
      <w:jc w:val="left"/>
    </w:pPr>
    <w:rPr>
      <w:rFonts w:hint="eastAsia" w:ascii="宋体" w:hAnsi="宋体"/>
      <w:kern w:val="0"/>
    </w:rPr>
  </w:style>
  <w:style w:type="paragraph" w:customStyle="1" w:styleId="166">
    <w:name w:val="_Style 6"/>
    <w:basedOn w:val="1"/>
    <w:qFormat/>
    <w:uiPriority w:val="0"/>
    <w:pPr>
      <w:ind w:firstLine="420"/>
    </w:pPr>
  </w:style>
  <w:style w:type="paragraph" w:customStyle="1" w:styleId="167">
    <w:name w:val="样式 左 首行缩进:  1.01 厘米"/>
    <w:basedOn w:val="1"/>
    <w:qFormat/>
    <w:uiPriority w:val="0"/>
    <w:pPr>
      <w:adjustRightInd w:val="0"/>
      <w:snapToGrid w:val="0"/>
      <w:spacing w:line="460" w:lineRule="exact"/>
      <w:ind w:firstLine="200"/>
    </w:pPr>
    <w:rPr>
      <w:rFonts w:cs="宋体"/>
      <w:sz w:val="26"/>
      <w:szCs w:val="26"/>
    </w:rPr>
  </w:style>
  <w:style w:type="paragraph" w:customStyle="1" w:styleId="168">
    <w:name w:val="圖"/>
    <w:basedOn w:val="22"/>
    <w:qFormat/>
    <w:uiPriority w:val="0"/>
    <w:pPr>
      <w:adjustRightInd w:val="0"/>
      <w:spacing w:after="0" w:line="360" w:lineRule="exact"/>
      <w:ind w:left="0" w:leftChars="0" w:firstLine="840"/>
      <w:jc w:val="center"/>
      <w:textAlignment w:val="baseline"/>
    </w:pPr>
    <w:rPr>
      <w:rFonts w:ascii="Arial" w:hAnsi="Arial" w:eastAsia="華康細圓體"/>
      <w:kern w:val="0"/>
      <w:sz w:val="22"/>
      <w:szCs w:val="20"/>
      <w:lang w:eastAsia="zh-TW"/>
    </w:rPr>
  </w:style>
  <w:style w:type="paragraph" w:customStyle="1" w:styleId="169">
    <w:name w:val="样式 (中文) 黑体 小三 加粗 黑色 行距: 1.5 倍行距"/>
    <w:basedOn w:val="1"/>
    <w:qFormat/>
    <w:uiPriority w:val="0"/>
    <w:rPr>
      <w:rFonts w:cs="宋体"/>
      <w:b/>
      <w:bCs/>
      <w:color w:val="000000"/>
      <w:sz w:val="30"/>
      <w:szCs w:val="20"/>
    </w:rPr>
  </w:style>
  <w:style w:type="paragraph" w:customStyle="1" w:styleId="170">
    <w:name w:val="_Style 3"/>
    <w:basedOn w:val="1"/>
    <w:qFormat/>
    <w:uiPriority w:val="34"/>
    <w:pPr>
      <w:ind w:firstLine="420"/>
    </w:pPr>
  </w:style>
  <w:style w:type="paragraph" w:customStyle="1" w:styleId="171">
    <w:name w:val="段落 Char1 Char Char Char Char Char Char"/>
    <w:basedOn w:val="1"/>
    <w:link w:val="318"/>
    <w:qFormat/>
    <w:uiPriority w:val="0"/>
    <w:pPr>
      <w:tabs>
        <w:tab w:val="left" w:pos="1021"/>
      </w:tabs>
      <w:spacing w:line="326" w:lineRule="auto"/>
      <w:ind w:firstLine="480"/>
    </w:pPr>
    <w:rPr>
      <w:color w:val="000000"/>
      <w:kern w:val="24"/>
    </w:rPr>
  </w:style>
  <w:style w:type="paragraph" w:customStyle="1" w:styleId="172">
    <w:name w:val="Char Char Char Char Char Char Char Char"/>
    <w:basedOn w:val="1"/>
    <w:qFormat/>
    <w:uiPriority w:val="0"/>
    <w:pPr>
      <w:widowControl/>
      <w:spacing w:after="160" w:line="240" w:lineRule="exact"/>
      <w:jc w:val="left"/>
    </w:pPr>
  </w:style>
  <w:style w:type="paragraph" w:customStyle="1" w:styleId="173">
    <w:name w:val="默认段落字体 Para Char Char Char Char"/>
    <w:basedOn w:val="1"/>
    <w:qFormat/>
    <w:uiPriority w:val="0"/>
  </w:style>
  <w:style w:type="paragraph" w:customStyle="1" w:styleId="174">
    <w:name w:val="小四表文左齐"/>
    <w:basedOn w:val="1"/>
    <w:qFormat/>
    <w:uiPriority w:val="0"/>
    <w:pPr>
      <w:jc w:val="center"/>
    </w:pPr>
    <w:rPr>
      <w:rFonts w:hAnsi="宋体" w:eastAsia="华文新魏"/>
      <w:sz w:val="44"/>
    </w:rPr>
  </w:style>
  <w:style w:type="paragraph" w:customStyle="1" w:styleId="175">
    <w:name w:val="paragraph12"/>
    <w:basedOn w:val="1"/>
    <w:qFormat/>
    <w:uiPriority w:val="0"/>
    <w:pPr>
      <w:widowControl/>
      <w:spacing w:before="100" w:beforeAutospacing="1" w:after="100" w:afterAutospacing="1"/>
      <w:ind w:firstLine="504"/>
      <w:jc w:val="left"/>
    </w:pPr>
    <w:rPr>
      <w:rFonts w:ascii="ˎ̥" w:hAnsi="ˎ̥" w:cs="宋体"/>
      <w:kern w:val="0"/>
    </w:rPr>
  </w:style>
  <w:style w:type="paragraph" w:customStyle="1" w:styleId="176">
    <w:name w:val="样式5"/>
    <w:basedOn w:val="1"/>
    <w:qFormat/>
    <w:uiPriority w:val="0"/>
    <w:pPr>
      <w:snapToGrid w:val="0"/>
      <w:ind w:right="-447" w:rightChars="-213" w:firstLine="572" w:firstLineChars="196"/>
    </w:pPr>
    <w:rPr>
      <w:rFonts w:ascii="宋体" w:hAnsi="宋体" w:cs="宋体"/>
      <w:spacing w:val="6"/>
      <w:kern w:val="0"/>
      <w:sz w:val="28"/>
      <w:szCs w:val="28"/>
    </w:rPr>
  </w:style>
  <w:style w:type="paragraph" w:customStyle="1" w:styleId="177">
    <w:name w:val="表头"/>
    <w:basedOn w:val="21"/>
    <w:next w:val="1"/>
    <w:link w:val="278"/>
    <w:qFormat/>
    <w:uiPriority w:val="0"/>
    <w:pPr>
      <w:spacing w:line="360" w:lineRule="atLeast"/>
      <w:jc w:val="center"/>
    </w:pPr>
    <w:rPr>
      <w:color w:val="0000FF"/>
      <w:szCs w:val="20"/>
    </w:rPr>
  </w:style>
  <w:style w:type="paragraph" w:customStyle="1" w:styleId="178">
    <w:name w:val="样式 标题 4 + 黑色"/>
    <w:basedOn w:val="7"/>
    <w:qFormat/>
    <w:uiPriority w:val="0"/>
    <w:pPr>
      <w:keepLines w:val="0"/>
      <w:spacing w:line="600" w:lineRule="exact"/>
    </w:pPr>
    <w:rPr>
      <w:rFonts w:ascii="仿宋_GB2312" w:eastAsia="仿宋_GB2312"/>
      <w:bCs/>
      <w:color w:val="000000"/>
    </w:rPr>
  </w:style>
  <w:style w:type="paragraph" w:customStyle="1" w:styleId="179">
    <w:name w:val="基准脚注"/>
    <w:basedOn w:val="1"/>
    <w:qFormat/>
    <w:uiPriority w:val="0"/>
    <w:pPr>
      <w:widowControl/>
      <w:jc w:val="left"/>
    </w:pPr>
    <w:rPr>
      <w:rFonts w:ascii="Garamond" w:hAnsi="Garamond"/>
      <w:kern w:val="0"/>
      <w:szCs w:val="20"/>
    </w:rPr>
  </w:style>
  <w:style w:type="paragraph" w:customStyle="1" w:styleId="180">
    <w:name w:val="CM2"/>
    <w:basedOn w:val="58"/>
    <w:next w:val="58"/>
    <w:qFormat/>
    <w:uiPriority w:val="0"/>
    <w:pPr>
      <w:spacing w:line="593" w:lineRule="atLeast"/>
    </w:pPr>
    <w:rPr>
      <w:rFonts w:ascii="黑体" w:eastAsia="黑体"/>
      <w:color w:val="auto"/>
    </w:rPr>
  </w:style>
  <w:style w:type="paragraph" w:customStyle="1" w:styleId="181">
    <w:name w:val="标题3 +左"/>
    <w:basedOn w:val="6"/>
    <w:next w:val="6"/>
    <w:qFormat/>
    <w:uiPriority w:val="0"/>
    <w:pPr>
      <w:spacing w:before="100" w:beforeAutospacing="1" w:after="100" w:afterAutospacing="1" w:line="240" w:lineRule="auto"/>
    </w:pPr>
    <w:rPr>
      <w:rFonts w:ascii="宋体" w:hAnsi="宋体" w:cs="宋体"/>
      <w:b w:val="0"/>
      <w:color w:val="000000"/>
      <w:sz w:val="28"/>
      <w:szCs w:val="28"/>
    </w:rPr>
  </w:style>
  <w:style w:type="paragraph" w:customStyle="1" w:styleId="182">
    <w:name w:val="_Style 5"/>
    <w:basedOn w:val="1"/>
    <w:qFormat/>
    <w:uiPriority w:val="34"/>
    <w:pPr>
      <w:ind w:firstLine="420"/>
    </w:pPr>
  </w:style>
  <w:style w:type="paragraph" w:customStyle="1" w:styleId="183">
    <w:name w:val="正文史"/>
    <w:basedOn w:val="1"/>
    <w:link w:val="338"/>
    <w:qFormat/>
    <w:uiPriority w:val="0"/>
    <w:pPr>
      <w:ind w:firstLine="200"/>
    </w:pPr>
    <w:rPr>
      <w:bCs/>
      <w:color w:val="000000"/>
    </w:rPr>
  </w:style>
  <w:style w:type="paragraph" w:customStyle="1" w:styleId="184">
    <w:name w:val="Char Char Char2 Char"/>
    <w:basedOn w:val="1"/>
    <w:qFormat/>
    <w:uiPriority w:val="0"/>
  </w:style>
  <w:style w:type="paragraph" w:customStyle="1" w:styleId="185">
    <w:name w:val="xl36"/>
    <w:basedOn w:val="1"/>
    <w:qFormat/>
    <w:uiPriority w:val="0"/>
    <w:pPr>
      <w:widowControl/>
      <w:pBdr>
        <w:left w:val="single" w:color="auto" w:sz="4" w:space="0"/>
        <w:right w:val="single" w:color="auto" w:sz="4" w:space="0"/>
      </w:pBdr>
      <w:spacing w:before="100" w:beforeAutospacing="1" w:after="100" w:afterAutospacing="1"/>
      <w:jc w:val="center"/>
      <w:textAlignment w:val="top"/>
    </w:pPr>
    <w:rPr>
      <w:kern w:val="0"/>
    </w:rPr>
  </w:style>
  <w:style w:type="paragraph" w:customStyle="1" w:styleId="186">
    <w:name w:val="报告正文"/>
    <w:basedOn w:val="1"/>
    <w:link w:val="246"/>
    <w:qFormat/>
    <w:uiPriority w:val="0"/>
    <w:pPr>
      <w:adjustRightInd w:val="0"/>
      <w:snapToGrid w:val="0"/>
      <w:ind w:firstLine="200"/>
    </w:pPr>
    <w:rPr>
      <w:rFonts w:ascii="宋体"/>
      <w:szCs w:val="20"/>
    </w:rPr>
  </w:style>
  <w:style w:type="paragraph" w:customStyle="1" w:styleId="187">
    <w:name w:val="表头文字"/>
    <w:basedOn w:val="1"/>
    <w:qFormat/>
    <w:uiPriority w:val="0"/>
    <w:pPr>
      <w:topLinePunct/>
      <w:spacing w:before="60" w:after="60"/>
      <w:jc w:val="center"/>
    </w:pPr>
    <w:rPr>
      <w:szCs w:val="20"/>
    </w:rPr>
  </w:style>
  <w:style w:type="paragraph" w:customStyle="1" w:styleId="188">
    <w:name w:val="样式 标题 2 + 黑体 四号 段前: 6 磅 段后: 6 磅 行距: 单倍行距"/>
    <w:basedOn w:val="5"/>
    <w:qFormat/>
    <w:uiPriority w:val="0"/>
    <w:pPr>
      <w:spacing w:before="120" w:after="120"/>
      <w:ind w:firstLine="540" w:firstLineChars="192"/>
    </w:pPr>
    <w:rPr>
      <w:rFonts w:ascii="黑体" w:hAnsi="黑体" w:cs="宋体"/>
      <w:szCs w:val="20"/>
    </w:rPr>
  </w:style>
  <w:style w:type="paragraph" w:customStyle="1" w:styleId="189">
    <w:name w:val="Char Char Char Char Char Char Char1"/>
    <w:basedOn w:val="1"/>
    <w:qFormat/>
    <w:uiPriority w:val="0"/>
  </w:style>
  <w:style w:type="paragraph" w:customStyle="1" w:styleId="190">
    <w:name w:val="pa-9"/>
    <w:basedOn w:val="1"/>
    <w:qFormat/>
    <w:uiPriority w:val="0"/>
    <w:pPr>
      <w:widowControl/>
      <w:spacing w:line="320" w:lineRule="atLeast"/>
      <w:ind w:firstLine="560"/>
    </w:pPr>
    <w:rPr>
      <w:rFonts w:ascii="宋体" w:hAnsi="宋体" w:cs="宋体"/>
      <w:kern w:val="0"/>
    </w:rPr>
  </w:style>
  <w:style w:type="paragraph" w:customStyle="1" w:styleId="191">
    <w:name w:val="Char2"/>
    <w:basedOn w:val="1"/>
    <w:qFormat/>
    <w:uiPriority w:val="0"/>
  </w:style>
  <w:style w:type="paragraph" w:customStyle="1" w:styleId="192">
    <w:name w:val="p0"/>
    <w:basedOn w:val="1"/>
    <w:qFormat/>
    <w:uiPriority w:val="0"/>
    <w:pPr>
      <w:widowControl/>
      <w:ind w:firstLine="420"/>
      <w:jc w:val="left"/>
    </w:pPr>
    <w:rPr>
      <w:kern w:val="0"/>
      <w:sz w:val="20"/>
      <w:szCs w:val="20"/>
    </w:rPr>
  </w:style>
  <w:style w:type="paragraph" w:customStyle="1" w:styleId="193">
    <w:name w:val="Char Char Char Char Char Char Char Char Char Char"/>
    <w:basedOn w:val="1"/>
    <w:qFormat/>
    <w:uiPriority w:val="0"/>
  </w:style>
  <w:style w:type="paragraph" w:customStyle="1" w:styleId="194">
    <w:name w:val="TOC 标题1"/>
    <w:basedOn w:val="4"/>
    <w:next w:val="1"/>
    <w:qFormat/>
    <w:uiPriority w:val="0"/>
    <w:pPr>
      <w:keepLines/>
      <w:widowControl/>
      <w:spacing w:before="480" w:line="276" w:lineRule="auto"/>
      <w:outlineLvl w:val="9"/>
    </w:pPr>
    <w:rPr>
      <w:rFonts w:ascii="Cambria" w:hAnsi="Cambria"/>
      <w:color w:val="365F91"/>
      <w:kern w:val="0"/>
      <w:sz w:val="28"/>
      <w:szCs w:val="28"/>
    </w:rPr>
  </w:style>
  <w:style w:type="paragraph" w:customStyle="1" w:styleId="195">
    <w:name w:val="标题2"/>
    <w:basedOn w:val="1"/>
    <w:next w:val="1"/>
    <w:qFormat/>
    <w:uiPriority w:val="0"/>
    <w:pPr>
      <w:tabs>
        <w:tab w:val="left" w:pos="720"/>
      </w:tabs>
    </w:pPr>
    <w:rPr>
      <w:rFonts w:eastAsia="黑体"/>
      <w:sz w:val="30"/>
    </w:rPr>
  </w:style>
  <w:style w:type="paragraph" w:customStyle="1" w:styleId="196">
    <w:name w:val="表格表格"/>
    <w:basedOn w:val="1"/>
    <w:qFormat/>
    <w:uiPriority w:val="0"/>
    <w:pPr>
      <w:jc w:val="left"/>
    </w:pPr>
    <w:rPr>
      <w:rFonts w:cs="宋体"/>
      <w:color w:val="000000"/>
      <w:kern w:val="0"/>
    </w:rPr>
  </w:style>
  <w:style w:type="paragraph" w:customStyle="1" w:styleId="197">
    <w:name w:val="电镀表"/>
    <w:basedOn w:val="1"/>
    <w:qFormat/>
    <w:uiPriority w:val="0"/>
    <w:pPr>
      <w:autoSpaceDE w:val="0"/>
      <w:autoSpaceDN w:val="0"/>
      <w:adjustRightInd w:val="0"/>
      <w:spacing w:line="0" w:lineRule="atLeast"/>
      <w:jc w:val="center"/>
      <w:textAlignment w:val="center"/>
    </w:pPr>
    <w:rPr>
      <w:rFonts w:ascii="宋体" w:hAnsi="宋体" w:cs="Arial Unicode MS"/>
      <w:color w:val="000000"/>
      <w:kern w:val="0"/>
    </w:rPr>
  </w:style>
  <w:style w:type="paragraph" w:customStyle="1" w:styleId="198">
    <w:name w:val="xl26"/>
    <w:basedOn w:val="1"/>
    <w:qFormat/>
    <w:uiPriority w:val="0"/>
    <w:pPr>
      <w:widowControl/>
      <w:pBdr>
        <w:bottom w:val="single" w:color="auto" w:sz="4" w:space="0"/>
        <w:right w:val="single" w:color="auto" w:sz="4" w:space="0"/>
      </w:pBdr>
      <w:spacing w:before="100" w:beforeAutospacing="1" w:after="100" w:afterAutospacing="1"/>
      <w:jc w:val="center"/>
    </w:pPr>
    <w:rPr>
      <w:kern w:val="0"/>
    </w:rPr>
  </w:style>
  <w:style w:type="paragraph" w:customStyle="1" w:styleId="199">
    <w:name w:val="3 Char"/>
    <w:basedOn w:val="1"/>
    <w:qFormat/>
    <w:uiPriority w:val="0"/>
  </w:style>
  <w:style w:type="paragraph" w:customStyle="1" w:styleId="200">
    <w:name w:val="宏福4"/>
    <w:basedOn w:val="1"/>
    <w:qFormat/>
    <w:uiPriority w:val="0"/>
    <w:pPr>
      <w:adjustRightInd w:val="0"/>
      <w:spacing w:line="400" w:lineRule="atLeast"/>
      <w:ind w:firstLine="567"/>
      <w:jc w:val="left"/>
      <w:textAlignment w:val="baseline"/>
    </w:pPr>
    <w:rPr>
      <w:sz w:val="28"/>
      <w:szCs w:val="28"/>
    </w:rPr>
  </w:style>
  <w:style w:type="paragraph" w:customStyle="1" w:styleId="201">
    <w:name w:val="样式2"/>
    <w:basedOn w:val="1"/>
    <w:qFormat/>
    <w:uiPriority w:val="0"/>
    <w:pPr>
      <w:framePr w:hSpace="181" w:vSpace="181" w:wrap="around" w:vAnchor="text" w:hAnchor="text" w:y="1"/>
    </w:pPr>
  </w:style>
  <w:style w:type="paragraph" w:customStyle="1" w:styleId="202">
    <w:name w:val="段落 Char"/>
    <w:basedOn w:val="1"/>
    <w:qFormat/>
    <w:uiPriority w:val="0"/>
    <w:pPr>
      <w:tabs>
        <w:tab w:val="left" w:pos="1021"/>
      </w:tabs>
      <w:spacing w:line="326" w:lineRule="auto"/>
      <w:ind w:firstLine="480"/>
    </w:pPr>
    <w:rPr>
      <w:kern w:val="24"/>
    </w:rPr>
  </w:style>
  <w:style w:type="paragraph" w:customStyle="1" w:styleId="203">
    <w:name w:val="Char Char Char1 Char"/>
    <w:basedOn w:val="1"/>
    <w:qFormat/>
    <w:uiPriority w:val="0"/>
  </w:style>
  <w:style w:type="paragraph" w:customStyle="1" w:styleId="204">
    <w:name w:val="正文四号"/>
    <w:basedOn w:val="1"/>
    <w:qFormat/>
    <w:uiPriority w:val="0"/>
    <w:pPr>
      <w:ind w:firstLine="200"/>
    </w:pPr>
    <w:rPr>
      <w:rFonts w:cs="宋体"/>
      <w:sz w:val="28"/>
      <w:szCs w:val="28"/>
    </w:rPr>
  </w:style>
  <w:style w:type="paragraph" w:customStyle="1" w:styleId="205">
    <w:name w:val="p16"/>
    <w:basedOn w:val="1"/>
    <w:qFormat/>
    <w:uiPriority w:val="0"/>
    <w:pPr>
      <w:widowControl/>
      <w:spacing w:before="100" w:beforeAutospacing="1" w:after="100" w:afterAutospacing="1"/>
      <w:jc w:val="left"/>
    </w:pPr>
    <w:rPr>
      <w:rFonts w:ascii="宋体" w:hAnsi="宋体" w:cs="宋体"/>
      <w:kern w:val="0"/>
    </w:rPr>
  </w:style>
  <w:style w:type="paragraph" w:customStyle="1" w:styleId="206">
    <w:name w:val="表尾 Char"/>
    <w:basedOn w:val="1"/>
    <w:link w:val="289"/>
    <w:qFormat/>
    <w:uiPriority w:val="0"/>
    <w:pPr>
      <w:tabs>
        <w:tab w:val="left" w:pos="1021"/>
      </w:tabs>
      <w:spacing w:line="200" w:lineRule="exact"/>
    </w:pPr>
    <w:rPr>
      <w:sz w:val="10"/>
      <w:szCs w:val="20"/>
    </w:rPr>
  </w:style>
  <w:style w:type="paragraph" w:customStyle="1" w:styleId="207">
    <w:name w:val="xl76"/>
    <w:basedOn w:val="1"/>
    <w:qFormat/>
    <w:uiPriority w:val="0"/>
    <w:pPr>
      <w:widowControl/>
      <w:spacing w:before="100" w:beforeAutospacing="1" w:after="100" w:afterAutospacing="1"/>
      <w:jc w:val="center"/>
    </w:pPr>
    <w:rPr>
      <w:rFonts w:ascii="Arial" w:hAnsi="Arial" w:cs="Arial"/>
      <w:kern w:val="0"/>
      <w:sz w:val="28"/>
      <w:szCs w:val="28"/>
    </w:rPr>
  </w:style>
  <w:style w:type="paragraph" w:customStyle="1" w:styleId="208">
    <w:name w:val="正文首行缩进 2 + Times New Roman"/>
    <w:basedOn w:val="1"/>
    <w:link w:val="261"/>
    <w:qFormat/>
    <w:uiPriority w:val="0"/>
    <w:pPr>
      <w:tabs>
        <w:tab w:val="left" w:pos="0"/>
        <w:tab w:val="left" w:pos="3150"/>
      </w:tabs>
      <w:autoSpaceDE w:val="0"/>
      <w:autoSpaceDN w:val="0"/>
      <w:spacing w:line="324" w:lineRule="auto"/>
      <w:ind w:right="113" w:firstLine="480"/>
      <w:jc w:val="left"/>
    </w:pPr>
  </w:style>
  <w:style w:type="paragraph" w:customStyle="1" w:styleId="209">
    <w:name w:val="无间隔1"/>
    <w:link w:val="257"/>
    <w:qFormat/>
    <w:uiPriority w:val="0"/>
    <w:rPr>
      <w:rFonts w:ascii="Calibri" w:hAnsi="Calibri" w:eastAsia="宋体" w:cs="Times New Roman"/>
      <w:sz w:val="22"/>
      <w:szCs w:val="22"/>
      <w:lang w:val="en-US" w:eastAsia="zh-CN" w:bidi="ar-SA"/>
    </w:rPr>
  </w:style>
  <w:style w:type="paragraph" w:customStyle="1" w:styleId="210">
    <w:name w:val="CM26"/>
    <w:basedOn w:val="58"/>
    <w:next w:val="58"/>
    <w:qFormat/>
    <w:uiPriority w:val="0"/>
    <w:pPr>
      <w:spacing w:after="168"/>
    </w:pPr>
    <w:rPr>
      <w:rFonts w:ascii="黑体" w:eastAsia="黑体"/>
      <w:color w:val="auto"/>
    </w:rPr>
  </w:style>
  <w:style w:type="paragraph" w:customStyle="1" w:styleId="211">
    <w:name w:val="Char Char1 Char Char Char Char Char Char Char"/>
    <w:basedOn w:val="1"/>
    <w:qFormat/>
    <w:uiPriority w:val="0"/>
  </w:style>
  <w:style w:type="paragraph" w:customStyle="1" w:styleId="212">
    <w:name w:val="样式 题注 + 首行缩进:  2 字符"/>
    <w:basedOn w:val="17"/>
    <w:qFormat/>
    <w:uiPriority w:val="0"/>
    <w:pPr>
      <w:ind w:firstLine="400"/>
      <w:jc w:val="center"/>
    </w:pPr>
    <w:rPr>
      <w:rFonts w:ascii="Arial" w:hAnsi="Arial" w:eastAsia="仿宋_GB2312" w:cs="宋体"/>
      <w:b/>
    </w:rPr>
  </w:style>
  <w:style w:type="paragraph" w:customStyle="1" w:styleId="213">
    <w:name w:val="样式 首行缩进:  2 字符"/>
    <w:basedOn w:val="1"/>
    <w:link w:val="337"/>
    <w:qFormat/>
    <w:uiPriority w:val="0"/>
    <w:pPr>
      <w:ind w:firstLine="560"/>
    </w:pPr>
    <w:rPr>
      <w:rFonts w:ascii="宋体" w:hAnsi="宋体" w:cs="宋体"/>
      <w:sz w:val="28"/>
      <w:szCs w:val="20"/>
    </w:rPr>
  </w:style>
  <w:style w:type="paragraph" w:customStyle="1" w:styleId="214">
    <w:name w:val="样式 表格文字 Char + 段前: 0.5 行"/>
    <w:basedOn w:val="1"/>
    <w:qFormat/>
    <w:uiPriority w:val="0"/>
    <w:pPr>
      <w:spacing w:beforeLines="50"/>
      <w:jc w:val="center"/>
    </w:pPr>
    <w:rPr>
      <w:szCs w:val="20"/>
    </w:rPr>
  </w:style>
  <w:style w:type="paragraph" w:customStyle="1" w:styleId="215">
    <w:name w:val="font1"/>
    <w:basedOn w:val="1"/>
    <w:qFormat/>
    <w:uiPriority w:val="0"/>
    <w:pPr>
      <w:widowControl/>
      <w:spacing w:before="100" w:beforeAutospacing="1" w:after="100" w:afterAutospacing="1"/>
      <w:jc w:val="left"/>
    </w:pPr>
    <w:rPr>
      <w:rFonts w:ascii="Arial" w:hAnsi="Arial" w:cs="Arial"/>
      <w:kern w:val="0"/>
      <w:sz w:val="22"/>
      <w:szCs w:val="22"/>
    </w:rPr>
  </w:style>
  <w:style w:type="paragraph" w:customStyle="1" w:styleId="216">
    <w:name w:val="样式 样式 标题 4 + 黑色 + 宋体 加粗"/>
    <w:basedOn w:val="178"/>
    <w:qFormat/>
    <w:uiPriority w:val="0"/>
    <w:rPr>
      <w:rFonts w:ascii="宋体" w:hAnsi="宋体" w:eastAsia="宋体"/>
      <w:b/>
      <w:bCs w:val="0"/>
    </w:rPr>
  </w:style>
  <w:style w:type="paragraph" w:customStyle="1" w:styleId="217">
    <w:name w:val="标题 3+"/>
    <w:basedOn w:val="6"/>
    <w:qFormat/>
    <w:uiPriority w:val="0"/>
    <w:pPr>
      <w:snapToGrid w:val="0"/>
      <w:spacing w:line="480" w:lineRule="exact"/>
    </w:pPr>
    <w:rPr>
      <w:szCs w:val="24"/>
    </w:rPr>
  </w:style>
  <w:style w:type="paragraph" w:customStyle="1" w:styleId="218">
    <w:name w:val="正文LXF"/>
    <w:basedOn w:val="1"/>
    <w:qFormat/>
    <w:uiPriority w:val="0"/>
    <w:pPr>
      <w:spacing w:line="580" w:lineRule="atLeast"/>
      <w:ind w:firstLine="200"/>
    </w:pPr>
    <w:rPr>
      <w:sz w:val="28"/>
      <w:szCs w:val="20"/>
    </w:rPr>
  </w:style>
  <w:style w:type="paragraph" w:customStyle="1" w:styleId="219">
    <w:name w:val="zw"/>
    <w:basedOn w:val="1"/>
    <w:qFormat/>
    <w:uiPriority w:val="0"/>
    <w:pPr>
      <w:tabs>
        <w:tab w:val="left" w:pos="2880"/>
      </w:tabs>
      <w:snapToGrid w:val="0"/>
      <w:ind w:firstLine="480"/>
    </w:pPr>
    <w:rPr>
      <w:rFonts w:ascii="宋体" w:hAnsi="宋体"/>
    </w:rPr>
  </w:style>
  <w:style w:type="paragraph" w:customStyle="1" w:styleId="220">
    <w:name w:val="表标题"/>
    <w:basedOn w:val="1"/>
    <w:link w:val="248"/>
    <w:qFormat/>
    <w:uiPriority w:val="0"/>
    <w:pPr>
      <w:tabs>
        <w:tab w:val="left" w:pos="0"/>
      </w:tabs>
      <w:spacing w:line="240" w:lineRule="auto"/>
      <w:jc w:val="center"/>
    </w:pPr>
    <w:rPr>
      <w:rFonts w:ascii="Times New Roman" w:hAnsi="Times New Roman"/>
      <w:b/>
      <w:szCs w:val="20"/>
    </w:rPr>
  </w:style>
  <w:style w:type="paragraph" w:customStyle="1" w:styleId="221">
    <w:name w:val="1表格"/>
    <w:basedOn w:val="1"/>
    <w:qFormat/>
    <w:uiPriority w:val="0"/>
    <w:pPr>
      <w:spacing w:line="160" w:lineRule="atLeast"/>
      <w:jc w:val="center"/>
    </w:pPr>
    <w:rPr>
      <w:rFonts w:eastAsia="仿宋_GB2312"/>
      <w:szCs w:val="20"/>
    </w:rPr>
  </w:style>
  <w:style w:type="paragraph" w:customStyle="1" w:styleId="222">
    <w:name w:val="标题 2 + 左"/>
    <w:basedOn w:val="5"/>
    <w:qFormat/>
    <w:uiPriority w:val="0"/>
    <w:pPr>
      <w:spacing w:before="120" w:after="120" w:line="540" w:lineRule="exact"/>
    </w:pPr>
    <w:rPr>
      <w:rFonts w:cs="宋体"/>
      <w:szCs w:val="20"/>
    </w:rPr>
  </w:style>
  <w:style w:type="paragraph" w:customStyle="1" w:styleId="223">
    <w:name w:val="xl34"/>
    <w:basedOn w:val="1"/>
    <w:qFormat/>
    <w:uiPriority w:val="0"/>
    <w:pPr>
      <w:widowControl/>
      <w:pBdr>
        <w:bottom w:val="single" w:color="auto" w:sz="4" w:space="0"/>
        <w:right w:val="single" w:color="auto" w:sz="4" w:space="0"/>
      </w:pBdr>
      <w:spacing w:before="100" w:beforeAutospacing="1" w:after="100" w:afterAutospacing="1"/>
      <w:jc w:val="center"/>
    </w:pPr>
    <w:rPr>
      <w:kern w:val="0"/>
    </w:rPr>
  </w:style>
  <w:style w:type="paragraph" w:customStyle="1" w:styleId="224">
    <w:name w:val="pa-1"/>
    <w:basedOn w:val="1"/>
    <w:qFormat/>
    <w:uiPriority w:val="0"/>
    <w:pPr>
      <w:widowControl/>
      <w:spacing w:line="340" w:lineRule="atLeast"/>
      <w:ind w:firstLine="600"/>
    </w:pPr>
    <w:rPr>
      <w:rFonts w:ascii="宋体" w:hAnsi="宋体" w:cs="宋体"/>
      <w:kern w:val="0"/>
    </w:rPr>
  </w:style>
  <w:style w:type="paragraph" w:customStyle="1" w:styleId="225">
    <w:name w:val="标题四"/>
    <w:basedOn w:val="7"/>
    <w:qFormat/>
    <w:uiPriority w:val="0"/>
  </w:style>
  <w:style w:type="paragraph" w:customStyle="1" w:styleId="226">
    <w:name w:val="样式7"/>
    <w:basedOn w:val="6"/>
    <w:link w:val="325"/>
    <w:qFormat/>
    <w:uiPriority w:val="0"/>
    <w:pPr>
      <w:spacing w:before="120"/>
    </w:pPr>
    <w:rPr>
      <w:szCs w:val="24"/>
    </w:rPr>
  </w:style>
  <w:style w:type="paragraph" w:customStyle="1" w:styleId="227">
    <w:name w:val="表格文字"/>
    <w:basedOn w:val="1"/>
    <w:link w:val="253"/>
    <w:qFormat/>
    <w:uiPriority w:val="0"/>
    <w:pPr>
      <w:spacing w:line="240" w:lineRule="exact"/>
    </w:pPr>
    <w:rPr>
      <w:rFonts w:ascii="宋体" w:hAnsi="宋体"/>
    </w:rPr>
  </w:style>
  <w:style w:type="paragraph" w:customStyle="1" w:styleId="228">
    <w:name w:val="缩进"/>
    <w:basedOn w:val="1"/>
    <w:qFormat/>
    <w:uiPriority w:val="0"/>
    <w:pPr>
      <w:autoSpaceDE w:val="0"/>
      <w:autoSpaceDN w:val="0"/>
      <w:adjustRightInd w:val="0"/>
      <w:spacing w:line="400" w:lineRule="atLeast"/>
      <w:ind w:firstLine="425"/>
      <w:textAlignment w:val="baseline"/>
    </w:pPr>
    <w:rPr>
      <w:kern w:val="0"/>
      <w:szCs w:val="20"/>
    </w:rPr>
  </w:style>
  <w:style w:type="paragraph" w:customStyle="1" w:styleId="229">
    <w:name w:val="xl31"/>
    <w:basedOn w:val="1"/>
    <w:qFormat/>
    <w:uiPriority w:val="0"/>
    <w:pPr>
      <w:widowControl/>
      <w:pBdr>
        <w:left w:val="single" w:color="auto" w:sz="4" w:space="0"/>
        <w:bottom w:val="single" w:color="auto" w:sz="4" w:space="0"/>
      </w:pBdr>
      <w:spacing w:before="100" w:beforeAutospacing="1" w:after="100" w:afterAutospacing="1"/>
      <w:jc w:val="center"/>
      <w:textAlignment w:val="center"/>
    </w:pPr>
    <w:rPr>
      <w:kern w:val="0"/>
    </w:rPr>
  </w:style>
  <w:style w:type="paragraph" w:customStyle="1" w:styleId="230">
    <w:name w:val="表 头"/>
    <w:basedOn w:val="1"/>
    <w:link w:val="323"/>
    <w:qFormat/>
    <w:uiPriority w:val="0"/>
    <w:pPr>
      <w:snapToGrid w:val="0"/>
      <w:jc w:val="center"/>
      <w:outlineLvl w:val="4"/>
    </w:pPr>
    <w:rPr>
      <w:b/>
      <w:kern w:val="0"/>
      <w:sz w:val="27"/>
      <w:szCs w:val="27"/>
    </w:rPr>
  </w:style>
  <w:style w:type="paragraph" w:customStyle="1" w:styleId="231">
    <w:name w:val="表1表2"/>
    <w:basedOn w:val="1"/>
    <w:qFormat/>
    <w:uiPriority w:val="0"/>
    <w:pPr>
      <w:autoSpaceDE w:val="0"/>
      <w:autoSpaceDN w:val="0"/>
      <w:adjustRightInd w:val="0"/>
      <w:jc w:val="center"/>
      <w:textAlignment w:val="center"/>
    </w:pPr>
    <w:rPr>
      <w:rFonts w:eastAsia="仿宋_GB2312"/>
      <w:kern w:val="0"/>
    </w:rPr>
  </w:style>
  <w:style w:type="paragraph" w:customStyle="1" w:styleId="232">
    <w:name w:val="佛表"/>
    <w:basedOn w:val="36"/>
    <w:qFormat/>
    <w:uiPriority w:val="0"/>
    <w:pPr>
      <w:ind w:left="0" w:firstLine="0" w:firstLineChars="0"/>
      <w:jc w:val="center"/>
    </w:pPr>
    <w:rPr>
      <w:color w:val="000000"/>
      <w:kern w:val="0"/>
      <w:szCs w:val="20"/>
    </w:rPr>
  </w:style>
  <w:style w:type="paragraph" w:customStyle="1" w:styleId="233">
    <w:name w:val="bigbold"/>
    <w:basedOn w:val="1"/>
    <w:qFormat/>
    <w:uiPriority w:val="0"/>
    <w:pPr>
      <w:widowControl/>
      <w:spacing w:before="100" w:beforeAutospacing="1" w:after="100" w:afterAutospacing="1"/>
      <w:jc w:val="left"/>
    </w:pPr>
    <w:rPr>
      <w:rFonts w:hint="eastAsia" w:ascii="宋体" w:hAnsi="宋体"/>
      <w:kern w:val="0"/>
    </w:rPr>
  </w:style>
  <w:style w:type="paragraph" w:customStyle="1" w:styleId="234">
    <w:name w:val="简单回函地址"/>
    <w:basedOn w:val="1"/>
    <w:qFormat/>
    <w:uiPriority w:val="0"/>
  </w:style>
  <w:style w:type="paragraph" w:customStyle="1" w:styleId="235">
    <w:name w:val="表中文字1"/>
    <w:qFormat/>
    <w:uiPriority w:val="0"/>
    <w:pPr>
      <w:widowControl w:val="0"/>
      <w:autoSpaceDE w:val="0"/>
      <w:autoSpaceDN w:val="0"/>
      <w:adjustRightInd w:val="0"/>
      <w:jc w:val="center"/>
    </w:pPr>
    <w:rPr>
      <w:rFonts w:ascii="宋体" w:hAnsi="宋体" w:eastAsia="宋体" w:cs="Times New Roman"/>
      <w:kern w:val="2"/>
      <w:sz w:val="24"/>
      <w:szCs w:val="18"/>
      <w:lang w:val="en-US" w:eastAsia="zh-CN" w:bidi="ar-SA"/>
    </w:rPr>
  </w:style>
  <w:style w:type="paragraph" w:customStyle="1" w:styleId="236">
    <w:name w:val="表格"/>
    <w:basedOn w:val="1"/>
    <w:link w:val="241"/>
    <w:qFormat/>
    <w:uiPriority w:val="0"/>
    <w:pPr>
      <w:spacing w:line="400" w:lineRule="exact"/>
      <w:jc w:val="center"/>
    </w:pPr>
    <w:rPr>
      <w:rFonts w:ascii="宋体" w:hAnsi="宋体"/>
    </w:rPr>
  </w:style>
  <w:style w:type="paragraph" w:customStyle="1" w:styleId="237">
    <w:name w:val="5"/>
    <w:basedOn w:val="1"/>
    <w:qFormat/>
    <w:uiPriority w:val="0"/>
  </w:style>
  <w:style w:type="character" w:customStyle="1" w:styleId="238">
    <w:name w:val="a91"/>
    <w:basedOn w:val="51"/>
    <w:qFormat/>
    <w:uiPriority w:val="0"/>
  </w:style>
  <w:style w:type="character" w:customStyle="1" w:styleId="239">
    <w:name w:val="正文四号 Char Char"/>
    <w:qFormat/>
    <w:uiPriority w:val="0"/>
    <w:rPr>
      <w:rFonts w:eastAsia="宋体" w:cs="宋体"/>
      <w:kern w:val="2"/>
      <w:sz w:val="28"/>
      <w:szCs w:val="28"/>
      <w:lang w:val="en-US" w:eastAsia="zh-CN" w:bidi="ar-SA"/>
    </w:rPr>
  </w:style>
  <w:style w:type="character" w:customStyle="1" w:styleId="240">
    <w:name w:val="正文1 Char"/>
    <w:link w:val="162"/>
    <w:qFormat/>
    <w:uiPriority w:val="0"/>
    <w:rPr>
      <w:rFonts w:eastAsia="宋体"/>
      <w:kern w:val="2"/>
      <w:sz w:val="28"/>
      <w:lang w:val="en-US" w:eastAsia="zh-CN" w:bidi="ar-SA"/>
    </w:rPr>
  </w:style>
  <w:style w:type="character" w:customStyle="1" w:styleId="241">
    <w:name w:val="表格 Char"/>
    <w:link w:val="236"/>
    <w:qFormat/>
    <w:locked/>
    <w:uiPriority w:val="0"/>
    <w:rPr>
      <w:rFonts w:ascii="宋体" w:hAnsi="宋体" w:eastAsia="宋体"/>
      <w:kern w:val="2"/>
      <w:sz w:val="21"/>
      <w:szCs w:val="24"/>
      <w:lang w:val="en-US" w:eastAsia="zh-CN" w:bidi="ar-SA"/>
    </w:rPr>
  </w:style>
  <w:style w:type="character" w:customStyle="1" w:styleId="242">
    <w:name w:val="白银标题3 Char"/>
    <w:link w:val="133"/>
    <w:qFormat/>
    <w:uiPriority w:val="0"/>
    <w:rPr>
      <w:rFonts w:eastAsia="宋体"/>
      <w:b/>
      <w:bCs/>
      <w:kern w:val="2"/>
      <w:sz w:val="24"/>
      <w:szCs w:val="24"/>
      <w:lang w:val="en-US" w:eastAsia="zh-CN" w:bidi="ar-SA"/>
    </w:rPr>
  </w:style>
  <w:style w:type="character" w:customStyle="1" w:styleId="243">
    <w:name w:val="stylenew1"/>
    <w:qFormat/>
    <w:uiPriority w:val="0"/>
    <w:rPr>
      <w:rFonts w:hint="default" w:ascii="Verdana" w:hAnsi="Verdana"/>
      <w:sz w:val="22"/>
      <w:szCs w:val="22"/>
    </w:rPr>
  </w:style>
  <w:style w:type="character" w:customStyle="1" w:styleId="244">
    <w:name w:val="font41"/>
    <w:qFormat/>
    <w:uiPriority w:val="0"/>
    <w:rPr>
      <w:rFonts w:hint="default" w:ascii="Times New Roman" w:hAnsi="Times New Roman" w:cs="Times New Roman"/>
      <w:color w:val="000000"/>
      <w:sz w:val="21"/>
      <w:szCs w:val="21"/>
      <w:u w:val="none"/>
      <w:vertAlign w:val="superscript"/>
    </w:rPr>
  </w:style>
  <w:style w:type="character" w:customStyle="1" w:styleId="245">
    <w:name w:val="s1"/>
    <w:qFormat/>
    <w:uiPriority w:val="0"/>
    <w:rPr>
      <w:sz w:val="18"/>
      <w:szCs w:val="18"/>
    </w:rPr>
  </w:style>
  <w:style w:type="character" w:customStyle="1" w:styleId="246">
    <w:name w:val="报告正文 Char Char"/>
    <w:link w:val="186"/>
    <w:qFormat/>
    <w:uiPriority w:val="0"/>
    <w:rPr>
      <w:rFonts w:ascii="宋体"/>
      <w:kern w:val="2"/>
      <w:sz w:val="24"/>
    </w:rPr>
  </w:style>
  <w:style w:type="character" w:customStyle="1" w:styleId="247">
    <w:name w:val="Heading 2 Char"/>
    <w:qFormat/>
    <w:locked/>
    <w:uiPriority w:val="0"/>
    <w:rPr>
      <w:rFonts w:ascii="Cambria" w:hAnsi="Cambria" w:eastAsia="宋体"/>
      <w:b/>
      <w:bCs/>
      <w:kern w:val="2"/>
      <w:sz w:val="32"/>
      <w:szCs w:val="32"/>
      <w:lang w:val="en-US" w:eastAsia="zh-CN" w:bidi="ar-SA"/>
    </w:rPr>
  </w:style>
  <w:style w:type="character" w:customStyle="1" w:styleId="248">
    <w:name w:val="表标题 Char"/>
    <w:link w:val="220"/>
    <w:qFormat/>
    <w:uiPriority w:val="0"/>
    <w:rPr>
      <w:rFonts w:ascii="Times New Roman" w:hAnsi="Times New Roman" w:eastAsia="宋体"/>
      <w:b/>
      <w:sz w:val="24"/>
      <w:szCs w:val="20"/>
    </w:rPr>
  </w:style>
  <w:style w:type="character" w:customStyle="1" w:styleId="249">
    <w:name w:val="headline-content2"/>
    <w:basedOn w:val="51"/>
    <w:qFormat/>
    <w:uiPriority w:val="0"/>
  </w:style>
  <w:style w:type="character" w:customStyle="1" w:styleId="250">
    <w:name w:val="陈光的正文 Char"/>
    <w:qFormat/>
    <w:uiPriority w:val="0"/>
    <w:rPr>
      <w:rFonts w:eastAsia="宋体"/>
      <w:kern w:val="2"/>
      <w:sz w:val="28"/>
      <w:lang w:val="en-US" w:eastAsia="zh-CN" w:bidi="ar-SA"/>
    </w:rPr>
  </w:style>
  <w:style w:type="character" w:customStyle="1" w:styleId="251">
    <w:name w:val="文档结构图 Char"/>
    <w:link w:val="18"/>
    <w:semiHidden/>
    <w:qFormat/>
    <w:locked/>
    <w:uiPriority w:val="0"/>
    <w:rPr>
      <w:rFonts w:eastAsia="宋体"/>
      <w:kern w:val="2"/>
      <w:sz w:val="21"/>
      <w:szCs w:val="24"/>
      <w:lang w:val="en-US" w:eastAsia="zh-CN" w:bidi="ar-SA"/>
    </w:rPr>
  </w:style>
  <w:style w:type="character" w:customStyle="1" w:styleId="252">
    <w:name w:val="Char Char6"/>
    <w:qFormat/>
    <w:uiPriority w:val="0"/>
    <w:rPr>
      <w:rFonts w:eastAsia="宋体"/>
      <w:b/>
      <w:bCs/>
      <w:kern w:val="2"/>
      <w:sz w:val="21"/>
      <w:szCs w:val="24"/>
      <w:lang w:val="en-US" w:eastAsia="zh-CN" w:bidi="ar-SA"/>
    </w:rPr>
  </w:style>
  <w:style w:type="character" w:customStyle="1" w:styleId="253">
    <w:name w:val="表格文字 Char Char"/>
    <w:link w:val="227"/>
    <w:qFormat/>
    <w:uiPriority w:val="0"/>
    <w:rPr>
      <w:rFonts w:ascii="宋体" w:hAnsi="宋体" w:eastAsia="宋体"/>
      <w:kern w:val="2"/>
      <w:sz w:val="21"/>
      <w:szCs w:val="21"/>
      <w:lang w:val="en-US" w:eastAsia="zh-CN" w:bidi="ar-SA"/>
    </w:rPr>
  </w:style>
  <w:style w:type="character" w:customStyle="1" w:styleId="254">
    <w:name w:val="普通(网站) Char"/>
    <w:link w:val="43"/>
    <w:qFormat/>
    <w:uiPriority w:val="0"/>
    <w:rPr>
      <w:rFonts w:ascii="宋体" w:hAnsi="宋体" w:eastAsia="仿宋"/>
      <w:sz w:val="24"/>
      <w:lang w:val="en-US" w:eastAsia="zh-CN" w:bidi="ar-SA"/>
    </w:rPr>
  </w:style>
  <w:style w:type="character" w:customStyle="1" w:styleId="255">
    <w:name w:val="Char Char Char"/>
    <w:qFormat/>
    <w:uiPriority w:val="0"/>
    <w:rPr>
      <w:rFonts w:ascii="宋体" w:hAnsi="宋体" w:eastAsia="宋体"/>
      <w:kern w:val="2"/>
      <w:sz w:val="28"/>
      <w:szCs w:val="12"/>
      <w:lang w:val="en-US" w:eastAsia="zh-CN" w:bidi="ar-SA"/>
    </w:rPr>
  </w:style>
  <w:style w:type="character" w:customStyle="1" w:styleId="256">
    <w:name w:val="Char Char5"/>
    <w:qFormat/>
    <w:uiPriority w:val="0"/>
    <w:rPr>
      <w:rFonts w:eastAsia="宋体"/>
      <w:sz w:val="18"/>
      <w:lang w:val="en-US" w:eastAsia="zh-CN" w:bidi="ar-SA"/>
    </w:rPr>
  </w:style>
  <w:style w:type="character" w:customStyle="1" w:styleId="257">
    <w:name w:val="No Spacing Char"/>
    <w:link w:val="209"/>
    <w:qFormat/>
    <w:locked/>
    <w:uiPriority w:val="0"/>
    <w:rPr>
      <w:rFonts w:ascii="Calibri" w:hAnsi="Calibri"/>
      <w:sz w:val="22"/>
      <w:szCs w:val="22"/>
      <w:lang w:val="en-US" w:eastAsia="zh-CN" w:bidi="ar-SA"/>
    </w:rPr>
  </w:style>
  <w:style w:type="character" w:customStyle="1" w:styleId="258">
    <w:name w:val="Char Char2"/>
    <w:qFormat/>
    <w:uiPriority w:val="0"/>
    <w:rPr>
      <w:kern w:val="2"/>
      <w:sz w:val="18"/>
      <w:szCs w:val="18"/>
    </w:rPr>
  </w:style>
  <w:style w:type="character" w:customStyle="1" w:styleId="259">
    <w:name w:val="标题 31"/>
    <w:basedOn w:val="51"/>
    <w:qFormat/>
    <w:uiPriority w:val="0"/>
  </w:style>
  <w:style w:type="character" w:customStyle="1" w:styleId="260">
    <w:name w:val="页眉 Char"/>
    <w:link w:val="31"/>
    <w:qFormat/>
    <w:locked/>
    <w:uiPriority w:val="0"/>
    <w:rPr>
      <w:rFonts w:eastAsia="宋体"/>
      <w:kern w:val="2"/>
      <w:sz w:val="18"/>
      <w:szCs w:val="18"/>
      <w:lang w:val="en-US" w:eastAsia="zh-CN" w:bidi="ar-SA"/>
    </w:rPr>
  </w:style>
  <w:style w:type="character" w:customStyle="1" w:styleId="261">
    <w:name w:val="正文首行缩进 2 + Times New Roman Char"/>
    <w:link w:val="208"/>
    <w:qFormat/>
    <w:uiPriority w:val="0"/>
    <w:rPr>
      <w:kern w:val="2"/>
      <w:sz w:val="24"/>
      <w:szCs w:val="24"/>
    </w:rPr>
  </w:style>
  <w:style w:type="character" w:customStyle="1" w:styleId="262">
    <w:name w:val="标题 4 Char"/>
    <w:link w:val="7"/>
    <w:qFormat/>
    <w:locked/>
    <w:uiPriority w:val="0"/>
    <w:rPr>
      <w:rFonts w:ascii="Times New Roman" w:hAnsi="Times New Roman" w:eastAsia="宋体"/>
      <w:b/>
      <w:bCs/>
      <w:kern w:val="2"/>
      <w:sz w:val="24"/>
      <w:szCs w:val="28"/>
      <w:lang w:val="en-US" w:eastAsia="zh-CN" w:bidi="ar-SA"/>
    </w:rPr>
  </w:style>
  <w:style w:type="character" w:customStyle="1" w:styleId="263">
    <w:name w:val="标题 2 Char1"/>
    <w:link w:val="5"/>
    <w:qFormat/>
    <w:uiPriority w:val="0"/>
    <w:rPr>
      <w:rFonts w:ascii="Times New Roman" w:hAnsi="Times New Roman" w:eastAsia="宋体"/>
      <w:b/>
      <w:bCs/>
      <w:kern w:val="2"/>
      <w:sz w:val="28"/>
      <w:szCs w:val="32"/>
      <w:lang w:val="en-US" w:eastAsia="zh-CN" w:bidi="ar-SA"/>
    </w:rPr>
  </w:style>
  <w:style w:type="character" w:customStyle="1" w:styleId="264">
    <w:name w:val="陈光的正文 Char Char"/>
    <w:qFormat/>
    <w:uiPriority w:val="0"/>
    <w:rPr>
      <w:rFonts w:eastAsia="宋体"/>
      <w:kern w:val="2"/>
      <w:sz w:val="28"/>
      <w:lang w:val="en-US" w:eastAsia="zh-CN" w:bidi="ar-SA"/>
    </w:rPr>
  </w:style>
  <w:style w:type="character" w:customStyle="1" w:styleId="265">
    <w:name w:val="doc_title1"/>
    <w:qFormat/>
    <w:uiPriority w:val="0"/>
    <w:rPr>
      <w:rFonts w:hint="default" w:ascii="_x001A_" w:hAnsi="_x001A_"/>
      <w:sz w:val="30"/>
      <w:szCs w:val="30"/>
    </w:rPr>
  </w:style>
  <w:style w:type="character" w:customStyle="1" w:styleId="266">
    <w:name w:val="1 Char Char"/>
    <w:qFormat/>
    <w:uiPriority w:val="0"/>
    <w:rPr>
      <w:rFonts w:ascii="Arial" w:hAnsi="Arial" w:eastAsia="黑体"/>
      <w:b/>
      <w:bCs/>
      <w:kern w:val="2"/>
      <w:sz w:val="32"/>
      <w:szCs w:val="32"/>
      <w:lang w:val="en-US" w:eastAsia="zh-CN" w:bidi="ar-SA"/>
    </w:rPr>
  </w:style>
  <w:style w:type="character" w:customStyle="1" w:styleId="267">
    <w:name w:val="Comment Text Char"/>
    <w:semiHidden/>
    <w:qFormat/>
    <w:locked/>
    <w:uiPriority w:val="0"/>
    <w:rPr>
      <w:rFonts w:eastAsia="宋体"/>
      <w:kern w:val="2"/>
      <w:sz w:val="28"/>
      <w:szCs w:val="22"/>
      <w:lang w:val="en-US" w:eastAsia="zh-CN" w:bidi="ar-SA"/>
    </w:rPr>
  </w:style>
  <w:style w:type="character" w:customStyle="1" w:styleId="268">
    <w:name w:val="样式2 Char"/>
    <w:qFormat/>
    <w:uiPriority w:val="0"/>
    <w:rPr>
      <w:rFonts w:ascii="宋体" w:hAnsi="宋体" w:eastAsia="黑体"/>
      <w:b/>
      <w:kern w:val="2"/>
      <w:sz w:val="28"/>
      <w:szCs w:val="24"/>
      <w:lang w:val="en-US" w:eastAsia="zh-CN" w:bidi="ar-SA"/>
    </w:rPr>
  </w:style>
  <w:style w:type="character" w:customStyle="1" w:styleId="269">
    <w:name w:val="批注文字 Char"/>
    <w:link w:val="19"/>
    <w:qFormat/>
    <w:uiPriority w:val="0"/>
    <w:rPr>
      <w:rFonts w:eastAsia="宋体"/>
      <w:kern w:val="2"/>
      <w:sz w:val="21"/>
      <w:szCs w:val="24"/>
      <w:lang w:val="en-US" w:eastAsia="zh-CN" w:bidi="ar-SA"/>
    </w:rPr>
  </w:style>
  <w:style w:type="character" w:customStyle="1" w:styleId="270">
    <w:name w:val="font201"/>
    <w:qFormat/>
    <w:uiPriority w:val="0"/>
    <w:rPr>
      <w:spacing w:val="300"/>
    </w:rPr>
  </w:style>
  <w:style w:type="character" w:customStyle="1" w:styleId="271">
    <w:name w:val="页脚 Char"/>
    <w:link w:val="30"/>
    <w:qFormat/>
    <w:locked/>
    <w:uiPriority w:val="0"/>
    <w:rPr>
      <w:rFonts w:eastAsia="宋体"/>
      <w:kern w:val="2"/>
      <w:sz w:val="18"/>
      <w:szCs w:val="18"/>
      <w:lang w:val="en-US" w:eastAsia="zh-CN" w:bidi="ar-SA"/>
    </w:rPr>
  </w:style>
  <w:style w:type="character" w:customStyle="1" w:styleId="272">
    <w:name w:val="Char Char30"/>
    <w:qFormat/>
    <w:uiPriority w:val="0"/>
    <w:rPr>
      <w:rFonts w:ascii="Arial" w:hAnsi="Arial" w:eastAsia="黑体"/>
      <w:b/>
      <w:bCs/>
      <w:kern w:val="2"/>
      <w:sz w:val="32"/>
      <w:szCs w:val="32"/>
      <w:lang w:val="en-US" w:eastAsia="zh-CN" w:bidi="ar-SA"/>
    </w:rPr>
  </w:style>
  <w:style w:type="character" w:customStyle="1" w:styleId="273">
    <w:name w:val="Char Char"/>
    <w:qFormat/>
    <w:uiPriority w:val="0"/>
    <w:rPr>
      <w:rFonts w:eastAsia="宋体"/>
      <w:kern w:val="2"/>
      <w:sz w:val="18"/>
      <w:szCs w:val="18"/>
      <w:lang w:val="en-US" w:eastAsia="zh-CN" w:bidi="ar-SA"/>
    </w:rPr>
  </w:style>
  <w:style w:type="character" w:customStyle="1" w:styleId="274">
    <w:name w:val="bt21"/>
    <w:qFormat/>
    <w:uiPriority w:val="0"/>
    <w:rPr>
      <w:rFonts w:hint="eastAsia" w:ascii="黑体" w:eastAsia="黑体"/>
      <w:sz w:val="24"/>
      <w:szCs w:val="24"/>
    </w:rPr>
  </w:style>
  <w:style w:type="character" w:customStyle="1" w:styleId="275">
    <w:name w:val="主体 Char Char"/>
    <w:link w:val="123"/>
    <w:qFormat/>
    <w:uiPriority w:val="0"/>
    <w:rPr>
      <w:rFonts w:eastAsia="仿宋_GB2312"/>
      <w:bCs/>
      <w:kern w:val="2"/>
      <w:sz w:val="24"/>
      <w:szCs w:val="24"/>
      <w:lang w:val="en-US" w:eastAsia="zh-CN" w:bidi="ar-SA"/>
    </w:rPr>
  </w:style>
  <w:style w:type="character" w:customStyle="1" w:styleId="276">
    <w:name w:val="[正文格式] Char"/>
    <w:link w:val="117"/>
    <w:qFormat/>
    <w:uiPriority w:val="0"/>
    <w:rPr>
      <w:kern w:val="2"/>
      <w:sz w:val="25"/>
    </w:rPr>
  </w:style>
  <w:style w:type="character" w:customStyle="1" w:styleId="277">
    <w:name w:val="t_tag"/>
    <w:basedOn w:val="51"/>
    <w:qFormat/>
    <w:uiPriority w:val="0"/>
  </w:style>
  <w:style w:type="character" w:customStyle="1" w:styleId="278">
    <w:name w:val="表头 Char1"/>
    <w:link w:val="177"/>
    <w:qFormat/>
    <w:uiPriority w:val="0"/>
    <w:rPr>
      <w:rFonts w:eastAsia="宋体"/>
      <w:color w:val="0000FF"/>
      <w:kern w:val="2"/>
      <w:sz w:val="21"/>
      <w:lang w:val="en-US" w:eastAsia="zh-CN" w:bidi="ar-SA"/>
    </w:rPr>
  </w:style>
  <w:style w:type="character" w:customStyle="1" w:styleId="279">
    <w:name w:val="H3 Char"/>
    <w:qFormat/>
    <w:uiPriority w:val="0"/>
    <w:rPr>
      <w:rFonts w:eastAsia="宋体"/>
      <w:b/>
      <w:bCs/>
      <w:kern w:val="2"/>
      <w:sz w:val="32"/>
      <w:szCs w:val="32"/>
      <w:lang w:val="en-US" w:eastAsia="zh-CN" w:bidi="ar-SA"/>
    </w:rPr>
  </w:style>
  <w:style w:type="character" w:customStyle="1" w:styleId="280">
    <w:name w:val="zw1"/>
    <w:qFormat/>
    <w:uiPriority w:val="0"/>
    <w:rPr>
      <w:rFonts w:hint="eastAsia" w:ascii="宋体" w:hAnsi="宋体" w:eastAsia="宋体"/>
      <w:sz w:val="22"/>
      <w:szCs w:val="22"/>
    </w:rPr>
  </w:style>
  <w:style w:type="character" w:customStyle="1" w:styleId="281">
    <w:name w:val="段落 Char Char2 Char Char Char Char Char Char"/>
    <w:link w:val="99"/>
    <w:qFormat/>
    <w:uiPriority w:val="0"/>
    <w:rPr>
      <w:rFonts w:ascii="宋体" w:hAnsi="宋体" w:eastAsia="宋体"/>
      <w:kern w:val="24"/>
      <w:sz w:val="28"/>
      <w:szCs w:val="28"/>
      <w:lang w:val="en-US" w:eastAsia="zh-CN" w:bidi="ar-SA"/>
    </w:rPr>
  </w:style>
  <w:style w:type="character" w:customStyle="1" w:styleId="282">
    <w:name w:val="hottext1"/>
    <w:qFormat/>
    <w:uiPriority w:val="0"/>
    <w:rPr>
      <w:rFonts w:ascii="宋体" w:hAnsi="宋体" w:eastAsia="宋体"/>
      <w:color w:val="333333"/>
      <w:spacing w:val="260"/>
      <w:sz w:val="20"/>
      <w:szCs w:val="20"/>
      <w:u w:val="none"/>
    </w:rPr>
  </w:style>
  <w:style w:type="character" w:customStyle="1" w:styleId="283">
    <w:name w:val="Char Char4"/>
    <w:qFormat/>
    <w:uiPriority w:val="0"/>
    <w:rPr>
      <w:rFonts w:eastAsia="宋体"/>
      <w:b/>
      <w:bCs/>
      <w:kern w:val="2"/>
      <w:sz w:val="32"/>
      <w:szCs w:val="32"/>
      <w:lang w:val="en-US" w:eastAsia="zh-CN" w:bidi="ar-SA"/>
    </w:rPr>
  </w:style>
  <w:style w:type="character" w:customStyle="1" w:styleId="284">
    <w:name w:val="ca-121"/>
    <w:qFormat/>
    <w:uiPriority w:val="0"/>
    <w:rPr>
      <w:rFonts w:hint="eastAsia" w:ascii="仿宋_GB2312" w:eastAsia="仿宋_GB2312"/>
      <w:vanish/>
      <w:sz w:val="28"/>
      <w:szCs w:val="28"/>
    </w:rPr>
  </w:style>
  <w:style w:type="character" w:customStyle="1" w:styleId="285">
    <w:name w:val="Char Char7"/>
    <w:qFormat/>
    <w:uiPriority w:val="0"/>
    <w:rPr>
      <w:rFonts w:eastAsia="宋体"/>
      <w:sz w:val="18"/>
      <w:lang w:val="en-US" w:eastAsia="zh-CN" w:bidi="ar-SA"/>
    </w:rPr>
  </w:style>
  <w:style w:type="character" w:customStyle="1" w:styleId="286">
    <w:name w:val="ttitle1"/>
    <w:qFormat/>
    <w:uiPriority w:val="0"/>
    <w:rPr>
      <w:spacing w:val="120"/>
      <w:sz w:val="21"/>
      <w:szCs w:val="21"/>
    </w:rPr>
  </w:style>
  <w:style w:type="character" w:customStyle="1" w:styleId="287">
    <w:name w:val="样式 章 + 加粗 + 黑体 Char"/>
    <w:qFormat/>
    <w:uiPriority w:val="0"/>
    <w:rPr>
      <w:rFonts w:ascii="黑体" w:hAnsi="黑体" w:eastAsia="黑体"/>
      <w:b/>
      <w:bCs/>
      <w:kern w:val="2"/>
      <w:sz w:val="28"/>
      <w:szCs w:val="28"/>
      <w:lang w:val="en-US" w:eastAsia="zh-CN" w:bidi="ar-SA"/>
    </w:rPr>
  </w:style>
  <w:style w:type="character" w:customStyle="1" w:styleId="288">
    <w:name w:val="批注框文本 Char"/>
    <w:link w:val="29"/>
    <w:semiHidden/>
    <w:qFormat/>
    <w:locked/>
    <w:uiPriority w:val="0"/>
    <w:rPr>
      <w:rFonts w:eastAsia="宋体"/>
      <w:kern w:val="2"/>
      <w:sz w:val="18"/>
      <w:szCs w:val="18"/>
      <w:lang w:val="en-US" w:eastAsia="zh-CN" w:bidi="ar-SA"/>
    </w:rPr>
  </w:style>
  <w:style w:type="character" w:customStyle="1" w:styleId="289">
    <w:name w:val="表尾 Char Char"/>
    <w:link w:val="206"/>
    <w:qFormat/>
    <w:uiPriority w:val="0"/>
    <w:rPr>
      <w:rFonts w:eastAsia="宋体"/>
      <w:kern w:val="2"/>
      <w:sz w:val="10"/>
      <w:lang w:val="en-US" w:eastAsia="zh-CN" w:bidi="ar-SA"/>
    </w:rPr>
  </w:style>
  <w:style w:type="character" w:customStyle="1" w:styleId="290">
    <w:name w:val="font141"/>
    <w:qFormat/>
    <w:uiPriority w:val="0"/>
    <w:rPr>
      <w:color w:val="000000"/>
      <w:sz w:val="21"/>
      <w:szCs w:val="21"/>
    </w:rPr>
  </w:style>
  <w:style w:type="character" w:customStyle="1" w:styleId="291">
    <w:name w:val="表头 Char Char1 Char"/>
    <w:link w:val="140"/>
    <w:qFormat/>
    <w:uiPriority w:val="0"/>
    <w:rPr>
      <w:rFonts w:ascii="宋体" w:hAnsi="宋体" w:eastAsia="宋体"/>
      <w:color w:val="000000"/>
      <w:kern w:val="24"/>
      <w:sz w:val="28"/>
      <w:szCs w:val="28"/>
      <w:lang w:val="en-US" w:eastAsia="zh-CN" w:bidi="ar-SA"/>
    </w:rPr>
  </w:style>
  <w:style w:type="character" w:customStyle="1" w:styleId="292">
    <w:name w:val="表格1 Char"/>
    <w:link w:val="145"/>
    <w:qFormat/>
    <w:uiPriority w:val="0"/>
    <w:rPr>
      <w:rFonts w:ascii="宋体" w:hAnsi="宋体" w:eastAsia="宋体"/>
      <w:kern w:val="2"/>
      <w:sz w:val="21"/>
      <w:szCs w:val="28"/>
      <w:lang w:bidi="ar-SA"/>
    </w:rPr>
  </w:style>
  <w:style w:type="character" w:customStyle="1" w:styleId="293">
    <w:name w:val="图表文 Char"/>
    <w:link w:val="146"/>
    <w:qFormat/>
    <w:uiPriority w:val="0"/>
    <w:rPr>
      <w:rFonts w:eastAsia="宋体"/>
      <w:kern w:val="2"/>
      <w:sz w:val="21"/>
      <w:szCs w:val="21"/>
      <w:lang w:val="en-US" w:eastAsia="zh-CN" w:bidi="ar-SA"/>
    </w:rPr>
  </w:style>
  <w:style w:type="character" w:customStyle="1" w:styleId="294">
    <w:name w:val="Char1 Char"/>
    <w:qFormat/>
    <w:uiPriority w:val="0"/>
    <w:rPr>
      <w:rFonts w:ascii="Arial" w:hAnsi="Arial" w:eastAsia="黑体"/>
      <w:b/>
      <w:bCs/>
      <w:kern w:val="2"/>
      <w:sz w:val="32"/>
      <w:szCs w:val="32"/>
      <w:lang w:val="en-US" w:eastAsia="zh-CN" w:bidi="ar-SA"/>
    </w:rPr>
  </w:style>
  <w:style w:type="character" w:customStyle="1" w:styleId="295">
    <w:name w:val="innerlink"/>
    <w:basedOn w:val="51"/>
    <w:qFormat/>
    <w:uiPriority w:val="0"/>
  </w:style>
  <w:style w:type="character" w:customStyle="1" w:styleId="296">
    <w:name w:val="font61"/>
    <w:qFormat/>
    <w:uiPriority w:val="0"/>
    <w:rPr>
      <w:rFonts w:hint="default" w:ascii="Times New Roman" w:hAnsi="Times New Roman" w:cs="Times New Roman"/>
      <w:color w:val="000000"/>
      <w:sz w:val="21"/>
      <w:szCs w:val="21"/>
      <w:u w:val="none"/>
    </w:rPr>
  </w:style>
  <w:style w:type="character" w:customStyle="1" w:styleId="297">
    <w:name w:val="标题1"/>
    <w:qFormat/>
    <w:uiPriority w:val="0"/>
    <w:rPr>
      <w:rFonts w:ascii="宋体" w:hAnsi="宋体" w:eastAsia="宋体"/>
      <w:b/>
      <w:kern w:val="2"/>
      <w:sz w:val="28"/>
      <w:szCs w:val="24"/>
      <w:lang w:val="en-US" w:eastAsia="zh-CN" w:bidi="ar-SA"/>
    </w:rPr>
  </w:style>
  <w:style w:type="character" w:customStyle="1" w:styleId="298">
    <w:name w:val="g Char Char"/>
    <w:qFormat/>
    <w:uiPriority w:val="0"/>
    <w:rPr>
      <w:rFonts w:eastAsia="宋体"/>
      <w:kern w:val="2"/>
      <w:sz w:val="18"/>
      <w:szCs w:val="18"/>
      <w:lang w:val="en-US" w:eastAsia="zh-CN" w:bidi="ar-SA"/>
    </w:rPr>
  </w:style>
  <w:style w:type="character" w:customStyle="1" w:styleId="299">
    <w:name w:val="bt11"/>
    <w:qFormat/>
    <w:uiPriority w:val="0"/>
    <w:rPr>
      <w:rFonts w:ascii="黑体" w:eastAsia="黑体"/>
      <w:color w:val="000000"/>
      <w:spacing w:val="700"/>
      <w:sz w:val="28"/>
      <w:szCs w:val="28"/>
    </w:rPr>
  </w:style>
  <w:style w:type="character" w:customStyle="1" w:styleId="300">
    <w:name w:val="content1"/>
    <w:qFormat/>
    <w:uiPriority w:val="0"/>
    <w:rPr>
      <w:sz w:val="21"/>
      <w:szCs w:val="21"/>
    </w:rPr>
  </w:style>
  <w:style w:type="character" w:customStyle="1" w:styleId="301">
    <w:name w:val="标题 1 Char Char Char"/>
    <w:qFormat/>
    <w:uiPriority w:val="0"/>
    <w:rPr>
      <w:rFonts w:ascii="黑体" w:hAnsi="宋体" w:eastAsia="黑体"/>
      <w:b/>
      <w:bCs/>
      <w:color w:val="000000"/>
      <w:kern w:val="36"/>
      <w:sz w:val="24"/>
      <w:szCs w:val="48"/>
      <w:lang w:val="en-US" w:eastAsia="zh-CN" w:bidi="ar-SA"/>
    </w:rPr>
  </w:style>
  <w:style w:type="character" w:customStyle="1" w:styleId="302">
    <w:name w:val="Char2 Char1"/>
    <w:qFormat/>
    <w:uiPriority w:val="0"/>
    <w:rPr>
      <w:rFonts w:eastAsia="宋体"/>
      <w:kern w:val="2"/>
      <w:sz w:val="21"/>
      <w:szCs w:val="24"/>
      <w:lang w:val="en-US" w:eastAsia="zh-CN" w:bidi="ar-SA"/>
    </w:rPr>
  </w:style>
  <w:style w:type="character" w:customStyle="1" w:styleId="303">
    <w:name w:val="Char Char29"/>
    <w:qFormat/>
    <w:uiPriority w:val="0"/>
    <w:rPr>
      <w:rFonts w:eastAsia="宋体"/>
      <w:b/>
      <w:bCs/>
      <w:kern w:val="2"/>
      <w:sz w:val="32"/>
      <w:szCs w:val="32"/>
      <w:lang w:val="en-US" w:eastAsia="zh-CN" w:bidi="ar-SA"/>
    </w:rPr>
  </w:style>
  <w:style w:type="character" w:customStyle="1" w:styleId="304">
    <w:name w:val="ca-101"/>
    <w:qFormat/>
    <w:uiPriority w:val="0"/>
    <w:rPr>
      <w:rFonts w:hint="eastAsia" w:ascii="仿宋_GB2312" w:eastAsia="仿宋_GB2312"/>
      <w:color w:val="FFFFFF"/>
      <w:sz w:val="28"/>
      <w:szCs w:val="28"/>
    </w:rPr>
  </w:style>
  <w:style w:type="character" w:customStyle="1" w:styleId="305">
    <w:name w:val="font81"/>
    <w:qFormat/>
    <w:uiPriority w:val="0"/>
    <w:rPr>
      <w:rFonts w:hint="default" w:ascii="Times New Roman" w:hAnsi="Times New Roman" w:cs="Times New Roman"/>
      <w:color w:val="000000"/>
      <w:sz w:val="21"/>
      <w:szCs w:val="21"/>
      <w:u w:val="none"/>
      <w:vertAlign w:val="superscript"/>
    </w:rPr>
  </w:style>
  <w:style w:type="character" w:customStyle="1" w:styleId="306">
    <w:name w:val="font21"/>
    <w:qFormat/>
    <w:uiPriority w:val="0"/>
    <w:rPr>
      <w:rFonts w:hint="eastAsia" w:ascii="宋体" w:hAnsi="宋体" w:eastAsia="宋体" w:cs="宋体"/>
      <w:color w:val="000000"/>
      <w:sz w:val="21"/>
      <w:szCs w:val="21"/>
      <w:u w:val="none"/>
    </w:rPr>
  </w:style>
  <w:style w:type="character" w:customStyle="1" w:styleId="307">
    <w:name w:val="ca-31"/>
    <w:qFormat/>
    <w:uiPriority w:val="0"/>
    <w:rPr>
      <w:rFonts w:hint="eastAsia" w:ascii="仿宋_GB2312" w:eastAsia="仿宋_GB2312"/>
      <w:sz w:val="28"/>
      <w:szCs w:val="28"/>
    </w:rPr>
  </w:style>
  <w:style w:type="character" w:customStyle="1" w:styleId="308">
    <w:name w:val="纯文本 Char"/>
    <w:link w:val="25"/>
    <w:qFormat/>
    <w:uiPriority w:val="0"/>
    <w:rPr>
      <w:rFonts w:ascii="宋体" w:hAnsi="Courier New"/>
      <w:kern w:val="2"/>
      <w:sz w:val="21"/>
    </w:rPr>
  </w:style>
  <w:style w:type="character" w:customStyle="1" w:styleId="309">
    <w:name w:val="apple-converted-space"/>
    <w:basedOn w:val="51"/>
    <w:qFormat/>
    <w:uiPriority w:val="0"/>
  </w:style>
  <w:style w:type="character" w:customStyle="1" w:styleId="310">
    <w:name w:val="title"/>
    <w:basedOn w:val="51"/>
    <w:qFormat/>
    <w:uiPriority w:val="0"/>
  </w:style>
  <w:style w:type="character" w:customStyle="1" w:styleId="311">
    <w:name w:val="p14b1"/>
    <w:qFormat/>
    <w:uiPriority w:val="0"/>
    <w:rPr>
      <w:rFonts w:hint="eastAsia" w:ascii="宋体" w:hAnsi="宋体" w:eastAsia="宋体"/>
      <w:color w:val="000000"/>
      <w:sz w:val="28"/>
      <w:szCs w:val="28"/>
    </w:rPr>
  </w:style>
  <w:style w:type="character" w:customStyle="1" w:styleId="312">
    <w:name w:val="Char Char3"/>
    <w:qFormat/>
    <w:uiPriority w:val="0"/>
    <w:rPr>
      <w:rFonts w:eastAsia="宋体"/>
      <w:kern w:val="2"/>
      <w:sz w:val="18"/>
      <w:szCs w:val="18"/>
      <w:lang w:val="en-US" w:eastAsia="zh-CN" w:bidi="ar-SA"/>
    </w:rPr>
  </w:style>
  <w:style w:type="character" w:customStyle="1" w:styleId="313">
    <w:name w:val="表头 Char2"/>
    <w:qFormat/>
    <w:uiPriority w:val="0"/>
    <w:rPr>
      <w:rFonts w:hAnsi="宋体" w:eastAsia="宋体"/>
      <w:kern w:val="2"/>
      <w:sz w:val="28"/>
      <w:szCs w:val="28"/>
      <w:lang w:val="en-US" w:eastAsia="zh-CN" w:bidi="ar-SA"/>
    </w:rPr>
  </w:style>
  <w:style w:type="character" w:customStyle="1" w:styleId="314">
    <w:name w:val="Body text + Batang1"/>
    <w:qFormat/>
    <w:uiPriority w:val="0"/>
    <w:rPr>
      <w:rFonts w:ascii="Batang" w:hAnsi="Batang" w:eastAsia="Batang" w:cs="Batang"/>
      <w:color w:val="000000"/>
      <w:spacing w:val="0"/>
      <w:w w:val="100"/>
      <w:position w:val="0"/>
      <w:sz w:val="23"/>
      <w:szCs w:val="23"/>
      <w:u w:val="none"/>
      <w:lang w:val="en-US"/>
    </w:rPr>
  </w:style>
  <w:style w:type="character" w:customStyle="1" w:styleId="315">
    <w:name w:val="表格2 Char"/>
    <w:link w:val="131"/>
    <w:qFormat/>
    <w:uiPriority w:val="0"/>
    <w:rPr>
      <w:rFonts w:ascii="宋体" w:hAnsi="宋体" w:eastAsia="宋体"/>
      <w:kern w:val="2"/>
      <w:sz w:val="21"/>
      <w:szCs w:val="28"/>
      <w:lang w:bidi="ar-SA"/>
    </w:rPr>
  </w:style>
  <w:style w:type="character" w:customStyle="1" w:styleId="316">
    <w:name w:val="Char Char Char2"/>
    <w:link w:val="147"/>
    <w:qFormat/>
    <w:uiPriority w:val="0"/>
    <w:rPr>
      <w:kern w:val="2"/>
      <w:sz w:val="21"/>
      <w:szCs w:val="24"/>
    </w:rPr>
  </w:style>
  <w:style w:type="character" w:customStyle="1" w:styleId="317">
    <w:name w:val="标题 2 Char"/>
    <w:qFormat/>
    <w:uiPriority w:val="0"/>
    <w:rPr>
      <w:rFonts w:eastAsia="宋体"/>
      <w:b/>
      <w:bCs/>
      <w:kern w:val="44"/>
      <w:sz w:val="28"/>
      <w:szCs w:val="32"/>
      <w:lang w:val="en-US" w:eastAsia="zh-CN" w:bidi="ar-SA"/>
    </w:rPr>
  </w:style>
  <w:style w:type="character" w:customStyle="1" w:styleId="318">
    <w:name w:val="段落 Char1 Char Char Char Char Char Char Char"/>
    <w:link w:val="171"/>
    <w:qFormat/>
    <w:uiPriority w:val="0"/>
    <w:rPr>
      <w:rFonts w:eastAsia="宋体"/>
      <w:color w:val="000000"/>
      <w:kern w:val="24"/>
      <w:sz w:val="24"/>
      <w:szCs w:val="24"/>
      <w:lang w:val="en-US" w:eastAsia="zh-CN" w:bidi="ar-SA"/>
    </w:rPr>
  </w:style>
  <w:style w:type="character" w:customStyle="1" w:styleId="319">
    <w:name w:val="白银正文 Char"/>
    <w:link w:val="118"/>
    <w:qFormat/>
    <w:uiPriority w:val="0"/>
    <w:rPr>
      <w:rFonts w:ascii="Calibri" w:hAnsi="Calibri" w:eastAsia="宋体"/>
      <w:kern w:val="2"/>
      <w:sz w:val="24"/>
      <w:szCs w:val="22"/>
      <w:lang w:val="en-US" w:eastAsia="zh-CN" w:bidi="ar-SA"/>
    </w:rPr>
  </w:style>
  <w:style w:type="character" w:customStyle="1" w:styleId="320">
    <w:name w:val="font01"/>
    <w:qFormat/>
    <w:uiPriority w:val="0"/>
    <w:rPr>
      <w:rFonts w:hint="eastAsia" w:ascii="宋体" w:hAnsi="宋体" w:eastAsia="宋体" w:cs="宋体"/>
      <w:color w:val="000000"/>
      <w:sz w:val="21"/>
      <w:szCs w:val="21"/>
      <w:u w:val="none"/>
    </w:rPr>
  </w:style>
  <w:style w:type="character" w:customStyle="1" w:styleId="321">
    <w:name w:val="题注 Char"/>
    <w:link w:val="17"/>
    <w:qFormat/>
    <w:uiPriority w:val="0"/>
    <w:rPr>
      <w:rFonts w:ascii="Cambria" w:hAnsi="Cambria" w:eastAsia="黑体"/>
      <w:kern w:val="2"/>
      <w:lang w:val="en-US" w:eastAsia="zh-CN" w:bidi="ar-SA"/>
    </w:rPr>
  </w:style>
  <w:style w:type="character" w:customStyle="1" w:styleId="322">
    <w:name w:val="Char2 Char"/>
    <w:qFormat/>
    <w:uiPriority w:val="0"/>
    <w:rPr>
      <w:rFonts w:eastAsia="宋体"/>
      <w:kern w:val="2"/>
      <w:sz w:val="21"/>
      <w:szCs w:val="24"/>
      <w:lang w:val="en-US" w:eastAsia="zh-CN" w:bidi="ar-SA"/>
    </w:rPr>
  </w:style>
  <w:style w:type="character" w:customStyle="1" w:styleId="323">
    <w:name w:val="表 头 Char"/>
    <w:link w:val="230"/>
    <w:qFormat/>
    <w:uiPriority w:val="0"/>
    <w:rPr>
      <w:rFonts w:eastAsia="宋体"/>
      <w:b/>
      <w:sz w:val="27"/>
      <w:szCs w:val="27"/>
      <w:lang w:val="en-US" w:eastAsia="zh-CN" w:bidi="ar-SA"/>
    </w:rPr>
  </w:style>
  <w:style w:type="character" w:customStyle="1" w:styleId="324">
    <w:name w:val="表格正文 Char"/>
    <w:link w:val="65"/>
    <w:qFormat/>
    <w:uiPriority w:val="0"/>
    <w:rPr>
      <w:rFonts w:ascii="Arial" w:hAnsi="Arial" w:eastAsia="宋体"/>
      <w:kern w:val="2"/>
      <w:sz w:val="21"/>
      <w:szCs w:val="24"/>
      <w:lang w:val="en-US" w:eastAsia="zh-CN" w:bidi="ar-SA"/>
    </w:rPr>
  </w:style>
  <w:style w:type="character" w:customStyle="1" w:styleId="325">
    <w:name w:val="样式7 Char"/>
    <w:link w:val="226"/>
    <w:qFormat/>
    <w:uiPriority w:val="0"/>
    <w:rPr>
      <w:rFonts w:eastAsia="宋体"/>
      <w:b/>
      <w:bCs/>
      <w:kern w:val="2"/>
      <w:sz w:val="24"/>
      <w:szCs w:val="24"/>
      <w:lang w:val="en-US" w:eastAsia="zh-CN" w:bidi="ar-SA"/>
    </w:rPr>
  </w:style>
  <w:style w:type="character" w:customStyle="1" w:styleId="326">
    <w:name w:val="段 Char"/>
    <w:link w:val="125"/>
    <w:qFormat/>
    <w:locked/>
    <w:uiPriority w:val="0"/>
    <w:rPr>
      <w:rFonts w:ascii="宋体"/>
      <w:kern w:val="2"/>
      <w:sz w:val="21"/>
      <w:szCs w:val="22"/>
      <w:lang w:val="en-US" w:eastAsia="zh-CN" w:bidi="ar-SA"/>
    </w:rPr>
  </w:style>
  <w:style w:type="character" w:customStyle="1" w:styleId="327">
    <w:name w:val="批注主题 Char"/>
    <w:link w:val="45"/>
    <w:semiHidden/>
    <w:qFormat/>
    <w:locked/>
    <w:uiPriority w:val="0"/>
    <w:rPr>
      <w:rFonts w:eastAsia="宋体"/>
      <w:b/>
      <w:bCs/>
      <w:kern w:val="2"/>
      <w:sz w:val="28"/>
      <w:szCs w:val="22"/>
      <w:lang w:val="en-US" w:eastAsia="zh-CN" w:bidi="ar-SA"/>
    </w:rPr>
  </w:style>
  <w:style w:type="character" w:customStyle="1" w:styleId="328">
    <w:name w:val="font31"/>
    <w:qFormat/>
    <w:uiPriority w:val="0"/>
    <w:rPr>
      <w:rFonts w:hint="default" w:ascii="Times New Roman" w:hAnsi="Times New Roman" w:cs="Times New Roman"/>
      <w:color w:val="000000"/>
      <w:sz w:val="21"/>
      <w:szCs w:val="21"/>
      <w:u w:val="none"/>
    </w:rPr>
  </w:style>
  <w:style w:type="character" w:customStyle="1" w:styleId="329">
    <w:name w:val="表格表格 Char Char"/>
    <w:qFormat/>
    <w:uiPriority w:val="0"/>
    <w:rPr>
      <w:rFonts w:eastAsia="宋体" w:cs="宋体"/>
      <w:color w:val="000000"/>
      <w:sz w:val="21"/>
      <w:szCs w:val="21"/>
      <w:lang w:val="en-US" w:eastAsia="zh-CN" w:bidi="ar-SA"/>
    </w:rPr>
  </w:style>
  <w:style w:type="character" w:customStyle="1" w:styleId="330">
    <w:name w:val="apple-style-span"/>
    <w:basedOn w:val="51"/>
    <w:qFormat/>
    <w:uiPriority w:val="0"/>
  </w:style>
  <w:style w:type="character" w:customStyle="1" w:styleId="331">
    <w:name w:val="标题 3 Char"/>
    <w:link w:val="6"/>
    <w:qFormat/>
    <w:locked/>
    <w:uiPriority w:val="0"/>
    <w:rPr>
      <w:rFonts w:ascii="Times New Roman" w:hAnsi="Times New Roman" w:eastAsia="宋体"/>
      <w:b/>
      <w:bCs/>
      <w:kern w:val="2"/>
      <w:sz w:val="24"/>
      <w:szCs w:val="32"/>
      <w:lang w:val="en-US" w:eastAsia="zh-CN" w:bidi="ar-SA"/>
    </w:rPr>
  </w:style>
  <w:style w:type="character" w:customStyle="1" w:styleId="332">
    <w:name w:val="正文文本 Char"/>
    <w:link w:val="21"/>
    <w:qFormat/>
    <w:uiPriority w:val="0"/>
    <w:rPr>
      <w:rFonts w:ascii="宋体" w:hAnsi="宋体"/>
      <w:color w:val="000000"/>
      <w:sz w:val="24"/>
      <w:szCs w:val="22"/>
    </w:rPr>
  </w:style>
  <w:style w:type="character" w:customStyle="1" w:styleId="333">
    <w:name w:val="正文缩进 Char"/>
    <w:link w:val="16"/>
    <w:qFormat/>
    <w:uiPriority w:val="0"/>
    <w:rPr>
      <w:rFonts w:ascii="仿宋_GB2312" w:eastAsia="仿宋_GB2312"/>
      <w:kern w:val="2"/>
      <w:sz w:val="28"/>
      <w:szCs w:val="24"/>
      <w:lang w:val="en-US" w:eastAsia="zh-CN" w:bidi="ar-SA"/>
    </w:rPr>
  </w:style>
  <w:style w:type="character" w:customStyle="1" w:styleId="334">
    <w:name w:val="ca-110"/>
    <w:qFormat/>
    <w:uiPriority w:val="0"/>
    <w:rPr>
      <w:rFonts w:hint="eastAsia" w:ascii="仿宋_GB2312" w:eastAsia="仿宋_GB2312"/>
      <w:sz w:val="30"/>
      <w:szCs w:val="30"/>
    </w:rPr>
  </w:style>
  <w:style w:type="character" w:customStyle="1" w:styleId="335">
    <w:name w:val="15"/>
    <w:basedOn w:val="51"/>
    <w:qFormat/>
    <w:uiPriority w:val="0"/>
  </w:style>
  <w:style w:type="character" w:customStyle="1" w:styleId="336">
    <w:name w:val="font11"/>
    <w:qFormat/>
    <w:uiPriority w:val="0"/>
    <w:rPr>
      <w:rFonts w:hint="eastAsia" w:ascii="宋体" w:hAnsi="宋体" w:eastAsia="宋体" w:cs="宋体"/>
      <w:color w:val="000000"/>
      <w:sz w:val="21"/>
      <w:szCs w:val="21"/>
      <w:u w:val="none"/>
      <w:vertAlign w:val="superscript"/>
    </w:rPr>
  </w:style>
  <w:style w:type="character" w:customStyle="1" w:styleId="337">
    <w:name w:val="样式 首行缩进:  2 字符 Char"/>
    <w:link w:val="213"/>
    <w:qFormat/>
    <w:uiPriority w:val="0"/>
    <w:rPr>
      <w:rFonts w:ascii="宋体" w:hAnsi="宋体" w:eastAsia="宋体" w:cs="宋体"/>
      <w:kern w:val="2"/>
      <w:sz w:val="28"/>
      <w:lang w:val="en-US" w:eastAsia="zh-CN" w:bidi="ar-SA"/>
    </w:rPr>
  </w:style>
  <w:style w:type="character" w:customStyle="1" w:styleId="338">
    <w:name w:val="正文史 Char"/>
    <w:link w:val="183"/>
    <w:qFormat/>
    <w:locked/>
    <w:uiPriority w:val="0"/>
    <w:rPr>
      <w:rFonts w:eastAsia="宋体"/>
      <w:bCs/>
      <w:color w:val="000000"/>
      <w:kern w:val="2"/>
      <w:sz w:val="24"/>
      <w:szCs w:val="24"/>
      <w:lang w:val="en-US" w:eastAsia="zh-CN" w:bidi="ar-SA"/>
    </w:rPr>
  </w:style>
  <w:style w:type="table" w:customStyle="1" w:styleId="339">
    <w:name w:val="网格型1"/>
    <w:basedOn w:val="48"/>
    <w:qFormat/>
    <w:uiPriority w:val="0"/>
    <w:pPr>
      <w:widowControl w:val="0"/>
      <w:spacing w:line="360" w:lineRule="auto"/>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40">
    <w:name w:val="表中字"/>
    <w:qFormat/>
    <w:uiPriority w:val="99"/>
    <w:pPr>
      <w:jc w:val="center"/>
    </w:pPr>
    <w:rPr>
      <w:rFonts w:ascii="Times New Roman" w:hAnsi="Times New Roman" w:eastAsia="宋体" w:cs="Times New Roman"/>
      <w:kern w:val="2"/>
      <w:sz w:val="21"/>
      <w:szCs w:val="24"/>
      <w:lang w:val="en-US" w:eastAsia="zh-CN" w:bidi="ar-SA"/>
    </w:rPr>
  </w:style>
  <w:style w:type="paragraph" w:customStyle="1" w:styleId="341">
    <w:name w:val="【正文】"/>
    <w:basedOn w:val="1"/>
    <w:qFormat/>
    <w:uiPriority w:val="99"/>
    <w:pPr>
      <w:ind w:firstLine="480"/>
    </w:pPr>
    <w:rPr>
      <w:rFonts w:ascii="Times New Roman" w:hAnsi="Times New Roman"/>
      <w:kern w:val="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9.png"/><Relationship Id="rId31" Type="http://schemas.openxmlformats.org/officeDocument/2006/relationships/image" Target="media/image8.png"/><Relationship Id="rId30" Type="http://schemas.openxmlformats.org/officeDocument/2006/relationships/image" Target="media/image7.png"/><Relationship Id="rId3" Type="http://schemas.openxmlformats.org/officeDocument/2006/relationships/footnotes" Target="footnotes.xml"/><Relationship Id="rId29" Type="http://schemas.openxmlformats.org/officeDocument/2006/relationships/image" Target="media/image6.png"/><Relationship Id="rId28" Type="http://schemas.openxmlformats.org/officeDocument/2006/relationships/image" Target="media/image5.png"/><Relationship Id="rId27" Type="http://schemas.openxmlformats.org/officeDocument/2006/relationships/image" Target="media/image4.png"/><Relationship Id="rId26" Type="http://schemas.openxmlformats.org/officeDocument/2006/relationships/image" Target="media/image3.emf"/><Relationship Id="rId25" Type="http://schemas.openxmlformats.org/officeDocument/2006/relationships/oleObject" Target="embeddings/oleObject2.bin"/><Relationship Id="rId24" Type="http://schemas.openxmlformats.org/officeDocument/2006/relationships/image" Target="media/image2.emf"/><Relationship Id="rId23" Type="http://schemas.openxmlformats.org/officeDocument/2006/relationships/oleObject" Target="embeddings/oleObject1.bin"/><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8.xml"/><Relationship Id="rId18" Type="http://schemas.openxmlformats.org/officeDocument/2006/relationships/footer" Target="footer7.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3073"/>
    <customShpInfo spid="_x0000_s3074"/>
    <customShpInfo spid="_x0000_s3076"/>
    <customShpInfo spid="_x0000_s3075"/>
    <customShpInfo spid="_x0000_s3077"/>
    <customShpInfo spid="_x0000_s2050"/>
    <customShpInfo spid="_x0000_s2074"/>
    <customShpInfo spid="_x0000_s2065"/>
    <customShpInfo spid="_x0000_s2066"/>
    <customShpInfo spid="_x0000_s2067"/>
    <customShpInfo spid="_x0000_s2068"/>
    <customShpInfo spid="_x0000_s2069"/>
    <customShpInfo spid="_x0000_s2070"/>
    <customShpInfo spid="_x0000_s2071"/>
    <customShpInfo spid="_x0000_s2072"/>
    <customShpInfo spid="_x0000_s2073"/>
    <customShpInfo spid="_x0000_s2075"/>
    <customShpInfo spid="_x0000_s2076"/>
    <customShpInfo spid="_x0000_s2077"/>
    <customShpInfo spid="_x0000_s2078"/>
    <customShpInfo spid="_x0000_s2079"/>
    <customShpInfo spid="_x0000_s2080"/>
    <customShpInfo spid="_x0000_s2081"/>
    <customShpInfo spid="_x0000_s2082"/>
    <customShpInfo spid="_x0000_s2083"/>
    <customShpInfo spid="_x0000_s2084"/>
    <customShpInfo spid="_x0000_s2085"/>
    <customShpInfo spid="_x0000_s2086"/>
    <customShpInfo spid="_x0000_s2087"/>
    <customShpInfo spid="_x0000_s2088"/>
    <customShpInfo spid="_x0000_s2089"/>
    <customShpInfo spid="_x0000_s2090"/>
    <customShpInfo spid="_x0000_s209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81</Pages>
  <Words>7267</Words>
  <Characters>41425</Characters>
  <Lines>345</Lines>
  <Paragraphs>97</Paragraphs>
  <TotalTime>1</TotalTime>
  <ScaleCrop>false</ScaleCrop>
  <LinksUpToDate>false</LinksUpToDate>
  <CharactersWithSpaces>48595</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2010-05-14T16:54:00Z</dcterms:created>
  <dc:creator>User</dc:creator>
  <cp:lastModifiedBy>大江很好吃。</cp:lastModifiedBy>
  <cp:lastPrinted>2020-12-25T18:08:00Z</cp:lastPrinted>
  <dcterms:modified xsi:type="dcterms:W3CDTF">2021-12-10T01:05:04Z</dcterms:modified>
  <dc:title>编号：宝来危废 [2015]01</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5680D5B246474FC49DA0FAB98F80A046</vt:lpwstr>
  </property>
</Properties>
</file>