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rFonts w:hAnsi="宋体"/>
          <w:b/>
          <w:color w:val="000000"/>
          <w:sz w:val="52"/>
          <w:szCs w:val="52"/>
        </w:rPr>
      </w:pPr>
    </w:p>
    <w:p>
      <w:pPr>
        <w:ind w:firstLine="0" w:firstLineChars="0"/>
        <w:jc w:val="center"/>
        <w:rPr>
          <w:rFonts w:hAnsi="宋体"/>
          <w:b/>
          <w:color w:val="000000"/>
          <w:sz w:val="52"/>
          <w:szCs w:val="52"/>
        </w:rPr>
      </w:pPr>
    </w:p>
    <w:p>
      <w:pPr>
        <w:pStyle w:val="19"/>
        <w:rPr>
          <w:rFonts w:hAnsi="宋体"/>
          <w:b/>
          <w:color w:val="000000"/>
          <w:sz w:val="52"/>
          <w:szCs w:val="52"/>
        </w:rPr>
      </w:pPr>
    </w:p>
    <w:p>
      <w:pPr>
        <w:pStyle w:val="19"/>
        <w:rPr>
          <w:rFonts w:hAnsi="宋体"/>
          <w:b/>
          <w:color w:val="000000"/>
          <w:sz w:val="52"/>
          <w:szCs w:val="52"/>
        </w:rPr>
      </w:pPr>
    </w:p>
    <w:p>
      <w:pPr>
        <w:pStyle w:val="19"/>
        <w:rPr>
          <w:rFonts w:hAnsi="宋体"/>
          <w:b/>
          <w:color w:val="000000"/>
          <w:sz w:val="52"/>
          <w:szCs w:val="52"/>
        </w:rPr>
      </w:pPr>
    </w:p>
    <w:p>
      <w:pPr>
        <w:ind w:firstLine="0" w:firstLineChars="0"/>
        <w:jc w:val="center"/>
        <w:rPr>
          <w:rFonts w:hAnsi="宋体"/>
          <w:b/>
          <w:color w:val="000000"/>
          <w:sz w:val="52"/>
          <w:szCs w:val="52"/>
        </w:rPr>
      </w:pPr>
      <w:r>
        <w:rPr>
          <w:rFonts w:hint="eastAsia" w:hAnsi="宋体"/>
          <w:b/>
          <w:color w:val="000000"/>
          <w:sz w:val="52"/>
          <w:szCs w:val="52"/>
        </w:rPr>
        <w:t>湖口县金砂</w:t>
      </w:r>
      <w:bookmarkStart w:id="199" w:name="_GoBack"/>
      <w:bookmarkEnd w:id="199"/>
      <w:r>
        <w:rPr>
          <w:rFonts w:hint="eastAsia" w:hAnsi="宋体"/>
          <w:b/>
          <w:color w:val="000000"/>
          <w:sz w:val="52"/>
          <w:szCs w:val="52"/>
        </w:rPr>
        <w:t>湾工业园集中污水处理厂</w:t>
      </w:r>
    </w:p>
    <w:p>
      <w:pPr>
        <w:ind w:firstLine="0" w:firstLineChars="0"/>
        <w:jc w:val="center"/>
        <w:rPr>
          <w:rFonts w:hAnsi="宋体"/>
          <w:b/>
          <w:color w:val="000000"/>
          <w:sz w:val="52"/>
          <w:szCs w:val="52"/>
        </w:rPr>
      </w:pPr>
      <w:r>
        <w:rPr>
          <w:rFonts w:hint="eastAsia" w:hAnsi="宋体"/>
          <w:b/>
          <w:color w:val="000000"/>
          <w:sz w:val="52"/>
          <w:szCs w:val="52"/>
        </w:rPr>
        <w:t>突发环境事件风险评估报告</w:t>
      </w:r>
    </w:p>
    <w:p>
      <w:pPr>
        <w:pStyle w:val="12"/>
        <w:ind w:firstLine="883"/>
        <w:rPr>
          <w:rFonts w:cs="Times New Roman"/>
          <w:b/>
          <w:color w:val="000000"/>
          <w:sz w:val="44"/>
          <w:szCs w:val="44"/>
        </w:rPr>
      </w:pPr>
    </w:p>
    <w:p>
      <w:pPr>
        <w:pStyle w:val="12"/>
        <w:ind w:firstLine="883"/>
        <w:rPr>
          <w:rFonts w:cs="Times New Roman"/>
          <w:b/>
          <w:color w:val="000000"/>
          <w:sz w:val="44"/>
          <w:szCs w:val="44"/>
        </w:rPr>
      </w:pPr>
    </w:p>
    <w:p>
      <w:pPr>
        <w:pStyle w:val="12"/>
        <w:ind w:firstLine="883"/>
        <w:rPr>
          <w:rFonts w:cs="Times New Roman"/>
          <w:b/>
          <w:color w:val="000000"/>
          <w:sz w:val="44"/>
          <w:szCs w:val="44"/>
        </w:rPr>
      </w:pPr>
    </w:p>
    <w:p>
      <w:pPr>
        <w:pStyle w:val="12"/>
        <w:ind w:firstLine="883"/>
        <w:rPr>
          <w:rFonts w:cs="Times New Roman"/>
          <w:b/>
          <w:color w:val="000000"/>
          <w:sz w:val="44"/>
          <w:szCs w:val="44"/>
        </w:rPr>
      </w:pPr>
    </w:p>
    <w:p>
      <w:pPr>
        <w:pStyle w:val="12"/>
        <w:ind w:firstLine="883"/>
        <w:rPr>
          <w:rFonts w:cs="Times New Roman"/>
          <w:b/>
          <w:color w:val="000000"/>
          <w:sz w:val="44"/>
          <w:szCs w:val="44"/>
        </w:rPr>
      </w:pPr>
    </w:p>
    <w:p>
      <w:pPr>
        <w:pStyle w:val="12"/>
        <w:ind w:firstLine="883"/>
        <w:rPr>
          <w:rFonts w:cs="Times New Roman"/>
          <w:b/>
          <w:color w:val="000000"/>
          <w:sz w:val="44"/>
          <w:szCs w:val="44"/>
        </w:rPr>
      </w:pPr>
    </w:p>
    <w:p>
      <w:pPr>
        <w:spacing w:beforeLines="100" w:line="240" w:lineRule="auto"/>
        <w:ind w:firstLine="1928" w:firstLineChars="800"/>
        <w:jc w:val="left"/>
        <w:rPr>
          <w:b/>
          <w:color w:val="000000"/>
        </w:rPr>
      </w:pPr>
      <w:r>
        <w:rPr>
          <w:rFonts w:hAnsi="宋体"/>
          <w:b/>
          <w:color w:val="000000"/>
        </w:rPr>
        <w:t>编制单位：</w:t>
      </w:r>
      <w:r>
        <w:rPr>
          <w:rFonts w:hint="eastAsia"/>
          <w:b/>
          <w:bCs/>
        </w:rPr>
        <w:t>湖口县金砂湾工业园污水处理厂建设办公室</w:t>
      </w:r>
    </w:p>
    <w:p>
      <w:pPr>
        <w:ind w:firstLine="1928" w:firstLineChars="800"/>
        <w:rPr>
          <w:b/>
          <w:color w:val="000000"/>
          <w:sz w:val="44"/>
          <w:szCs w:val="44"/>
        </w:rPr>
        <w:sectPr>
          <w:headerReference r:id="rId7" w:type="first"/>
          <w:footerReference r:id="rId10" w:type="first"/>
          <w:headerReference r:id="rId5" w:type="default"/>
          <w:footerReference r:id="rId8" w:type="default"/>
          <w:headerReference r:id="rId6" w:type="even"/>
          <w:footerReference r:id="rId9" w:type="even"/>
          <w:pgSz w:w="11906" w:h="16838"/>
          <w:pgMar w:top="1134" w:right="1134" w:bottom="1134" w:left="1247" w:header="851" w:footer="992" w:gutter="0"/>
          <w:cols w:space="720" w:num="1"/>
          <w:titlePg/>
          <w:docGrid w:type="lines" w:linePitch="381" w:charSpace="0"/>
        </w:sectPr>
      </w:pPr>
      <w:r>
        <w:rPr>
          <w:rFonts w:hAnsi="宋体"/>
          <w:b/>
          <w:color w:val="000000"/>
        </w:rPr>
        <w:t>编制日期：</w:t>
      </w:r>
      <w:r>
        <w:rPr>
          <w:b/>
          <w:color w:val="000000"/>
        </w:rPr>
        <w:t>20</w:t>
      </w:r>
      <w:r>
        <w:rPr>
          <w:rFonts w:hint="eastAsia"/>
          <w:b/>
          <w:color w:val="000000"/>
        </w:rPr>
        <w:t>21</w:t>
      </w:r>
      <w:r>
        <w:rPr>
          <w:rFonts w:hAnsi="宋体"/>
          <w:b/>
          <w:color w:val="000000"/>
        </w:rPr>
        <w:t>年</w:t>
      </w:r>
      <w:r>
        <w:rPr>
          <w:rFonts w:hint="eastAsia"/>
          <w:b/>
          <w:color w:val="000000"/>
        </w:rPr>
        <w:t>10</w:t>
      </w:r>
      <w:r>
        <w:rPr>
          <w:rFonts w:hAnsi="宋体"/>
          <w:b/>
          <w:color w:val="000000"/>
        </w:rPr>
        <w:t>月</w:t>
      </w:r>
    </w:p>
    <w:p>
      <w:pPr>
        <w:spacing w:before="120" w:after="120" w:line="300" w:lineRule="auto"/>
        <w:ind w:firstLine="0" w:firstLineChars="0"/>
        <w:jc w:val="center"/>
        <w:rPr>
          <w:rFonts w:cs="Times New Roman"/>
          <w:smallCaps w:val="0"/>
          <w:sz w:val="32"/>
          <w:szCs w:val="32"/>
        </w:rPr>
      </w:pPr>
    </w:p>
    <w:p>
      <w:pPr>
        <w:spacing w:before="120" w:after="120" w:line="300" w:lineRule="auto"/>
        <w:ind w:firstLine="0" w:firstLineChars="0"/>
        <w:jc w:val="center"/>
        <w:rPr>
          <w:rFonts w:cs="Times New Roman"/>
          <w:smallCaps w:val="0"/>
          <w:sz w:val="32"/>
          <w:szCs w:val="32"/>
        </w:rPr>
      </w:pPr>
      <w:r>
        <w:rPr>
          <w:rFonts w:hint="eastAsia" w:cs="Times New Roman"/>
          <w:smallCaps w:val="0"/>
          <w:sz w:val="32"/>
          <w:szCs w:val="32"/>
        </w:rPr>
        <w:t>目   录</w:t>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rPr>
          <w:rFonts w:ascii="Calibri" w:hAnsi="Calibri" w:cs="Times New Roman"/>
          <w:b/>
          <w:bCs/>
          <w:caps/>
          <w:sz w:val="28"/>
          <w:szCs w:val="28"/>
        </w:rPr>
        <w:fldChar w:fldCharType="begin"/>
      </w:r>
      <w:r>
        <w:rPr>
          <w:rFonts w:ascii="Calibri" w:hAnsi="Calibri" w:cs="Times New Roman"/>
          <w:b/>
          <w:bCs/>
          <w:caps/>
          <w:sz w:val="28"/>
          <w:szCs w:val="28"/>
        </w:rPr>
        <w:instrText xml:space="preserve"> </w:instrText>
      </w:r>
      <w:r>
        <w:rPr>
          <w:rFonts w:hint="eastAsia" w:ascii="Calibri" w:hAnsi="Calibri" w:cs="Times New Roman"/>
          <w:b/>
          <w:bCs/>
          <w:caps/>
          <w:sz w:val="28"/>
          <w:szCs w:val="28"/>
        </w:rPr>
        <w:instrText xml:space="preserve">TOC \o "1-2" \h \z \u</w:instrText>
      </w:r>
      <w:r>
        <w:rPr>
          <w:rFonts w:ascii="Calibri" w:hAnsi="Calibri" w:cs="Times New Roman"/>
          <w:b/>
          <w:bCs/>
          <w:caps/>
          <w:sz w:val="28"/>
          <w:szCs w:val="28"/>
        </w:rPr>
        <w:instrText xml:space="preserve"> </w:instrText>
      </w:r>
      <w:r>
        <w:rPr>
          <w:rFonts w:ascii="Calibri" w:hAnsi="Calibri" w:cs="Times New Roman"/>
          <w:b/>
          <w:bCs/>
          <w:caps/>
          <w:sz w:val="28"/>
          <w:szCs w:val="28"/>
        </w:rPr>
        <w:fldChar w:fldCharType="separate"/>
      </w:r>
      <w:r>
        <w:fldChar w:fldCharType="begin"/>
      </w:r>
      <w:r>
        <w:instrText xml:space="preserve"> HYPERLINK \l "_Toc509220177" </w:instrText>
      </w:r>
      <w:r>
        <w:fldChar w:fldCharType="separate"/>
      </w:r>
      <w:r>
        <w:rPr>
          <w:rFonts w:cs="Times New Roman"/>
          <w:b/>
          <w:bCs/>
          <w:caps/>
          <w:snapToGrid w:val="0"/>
          <w:w w:val="0"/>
          <w:kern w:val="0"/>
          <w:sz w:val="28"/>
          <w:szCs w:val="28"/>
          <w:u w:val="single"/>
        </w:rPr>
        <w:t>1.</w:t>
      </w:r>
      <w:r>
        <w:rPr>
          <w:rFonts w:ascii="Calibri" w:hAnsi="Calibri" w:cs="Times New Roman"/>
          <w:sz w:val="28"/>
          <w:szCs w:val="28"/>
        </w:rPr>
        <w:tab/>
      </w:r>
      <w:r>
        <w:rPr>
          <w:rFonts w:hint="eastAsia" w:cs="Times New Roman"/>
          <w:b/>
          <w:bCs/>
          <w:caps/>
          <w:sz w:val="28"/>
          <w:szCs w:val="28"/>
          <w:u w:val="single"/>
        </w:rPr>
        <w:t>前言</w:t>
      </w:r>
      <w:r>
        <w:rPr>
          <w:rFonts w:ascii="Calibri" w:hAnsi="Calibri" w:cs="Times New Roman"/>
          <w:b/>
          <w:bCs/>
          <w:caps/>
          <w:sz w:val="28"/>
          <w:szCs w:val="28"/>
        </w:rPr>
        <w:tab/>
      </w:r>
      <w:r>
        <w:rPr>
          <w:rFonts w:ascii="Calibri" w:hAnsi="Calibri" w:cs="Times New Roman"/>
          <w:b/>
          <w:bCs/>
          <w:caps/>
          <w:sz w:val="28"/>
          <w:szCs w:val="28"/>
        </w:rPr>
        <w:fldChar w:fldCharType="begin"/>
      </w:r>
      <w:r>
        <w:rPr>
          <w:rFonts w:ascii="Calibri" w:hAnsi="Calibri" w:cs="Times New Roman"/>
          <w:b/>
          <w:bCs/>
          <w:caps/>
          <w:sz w:val="28"/>
          <w:szCs w:val="28"/>
        </w:rPr>
        <w:instrText xml:space="preserve"> PAGEREF _Toc509220177 \h </w:instrText>
      </w:r>
      <w:r>
        <w:rPr>
          <w:rFonts w:ascii="Calibri" w:hAnsi="Calibri" w:cs="Times New Roman"/>
          <w:b/>
          <w:bCs/>
          <w:caps/>
          <w:sz w:val="28"/>
          <w:szCs w:val="28"/>
        </w:rPr>
        <w:fldChar w:fldCharType="separate"/>
      </w:r>
      <w:r>
        <w:rPr>
          <w:rFonts w:ascii="Calibri" w:hAnsi="Calibri" w:cs="Times New Roman"/>
          <w:b/>
          <w:bCs/>
          <w:caps/>
          <w:sz w:val="28"/>
          <w:szCs w:val="28"/>
        </w:rPr>
        <w:t>1</w:t>
      </w:r>
      <w:r>
        <w:rPr>
          <w:rFonts w:ascii="Calibri" w:hAnsi="Calibri" w:cs="Times New Roman"/>
          <w:b/>
          <w:bCs/>
          <w:caps/>
          <w:sz w:val="28"/>
          <w:szCs w:val="28"/>
        </w:rPr>
        <w:fldChar w:fldCharType="end"/>
      </w:r>
      <w:r>
        <w:rPr>
          <w:rFonts w:ascii="Calibri" w:hAnsi="Calibri" w:cs="Times New Roman"/>
          <w:b/>
          <w:bCs/>
          <w:caps/>
          <w:sz w:val="28"/>
          <w:szCs w:val="28"/>
        </w:rPr>
        <w:fldChar w:fldCharType="end"/>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fldChar w:fldCharType="begin"/>
      </w:r>
      <w:r>
        <w:instrText xml:space="preserve"> HYPERLINK \l "_Toc509220178" </w:instrText>
      </w:r>
      <w:r>
        <w:fldChar w:fldCharType="separate"/>
      </w:r>
      <w:r>
        <w:rPr>
          <w:rFonts w:cs="Times New Roman"/>
          <w:b/>
          <w:bCs/>
          <w:caps/>
          <w:snapToGrid w:val="0"/>
          <w:w w:val="0"/>
          <w:kern w:val="0"/>
          <w:sz w:val="28"/>
          <w:szCs w:val="28"/>
          <w:u w:val="single"/>
        </w:rPr>
        <w:t>2.</w:t>
      </w:r>
      <w:r>
        <w:rPr>
          <w:rFonts w:ascii="Calibri" w:hAnsi="Calibri" w:cs="Times New Roman"/>
          <w:sz w:val="28"/>
          <w:szCs w:val="28"/>
        </w:rPr>
        <w:tab/>
      </w:r>
      <w:r>
        <w:rPr>
          <w:rFonts w:hint="eastAsia" w:cs="Times New Roman"/>
          <w:b/>
          <w:bCs/>
          <w:caps/>
          <w:sz w:val="28"/>
          <w:szCs w:val="28"/>
          <w:u w:val="single"/>
        </w:rPr>
        <w:t>总则</w:t>
      </w:r>
      <w:r>
        <w:rPr>
          <w:rFonts w:ascii="Calibri" w:hAnsi="Calibri" w:cs="Times New Roman"/>
          <w:b/>
          <w:bCs/>
          <w:caps/>
          <w:sz w:val="28"/>
          <w:szCs w:val="28"/>
        </w:rPr>
        <w:tab/>
      </w:r>
      <w:r>
        <w:rPr>
          <w:rFonts w:hint="eastAsia" w:ascii="Calibri" w:hAnsi="Calibri" w:cs="Times New Roman"/>
          <w:b/>
          <w:bCs/>
          <w:caps/>
          <w:sz w:val="28"/>
          <w:szCs w:val="28"/>
        </w:rPr>
        <w:t>2</w:t>
      </w:r>
      <w:r>
        <w:rPr>
          <w:rFonts w:hint="eastAsia" w:ascii="Calibri" w:hAnsi="Calibri" w:cs="Times New Roman"/>
          <w:b/>
          <w:bCs/>
          <w:caps/>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"_Toc509220179" </w:instrText>
      </w:r>
      <w:r>
        <w:fldChar w:fldCharType="separate"/>
      </w:r>
      <w:r>
        <w:rPr>
          <w:rFonts w:cs="Times New Roman"/>
          <w:b/>
          <w:sz w:val="28"/>
          <w:szCs w:val="28"/>
          <w:u w:val="single"/>
        </w:rPr>
        <w:t>2.1</w:t>
      </w:r>
      <w:r>
        <w:rPr>
          <w:rFonts w:hint="eastAsia" w:cs="Times New Roman"/>
          <w:sz w:val="28"/>
          <w:szCs w:val="28"/>
          <w:u w:val="single"/>
        </w:rPr>
        <w:t xml:space="preserve"> 编制原则</w:t>
      </w:r>
      <w:r>
        <w:rPr>
          <w:rFonts w:ascii="Calibri" w:hAnsi="Calibri" w:cs="Times New Roman"/>
          <w:sz w:val="28"/>
          <w:szCs w:val="28"/>
        </w:rPr>
        <w:tab/>
      </w:r>
      <w:r>
        <w:rPr>
          <w:rFonts w:hint="eastAsia" w:ascii="Calibri" w:hAnsi="Calibri" w:cs="Times New Roman"/>
          <w:sz w:val="28"/>
          <w:szCs w:val="28"/>
        </w:rPr>
        <w:t>2</w:t>
      </w:r>
      <w:r>
        <w:rPr>
          <w:rFonts w:hint="eastAsia" w:ascii="Calibri" w:hAnsi="Calibri" w:cs="Times New Roman"/>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"_Toc509220180" </w:instrText>
      </w:r>
      <w:r>
        <w:fldChar w:fldCharType="separate"/>
      </w:r>
      <w:r>
        <w:rPr>
          <w:rFonts w:cs="Times New Roman"/>
          <w:b/>
          <w:sz w:val="28"/>
          <w:szCs w:val="28"/>
          <w:u w:val="single"/>
        </w:rPr>
        <w:t>2.2</w:t>
      </w:r>
      <w:r>
        <w:rPr>
          <w:rFonts w:hint="eastAsia" w:cs="Times New Roman"/>
          <w:sz w:val="28"/>
          <w:szCs w:val="28"/>
          <w:u w:val="single"/>
        </w:rPr>
        <w:t xml:space="preserve"> 编制依据</w:t>
      </w:r>
      <w:r>
        <w:rPr>
          <w:rFonts w:ascii="Calibri" w:hAnsi="Calibri" w:cs="Times New Roman"/>
          <w:sz w:val="28"/>
          <w:szCs w:val="28"/>
        </w:rPr>
        <w:tab/>
      </w:r>
      <w:r>
        <w:rPr>
          <w:rFonts w:hint="eastAsia" w:ascii="Calibri" w:hAnsi="Calibri" w:cs="Times New Roman"/>
          <w:sz w:val="28"/>
          <w:szCs w:val="28"/>
        </w:rPr>
        <w:t>2</w:t>
      </w:r>
      <w:r>
        <w:rPr>
          <w:rFonts w:hint="eastAsia" w:ascii="Calibri" w:hAnsi="Calibri" w:cs="Times New Roman"/>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"_Toc509220181" </w:instrText>
      </w:r>
      <w:r>
        <w:fldChar w:fldCharType="separate"/>
      </w:r>
      <w:r>
        <w:rPr>
          <w:rFonts w:cs="Times New Roman"/>
          <w:b/>
          <w:sz w:val="28"/>
          <w:szCs w:val="28"/>
          <w:u w:val="single"/>
        </w:rPr>
        <w:t>2.3</w:t>
      </w:r>
      <w:r>
        <w:rPr>
          <w:rFonts w:hint="eastAsia" w:cs="Times New Roman"/>
          <w:sz w:val="28"/>
          <w:szCs w:val="28"/>
          <w:u w:val="single"/>
        </w:rPr>
        <w:t xml:space="preserve"> 评价范围</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"_Toc509220182" </w:instrText>
      </w:r>
      <w:r>
        <w:fldChar w:fldCharType="separate"/>
      </w:r>
      <w:r>
        <w:rPr>
          <w:rFonts w:cs="Times New Roman"/>
          <w:b/>
          <w:sz w:val="28"/>
          <w:szCs w:val="28"/>
          <w:u w:val="single"/>
        </w:rPr>
        <w:t>2.4</w:t>
      </w:r>
      <w:r>
        <w:rPr>
          <w:rFonts w:hint="eastAsia" w:cs="Times New Roman"/>
          <w:sz w:val="28"/>
          <w:szCs w:val="28"/>
          <w:u w:val="single"/>
        </w:rPr>
        <w:t xml:space="preserve"> 评价程序</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fldChar w:fldCharType="begin"/>
      </w:r>
      <w:r>
        <w:instrText xml:space="preserve"> HYPERLINK \l "_Toc509220184" </w:instrText>
      </w:r>
      <w:r>
        <w:fldChar w:fldCharType="separate"/>
      </w:r>
      <w:r>
        <w:rPr>
          <w:rFonts w:cs="Times New Roman"/>
          <w:b/>
          <w:bCs/>
          <w:caps/>
          <w:snapToGrid w:val="0"/>
          <w:w w:val="0"/>
          <w:kern w:val="0"/>
          <w:sz w:val="28"/>
          <w:szCs w:val="28"/>
          <w:u w:val="single"/>
          <w:lang w:val="zh-CN"/>
        </w:rPr>
        <w:t>3.</w:t>
      </w:r>
      <w:r>
        <w:rPr>
          <w:rFonts w:ascii="Calibri" w:hAnsi="Calibri" w:cs="Times New Roman"/>
          <w:sz w:val="28"/>
          <w:szCs w:val="28"/>
        </w:rPr>
        <w:tab/>
      </w:r>
      <w:r>
        <w:rPr>
          <w:rFonts w:hint="eastAsia" w:cs="Times New Roman"/>
          <w:b/>
          <w:bCs/>
          <w:caps/>
          <w:kern w:val="0"/>
          <w:sz w:val="28"/>
          <w:szCs w:val="28"/>
          <w:u w:val="single"/>
          <w:lang w:val="zh-CN"/>
        </w:rPr>
        <w:t>资料准备与环境风险识别</w:t>
      </w:r>
      <w:r>
        <w:rPr>
          <w:rFonts w:ascii="Calibri" w:hAnsi="Calibri" w:cs="Times New Roman"/>
          <w:b/>
          <w:bCs/>
          <w:caps/>
          <w:sz w:val="28"/>
          <w:szCs w:val="28"/>
        </w:rPr>
        <w:tab/>
      </w:r>
      <w:r>
        <w:rPr>
          <w:rFonts w:hint="eastAsia" w:ascii="Calibri" w:hAnsi="Calibri" w:cs="Times New Roman"/>
          <w:b/>
          <w:bCs/>
          <w:caps/>
          <w:sz w:val="28"/>
          <w:szCs w:val="28"/>
        </w:rPr>
        <w:t>5</w:t>
      </w:r>
      <w:r>
        <w:rPr>
          <w:rFonts w:hint="eastAsia" w:ascii="Calibri" w:hAnsi="Calibri" w:cs="Times New Roman"/>
          <w:b/>
          <w:bCs/>
          <w:caps/>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"_Toc509220185" </w:instrText>
      </w:r>
      <w:r>
        <w:fldChar w:fldCharType="separate"/>
      </w:r>
      <w:r>
        <w:rPr>
          <w:rFonts w:cs="Times New Roman"/>
          <w:b/>
          <w:sz w:val="28"/>
          <w:szCs w:val="28"/>
          <w:u w:val="single"/>
          <w:lang w:val="zh-CN"/>
        </w:rPr>
        <w:t>3.1</w:t>
      </w:r>
      <w:r>
        <w:rPr>
          <w:rFonts w:hint="eastAsia" w:cs="Times New Roman"/>
          <w:sz w:val="28"/>
          <w:szCs w:val="28"/>
          <w:u w:val="single"/>
          <w:lang w:val="zh-CN"/>
        </w:rPr>
        <w:t xml:space="preserve"> 企业基本信息</w:t>
      </w:r>
      <w:r>
        <w:rPr>
          <w:rFonts w:ascii="Calibri" w:hAnsi="Calibri" w:cs="Times New Roman"/>
          <w:sz w:val="28"/>
          <w:szCs w:val="28"/>
        </w:rPr>
        <w:tab/>
      </w:r>
      <w:r>
        <w:rPr>
          <w:rFonts w:hint="eastAsia" w:ascii="Calibri" w:hAnsi="Calibri" w:cs="Times New Roman"/>
          <w:sz w:val="28"/>
          <w:szCs w:val="28"/>
        </w:rPr>
        <w:t>5</w:t>
      </w:r>
      <w:r>
        <w:rPr>
          <w:rFonts w:hint="eastAsia" w:ascii="Calibri" w:hAnsi="Calibri" w:cs="Times New Roman"/>
          <w:sz w:val="28"/>
          <w:szCs w:val="28"/>
        </w:rPr>
        <w:fldChar w:fldCharType="end"/>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"_Toc509220187" </w:instrText>
      </w:r>
      <w:r>
        <w:fldChar w:fldCharType="separate"/>
      </w:r>
      <w:r>
        <w:rPr>
          <w:rFonts w:cs="Times New Roman"/>
          <w:b/>
          <w:sz w:val="28"/>
          <w:szCs w:val="28"/>
          <w:u w:val="single"/>
        </w:rPr>
        <w:t>3.</w:t>
      </w:r>
      <w:r>
        <w:rPr>
          <w:rFonts w:hint="eastAsia" w:cs="Times New Roman"/>
          <w:b/>
          <w:sz w:val="28"/>
          <w:szCs w:val="28"/>
          <w:u w:val="single"/>
        </w:rPr>
        <w:t>2</w:t>
      </w:r>
      <w:r>
        <w:rPr>
          <w:rFonts w:hint="eastAsia" w:cs="Times New Roman"/>
          <w:sz w:val="28"/>
          <w:szCs w:val="28"/>
          <w:u w:val="single"/>
        </w:rPr>
        <w:t xml:space="preserve"> 污水处理厂运行工艺</w:t>
      </w:r>
      <w:r>
        <w:rPr>
          <w:rFonts w:ascii="Calibri" w:hAnsi="Calibri" w:cs="Times New Roman"/>
          <w:sz w:val="28"/>
          <w:szCs w:val="28"/>
        </w:rPr>
        <w:tab/>
      </w:r>
      <w:r>
        <w:rPr>
          <w:rFonts w:ascii="Calibri" w:hAnsi="Calibri" w:cs="Times New Roman"/>
          <w:sz w:val="28"/>
          <w:szCs w:val="28"/>
        </w:rPr>
        <w:fldChar w:fldCharType="end"/>
      </w:r>
      <w:r>
        <w:rPr>
          <w:rFonts w:hint="eastAsia" w:ascii="Calibri" w:hAnsi="Calibri" w:cs="Times New Roman"/>
          <w:sz w:val="28"/>
          <w:szCs w:val="28"/>
        </w:rPr>
        <w:t>16</w:t>
      </w:r>
    </w:p>
    <w:p>
      <w:pPr>
        <w:tabs>
          <w:tab w:val="right" w:leader="dot" w:pos="9060"/>
        </w:tabs>
        <w:spacing w:line="300" w:lineRule="auto"/>
        <w:ind w:left="240" w:firstLine="400"/>
        <w:jc w:val="left"/>
        <w:rPr>
          <w:rFonts w:ascii="Calibri" w:hAnsi="Calibri" w:cs="Times New Roman"/>
          <w:sz w:val="28"/>
          <w:szCs w:val="28"/>
        </w:rPr>
      </w:pPr>
      <w:r>
        <w:fldChar w:fldCharType="begin"/>
      </w:r>
      <w:r>
        <w:instrText xml:space="preserve"> HYPERLINK \l "_Toc509220189" </w:instrText>
      </w:r>
      <w:r>
        <w:fldChar w:fldCharType="separate"/>
      </w:r>
      <w:r>
        <w:rPr>
          <w:rFonts w:cs="Times New Roman"/>
          <w:b/>
          <w:sz w:val="28"/>
          <w:szCs w:val="28"/>
          <w:u w:val="single"/>
        </w:rPr>
        <w:t>3.</w:t>
      </w:r>
      <w:r>
        <w:rPr>
          <w:rFonts w:hint="eastAsia" w:cs="Times New Roman"/>
          <w:b/>
          <w:sz w:val="28"/>
          <w:szCs w:val="28"/>
          <w:u w:val="single"/>
        </w:rPr>
        <w:t>4</w:t>
      </w:r>
      <w:r>
        <w:rPr>
          <w:rFonts w:hint="eastAsia" w:cs="Times New Roman"/>
          <w:sz w:val="28"/>
          <w:szCs w:val="28"/>
          <w:u w:val="single"/>
        </w:rPr>
        <w:t xml:space="preserve"> 自然环境概况</w:t>
      </w:r>
      <w:r>
        <w:rPr>
          <w:rFonts w:ascii="Calibri" w:hAnsi="Calibri" w:cs="Times New Roman"/>
          <w:sz w:val="28"/>
          <w:szCs w:val="28"/>
        </w:rPr>
        <w:tab/>
      </w:r>
      <w:r>
        <w:rPr>
          <w:rFonts w:hint="eastAsia" w:ascii="Calibri" w:hAnsi="Calibri" w:cs="Times New Roman"/>
          <w:sz w:val="28"/>
          <w:szCs w:val="28"/>
        </w:rPr>
        <w:t>2</w:t>
      </w:r>
      <w:r>
        <w:rPr>
          <w:rFonts w:hint="eastAsia" w:ascii="Calibri" w:hAnsi="Calibri" w:cs="Times New Roman"/>
          <w:sz w:val="28"/>
          <w:szCs w:val="28"/>
        </w:rPr>
        <w:fldChar w:fldCharType="end"/>
      </w:r>
      <w:r>
        <w:rPr>
          <w:rFonts w:hint="eastAsia" w:ascii="Calibri" w:hAnsi="Calibri" w:cs="Times New Roman"/>
          <w:sz w:val="28"/>
          <w:szCs w:val="28"/>
        </w:rPr>
        <w:t>2</w:t>
      </w:r>
    </w:p>
    <w:p>
      <w:pPr>
        <w:tabs>
          <w:tab w:val="right" w:leader="dot" w:pos="9060"/>
        </w:tabs>
        <w:spacing w:line="300" w:lineRule="auto"/>
        <w:ind w:left="240" w:firstLine="400"/>
        <w:jc w:val="left"/>
      </w:pPr>
      <w:r>
        <w:fldChar w:fldCharType="begin"/>
      </w:r>
      <w:r>
        <w:instrText xml:space="preserve"> HYPERLINK \l "_Toc509220189" </w:instrText>
      </w:r>
      <w:r>
        <w:fldChar w:fldCharType="separate"/>
      </w:r>
      <w:r>
        <w:rPr>
          <w:rFonts w:cs="Times New Roman"/>
          <w:b/>
          <w:sz w:val="28"/>
          <w:szCs w:val="28"/>
          <w:u w:val="single"/>
        </w:rPr>
        <w:t>3.</w:t>
      </w:r>
      <w:r>
        <w:rPr>
          <w:rFonts w:hint="eastAsia" w:cs="Times New Roman"/>
          <w:b/>
          <w:sz w:val="28"/>
          <w:szCs w:val="28"/>
          <w:u w:val="single"/>
          <w:lang w:val="en-US" w:eastAsia="zh-CN"/>
        </w:rPr>
        <w:t>4</w:t>
      </w:r>
      <w:r>
        <w:rPr>
          <w:rFonts w:hint="eastAsia" w:cs="Times New Roman"/>
          <w:sz w:val="28"/>
          <w:szCs w:val="28"/>
          <w:u w:val="single"/>
        </w:rPr>
        <w:t xml:space="preserve"> 环境功能区和环境质量现状</w:t>
      </w:r>
      <w:r>
        <w:rPr>
          <w:rFonts w:ascii="Calibri" w:hAnsi="Calibri" w:cs="Times New Roman"/>
          <w:sz w:val="28"/>
          <w:szCs w:val="28"/>
        </w:rPr>
        <w:tab/>
      </w:r>
      <w:r>
        <w:rPr>
          <w:rFonts w:hint="eastAsia" w:ascii="Calibri" w:hAnsi="Calibri" w:cs="Times New Roman"/>
          <w:sz w:val="28"/>
          <w:szCs w:val="28"/>
        </w:rPr>
        <w:t>2</w:t>
      </w:r>
      <w:r>
        <w:rPr>
          <w:rFonts w:hint="eastAsia" w:ascii="Calibri" w:hAnsi="Calibri" w:cs="Times New Roman"/>
          <w:sz w:val="28"/>
          <w:szCs w:val="28"/>
        </w:rPr>
        <w:fldChar w:fldCharType="end"/>
      </w:r>
      <w:r>
        <w:rPr>
          <w:rFonts w:hint="eastAsia" w:ascii="Calibri" w:hAnsi="Calibri" w:cs="Times New Roman"/>
          <w:sz w:val="28"/>
          <w:szCs w:val="28"/>
        </w:rPr>
        <w:t>4</w:t>
      </w:r>
    </w:p>
    <w:p>
      <w:pPr>
        <w:tabs>
          <w:tab w:val="right" w:leader="dot" w:pos="9060"/>
        </w:tabs>
        <w:spacing w:line="300" w:lineRule="auto"/>
        <w:ind w:firstLine="562"/>
        <w:jc w:val="left"/>
        <w:rPr>
          <w:rFonts w:ascii="Calibri" w:hAnsi="Calibri" w:cs="Times New Roman"/>
          <w:sz w:val="28"/>
          <w:szCs w:val="28"/>
        </w:rPr>
      </w:pPr>
      <w:r>
        <w:rPr>
          <w:rFonts w:hint="eastAsia" w:cs="Times New Roman"/>
          <w:b/>
          <w:bCs/>
          <w:sz w:val="28"/>
          <w:szCs w:val="28"/>
          <w:u w:val="single"/>
        </w:rPr>
        <w:t>3.</w:t>
      </w:r>
      <w:r>
        <w:rPr>
          <w:rFonts w:hint="eastAsia" w:cs="Times New Roman"/>
          <w:b/>
          <w:bCs/>
          <w:sz w:val="28"/>
          <w:szCs w:val="28"/>
          <w:u w:val="single"/>
          <w:lang w:val="en-US" w:eastAsia="zh-CN"/>
        </w:rPr>
        <w:t>5</w:t>
      </w:r>
      <w:r>
        <w:rPr>
          <w:rFonts w:hint="eastAsia" w:cs="Times New Roman"/>
          <w:b/>
          <w:bCs/>
          <w:sz w:val="28"/>
          <w:szCs w:val="28"/>
          <w:u w:val="single"/>
        </w:rPr>
        <w:t xml:space="preserve"> </w:t>
      </w:r>
      <w:r>
        <w:rPr>
          <w:rFonts w:hint="eastAsia" w:cs="Times New Roman"/>
          <w:sz w:val="28"/>
          <w:szCs w:val="28"/>
          <w:u w:val="single"/>
        </w:rPr>
        <w:t>周边环境风险受体情况</w:t>
      </w:r>
      <w:r>
        <w:rPr>
          <w:rFonts w:ascii="Calibri" w:hAnsi="Calibri" w:cs="Times New Roman"/>
          <w:sz w:val="28"/>
          <w:szCs w:val="28"/>
        </w:rPr>
        <w:tab/>
      </w:r>
      <w:r>
        <w:rPr>
          <w:rFonts w:hint="eastAsia" w:ascii="Calibri" w:hAnsi="Calibri" w:cs="Times New Roman"/>
          <w:sz w:val="28"/>
          <w:szCs w:val="28"/>
        </w:rPr>
        <w:t>25</w:t>
      </w:r>
    </w:p>
    <w:p>
      <w:pPr>
        <w:tabs>
          <w:tab w:val="right" w:leader="dot" w:pos="9060"/>
        </w:tabs>
        <w:spacing w:line="300" w:lineRule="auto"/>
        <w:ind w:firstLine="562"/>
        <w:jc w:val="left"/>
        <w:rPr>
          <w:rFonts w:ascii="Calibri" w:hAnsi="Calibri" w:cs="Times New Roman"/>
          <w:sz w:val="28"/>
          <w:szCs w:val="28"/>
        </w:rPr>
      </w:pPr>
      <w:r>
        <w:rPr>
          <w:rFonts w:hint="eastAsia" w:cs="Times New Roman"/>
          <w:b/>
          <w:sz w:val="28"/>
          <w:szCs w:val="28"/>
          <w:u w:val="single"/>
        </w:rPr>
        <w:t>3.</w:t>
      </w:r>
      <w:r>
        <w:rPr>
          <w:rFonts w:hint="eastAsia" w:cs="Times New Roman"/>
          <w:b/>
          <w:sz w:val="28"/>
          <w:szCs w:val="28"/>
          <w:u w:val="single"/>
          <w:lang w:val="en-US" w:eastAsia="zh-CN"/>
        </w:rPr>
        <w:t>6</w:t>
      </w:r>
      <w:r>
        <w:rPr>
          <w:rFonts w:hint="eastAsia" w:cs="Times New Roman"/>
          <w:b/>
          <w:sz w:val="28"/>
          <w:szCs w:val="28"/>
          <w:u w:val="single"/>
        </w:rPr>
        <w:t xml:space="preserve"> </w:t>
      </w:r>
      <w:r>
        <w:rPr>
          <w:rFonts w:hint="eastAsia" w:cs="Times New Roman"/>
          <w:bCs/>
          <w:sz w:val="28"/>
          <w:szCs w:val="28"/>
          <w:u w:val="single"/>
        </w:rPr>
        <w:t>环境风险源识别</w:t>
      </w:r>
      <w:r>
        <w:rPr>
          <w:rFonts w:ascii="Calibri" w:hAnsi="Calibri" w:cs="Times New Roman"/>
          <w:sz w:val="28"/>
          <w:szCs w:val="28"/>
        </w:rPr>
        <w:tab/>
      </w:r>
      <w:r>
        <w:rPr>
          <w:rFonts w:hint="eastAsia" w:ascii="Calibri" w:hAnsi="Calibri" w:cs="Times New Roman"/>
          <w:sz w:val="28"/>
          <w:szCs w:val="28"/>
        </w:rPr>
        <w:t>26</w:t>
      </w:r>
    </w:p>
    <w:p>
      <w:pPr>
        <w:tabs>
          <w:tab w:val="right" w:leader="dot" w:pos="9060"/>
        </w:tabs>
        <w:spacing w:line="300" w:lineRule="auto"/>
        <w:ind w:firstLine="562"/>
        <w:jc w:val="left"/>
        <w:rPr>
          <w:rFonts w:ascii="Calibri" w:hAnsi="Calibri" w:cs="Times New Roman"/>
          <w:sz w:val="28"/>
          <w:szCs w:val="28"/>
        </w:rPr>
      </w:pPr>
      <w:r>
        <w:rPr>
          <w:rFonts w:hint="eastAsia" w:cs="Times New Roman"/>
          <w:b/>
          <w:sz w:val="28"/>
          <w:szCs w:val="28"/>
          <w:u w:val="single"/>
        </w:rPr>
        <w:t>3.</w:t>
      </w:r>
      <w:r>
        <w:rPr>
          <w:rFonts w:hint="eastAsia" w:cs="Times New Roman"/>
          <w:b/>
          <w:sz w:val="28"/>
          <w:szCs w:val="28"/>
          <w:u w:val="single"/>
          <w:lang w:val="en-US" w:eastAsia="zh-CN"/>
        </w:rPr>
        <w:t>7</w:t>
      </w:r>
      <w:r>
        <w:rPr>
          <w:rFonts w:hint="eastAsia" w:cs="Times New Roman"/>
          <w:b/>
          <w:sz w:val="28"/>
          <w:szCs w:val="28"/>
          <w:u w:val="single"/>
        </w:rPr>
        <w:t xml:space="preserve"> </w:t>
      </w:r>
      <w:r>
        <w:rPr>
          <w:rFonts w:hint="eastAsia" w:cs="Times New Roman"/>
          <w:bCs/>
          <w:sz w:val="28"/>
          <w:szCs w:val="28"/>
          <w:u w:val="single"/>
        </w:rPr>
        <w:t>企业环境风险防控与应急措施评估</w:t>
      </w:r>
      <w:r>
        <w:rPr>
          <w:rFonts w:ascii="Calibri" w:hAnsi="Calibri" w:cs="Times New Roman"/>
          <w:sz w:val="28"/>
          <w:szCs w:val="28"/>
        </w:rPr>
        <w:tab/>
      </w:r>
      <w:r>
        <w:rPr>
          <w:rFonts w:hint="eastAsia" w:ascii="Calibri" w:hAnsi="Calibri" w:cs="Times New Roman"/>
          <w:sz w:val="28"/>
          <w:szCs w:val="28"/>
        </w:rPr>
        <w:t>27</w:t>
      </w:r>
    </w:p>
    <w:p>
      <w:pPr>
        <w:tabs>
          <w:tab w:val="right" w:leader="dot" w:pos="9060"/>
        </w:tabs>
        <w:spacing w:line="300" w:lineRule="auto"/>
        <w:ind w:firstLine="562"/>
        <w:jc w:val="left"/>
        <w:rPr>
          <w:rFonts w:ascii="Calibri" w:hAnsi="Calibri" w:cs="Times New Roman"/>
          <w:sz w:val="28"/>
          <w:szCs w:val="28"/>
        </w:rPr>
      </w:pPr>
      <w:r>
        <w:rPr>
          <w:rFonts w:hint="eastAsia" w:cs="Times New Roman"/>
          <w:b/>
          <w:sz w:val="28"/>
          <w:szCs w:val="28"/>
          <w:u w:val="single"/>
        </w:rPr>
        <w:t>3.</w:t>
      </w:r>
      <w:r>
        <w:rPr>
          <w:rFonts w:hint="eastAsia" w:cs="Times New Roman"/>
          <w:b/>
          <w:sz w:val="28"/>
          <w:szCs w:val="28"/>
          <w:u w:val="single"/>
          <w:lang w:val="en-US" w:eastAsia="zh-CN"/>
        </w:rPr>
        <w:t>8</w:t>
      </w:r>
      <w:r>
        <w:rPr>
          <w:rFonts w:hint="eastAsia" w:cs="Times New Roman"/>
          <w:b/>
          <w:sz w:val="28"/>
          <w:szCs w:val="28"/>
          <w:u w:val="single"/>
        </w:rPr>
        <w:t xml:space="preserve"> </w:t>
      </w:r>
      <w:r>
        <w:rPr>
          <w:rFonts w:hint="eastAsia" w:cs="Times New Roman"/>
          <w:bCs/>
          <w:sz w:val="28"/>
          <w:szCs w:val="28"/>
          <w:u w:val="single"/>
        </w:rPr>
        <w:t>现有应急物资与装备、救援队伍情况</w:t>
      </w:r>
      <w:r>
        <w:rPr>
          <w:rFonts w:ascii="Calibri" w:hAnsi="Calibri" w:cs="Times New Roman"/>
          <w:sz w:val="28"/>
          <w:szCs w:val="28"/>
        </w:rPr>
        <w:tab/>
      </w:r>
      <w:r>
        <w:rPr>
          <w:rFonts w:hint="eastAsia" w:ascii="Calibri" w:hAnsi="Calibri" w:cs="Times New Roman"/>
          <w:sz w:val="28"/>
          <w:szCs w:val="28"/>
        </w:rPr>
        <w:t>27</w:t>
      </w:r>
    </w:p>
    <w:p>
      <w:pPr>
        <w:tabs>
          <w:tab w:val="right" w:leader="dot" w:pos="9060"/>
        </w:tabs>
        <w:spacing w:line="300" w:lineRule="auto"/>
        <w:ind w:firstLine="562"/>
        <w:jc w:val="left"/>
      </w:pPr>
      <w:r>
        <w:rPr>
          <w:rFonts w:hint="eastAsia" w:cs="Times New Roman"/>
          <w:b/>
          <w:sz w:val="28"/>
          <w:szCs w:val="28"/>
          <w:u w:val="single"/>
        </w:rPr>
        <w:t>3.</w:t>
      </w:r>
      <w:r>
        <w:rPr>
          <w:rFonts w:hint="eastAsia" w:cs="Times New Roman"/>
          <w:b/>
          <w:sz w:val="28"/>
          <w:szCs w:val="28"/>
          <w:u w:val="single"/>
          <w:lang w:val="en-US" w:eastAsia="zh-CN"/>
        </w:rPr>
        <w:t>9</w:t>
      </w:r>
      <w:r>
        <w:rPr>
          <w:rFonts w:hint="eastAsia" w:cs="Times New Roman"/>
          <w:bCs/>
          <w:sz w:val="28"/>
          <w:szCs w:val="28"/>
          <w:u w:val="single"/>
        </w:rPr>
        <w:t>安全生产管理</w:t>
      </w:r>
      <w:r>
        <w:rPr>
          <w:rFonts w:ascii="Calibri" w:hAnsi="Calibri" w:cs="Times New Roman"/>
          <w:sz w:val="28"/>
          <w:szCs w:val="28"/>
        </w:rPr>
        <w:tab/>
      </w:r>
      <w:r>
        <w:rPr>
          <w:rFonts w:hint="eastAsia" w:ascii="Calibri" w:hAnsi="Calibri" w:cs="Times New Roman"/>
          <w:sz w:val="28"/>
          <w:szCs w:val="28"/>
        </w:rPr>
        <w:t>30</w:t>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fldChar w:fldCharType="begin"/>
      </w:r>
      <w:r>
        <w:instrText xml:space="preserve"> HYPERLINK \l "_Toc509220190" </w:instrText>
      </w:r>
      <w:r>
        <w:fldChar w:fldCharType="separate"/>
      </w:r>
      <w:r>
        <w:rPr>
          <w:rFonts w:cs="Times New Roman"/>
          <w:b/>
          <w:bCs/>
          <w:caps/>
          <w:snapToGrid w:val="0"/>
          <w:w w:val="0"/>
          <w:kern w:val="0"/>
          <w:sz w:val="28"/>
          <w:szCs w:val="28"/>
          <w:u w:val="single"/>
          <w:lang w:val="zh-CN"/>
        </w:rPr>
        <w:t>4.</w:t>
      </w:r>
      <w:r>
        <w:rPr>
          <w:rFonts w:ascii="Calibri" w:hAnsi="Calibri" w:cs="Times New Roman"/>
          <w:sz w:val="28"/>
          <w:szCs w:val="28"/>
        </w:rPr>
        <w:tab/>
      </w:r>
      <w:r>
        <w:rPr>
          <w:rFonts w:hint="eastAsia" w:cs="Times New Roman"/>
          <w:b/>
          <w:bCs/>
          <w:caps/>
          <w:kern w:val="0"/>
          <w:sz w:val="28"/>
          <w:szCs w:val="28"/>
          <w:u w:val="single"/>
          <w:lang w:val="zh-CN"/>
        </w:rPr>
        <w:t>突发环境事件及其后果分析</w:t>
      </w:r>
      <w:r>
        <w:rPr>
          <w:rFonts w:ascii="Calibri" w:hAnsi="Calibri" w:cs="Times New Roman"/>
          <w:b/>
          <w:bCs/>
          <w:caps/>
          <w:sz w:val="28"/>
          <w:szCs w:val="28"/>
        </w:rPr>
        <w:tab/>
      </w:r>
      <w:r>
        <w:rPr>
          <w:rFonts w:hint="eastAsia" w:ascii="Calibri" w:hAnsi="Calibri" w:cs="Times New Roman"/>
          <w:b/>
          <w:bCs/>
          <w:caps/>
          <w:sz w:val="28"/>
          <w:szCs w:val="28"/>
        </w:rPr>
        <w:t>3</w:t>
      </w:r>
      <w:r>
        <w:rPr>
          <w:rFonts w:hint="eastAsia" w:ascii="Calibri" w:hAnsi="Calibri" w:cs="Times New Roman"/>
          <w:b/>
          <w:bCs/>
          <w:caps/>
          <w:sz w:val="28"/>
          <w:szCs w:val="28"/>
        </w:rPr>
        <w:fldChar w:fldCharType="end"/>
      </w:r>
      <w:r>
        <w:rPr>
          <w:rFonts w:hint="eastAsia" w:ascii="Calibri" w:hAnsi="Calibri" w:cs="Times New Roman"/>
          <w:b/>
          <w:bCs/>
          <w:caps/>
          <w:sz w:val="28"/>
          <w:szCs w:val="28"/>
        </w:rPr>
        <w:t>1</w:t>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"_Toc509220191" </w:instrText>
      </w:r>
      <w:r>
        <w:fldChar w:fldCharType="separate"/>
      </w:r>
      <w:r>
        <w:rPr>
          <w:rFonts w:cs="Times New Roman"/>
          <w:b/>
          <w:kern w:val="0"/>
          <w:sz w:val="28"/>
          <w:szCs w:val="28"/>
          <w:u w:val="single"/>
        </w:rPr>
        <w:t>4.1</w:t>
      </w:r>
      <w:r>
        <w:rPr>
          <w:rFonts w:hint="eastAsia" w:cs="Times New Roman"/>
          <w:sz w:val="28"/>
          <w:szCs w:val="28"/>
          <w:u w:val="single"/>
        </w:rPr>
        <w:t xml:space="preserve"> 突发环境事件情景分析</w:t>
      </w:r>
      <w:r>
        <w:rPr>
          <w:rFonts w:ascii="Calibri" w:hAnsi="Calibri" w:cs="Times New Roman"/>
          <w:sz w:val="28"/>
          <w:szCs w:val="28"/>
        </w:rPr>
        <w:tab/>
      </w:r>
      <w:r>
        <w:rPr>
          <w:rFonts w:hint="eastAsia" w:ascii="Calibri" w:hAnsi="Calibri" w:cs="Times New Roman"/>
          <w:sz w:val="28"/>
          <w:szCs w:val="28"/>
        </w:rPr>
        <w:t>3</w:t>
      </w:r>
      <w:r>
        <w:rPr>
          <w:rFonts w:hint="eastAsia" w:ascii="Calibri" w:hAnsi="Calibri" w:cs="Times New Roman"/>
          <w:sz w:val="28"/>
          <w:szCs w:val="28"/>
        </w:rPr>
        <w:fldChar w:fldCharType="end"/>
      </w:r>
      <w:r>
        <w:rPr>
          <w:rFonts w:hint="eastAsia" w:ascii="Calibri" w:hAnsi="Calibri" w:cs="Times New Roman"/>
          <w:sz w:val="28"/>
          <w:szCs w:val="28"/>
        </w:rPr>
        <w:t>1</w:t>
      </w:r>
    </w:p>
    <w:p>
      <w:pPr>
        <w:tabs>
          <w:tab w:val="right" w:leader="dot" w:pos="9060"/>
        </w:tabs>
        <w:spacing w:line="300" w:lineRule="auto"/>
        <w:ind w:left="240" w:firstLine="400"/>
        <w:jc w:val="left"/>
        <w:rPr>
          <w:rFonts w:ascii="Calibri" w:hAnsi="Calibri" w:cs="Times New Roman"/>
          <w:smallCaps w:val="0"/>
          <w:sz w:val="28"/>
          <w:szCs w:val="28"/>
        </w:rPr>
      </w:pPr>
      <w:r>
        <w:fldChar w:fldCharType="begin"/>
      </w:r>
      <w:r>
        <w:instrText xml:space="preserve"> HYPERLINK \l "_Toc509220192" </w:instrText>
      </w:r>
      <w:r>
        <w:fldChar w:fldCharType="separate"/>
      </w:r>
      <w:r>
        <w:rPr>
          <w:rFonts w:cs="Times New Roman"/>
          <w:b/>
          <w:sz w:val="28"/>
          <w:szCs w:val="28"/>
          <w:u w:val="single"/>
          <w:lang w:val="zh-CN"/>
        </w:rPr>
        <w:t>4.2</w:t>
      </w:r>
      <w:r>
        <w:rPr>
          <w:rFonts w:hint="eastAsia" w:cs="Times New Roman"/>
          <w:sz w:val="28"/>
          <w:szCs w:val="28"/>
          <w:u w:val="single"/>
          <w:lang w:val="zh-CN"/>
        </w:rPr>
        <w:t xml:space="preserve"> </w:t>
      </w:r>
      <w:r>
        <w:rPr>
          <w:rFonts w:hint="eastAsia" w:cs="Times New Roman"/>
          <w:u w:val="single"/>
          <w:lang w:val="zh-CN"/>
        </w:rPr>
        <w:t>环境风险物质扩散途径、环境风险防控措施、应急资源分析</w:t>
      </w:r>
      <w:r>
        <w:rPr>
          <w:rFonts w:ascii="Calibri" w:hAnsi="Calibri" w:cs="Times New Roman"/>
          <w:sz w:val="28"/>
          <w:szCs w:val="28"/>
        </w:rPr>
        <w:tab/>
      </w:r>
      <w:r>
        <w:rPr>
          <w:rFonts w:hint="eastAsia" w:ascii="Calibri" w:hAnsi="Calibri" w:cs="Times New Roman"/>
          <w:sz w:val="28"/>
          <w:szCs w:val="28"/>
        </w:rPr>
        <w:t>3</w:t>
      </w:r>
      <w:r>
        <w:rPr>
          <w:rFonts w:hint="eastAsia" w:ascii="Calibri" w:hAnsi="Calibri" w:cs="Times New Roman"/>
          <w:sz w:val="28"/>
          <w:szCs w:val="28"/>
        </w:rPr>
        <w:fldChar w:fldCharType="end"/>
      </w:r>
      <w:r>
        <w:rPr>
          <w:rFonts w:hint="eastAsia" w:ascii="Calibri" w:hAnsi="Calibri" w:cs="Times New Roman"/>
          <w:sz w:val="28"/>
          <w:szCs w:val="28"/>
        </w:rPr>
        <w:t>2</w:t>
      </w:r>
    </w:p>
    <w:p>
      <w:pPr>
        <w:tabs>
          <w:tab w:val="left" w:pos="480"/>
          <w:tab w:val="right" w:leader="dot" w:pos="9060"/>
        </w:tabs>
        <w:spacing w:before="120" w:after="120" w:line="300" w:lineRule="auto"/>
        <w:ind w:firstLine="0" w:firstLineChars="0"/>
        <w:jc w:val="left"/>
        <w:rPr>
          <w:rFonts w:ascii="Calibri" w:hAnsi="Calibri" w:cs="Times New Roman"/>
          <w:b/>
          <w:bCs/>
          <w:caps/>
          <w:sz w:val="28"/>
          <w:szCs w:val="28"/>
        </w:rPr>
      </w:pPr>
      <w:r>
        <w:fldChar w:fldCharType="begin"/>
      </w:r>
      <w:r>
        <w:instrText xml:space="preserve"> HYPERLINK \l "_Toc509220196" </w:instrText>
      </w:r>
      <w:r>
        <w:fldChar w:fldCharType="separate"/>
      </w:r>
      <w:r>
        <w:rPr>
          <w:rFonts w:cs="Times New Roman"/>
          <w:b/>
          <w:bCs/>
          <w:caps/>
          <w:snapToGrid w:val="0"/>
          <w:w w:val="0"/>
          <w:kern w:val="0"/>
          <w:sz w:val="28"/>
          <w:szCs w:val="28"/>
          <w:u w:val="single"/>
        </w:rPr>
        <w:t>5.</w:t>
      </w:r>
      <w:r>
        <w:rPr>
          <w:rFonts w:ascii="Calibri" w:hAnsi="Calibri" w:cs="Times New Roman"/>
          <w:sz w:val="28"/>
          <w:szCs w:val="28"/>
        </w:rPr>
        <w:tab/>
      </w:r>
      <w:r>
        <w:rPr>
          <w:rFonts w:hint="eastAsia" w:cs="Times New Roman"/>
          <w:b/>
          <w:bCs/>
          <w:caps/>
          <w:sz w:val="28"/>
          <w:szCs w:val="28"/>
          <w:u w:val="single"/>
        </w:rPr>
        <w:t>现有环境风险防控和应急措施差距分析</w:t>
      </w:r>
      <w:r>
        <w:rPr>
          <w:rFonts w:ascii="Calibri" w:hAnsi="Calibri" w:cs="Times New Roman"/>
          <w:b/>
          <w:bCs/>
          <w:caps/>
          <w:sz w:val="28"/>
          <w:szCs w:val="28"/>
        </w:rPr>
        <w:tab/>
      </w:r>
      <w:r>
        <w:rPr>
          <w:rFonts w:hint="eastAsia" w:ascii="Calibri" w:hAnsi="Calibri" w:cs="Times New Roman"/>
          <w:b/>
          <w:bCs/>
          <w:caps/>
          <w:sz w:val="28"/>
          <w:szCs w:val="28"/>
        </w:rPr>
        <w:t>3</w:t>
      </w:r>
      <w:r>
        <w:rPr>
          <w:rFonts w:hint="eastAsia" w:ascii="Calibri" w:hAnsi="Calibri" w:cs="Times New Roman"/>
          <w:b/>
          <w:bCs/>
          <w:caps/>
          <w:sz w:val="28"/>
          <w:szCs w:val="28"/>
        </w:rPr>
        <w:fldChar w:fldCharType="end"/>
      </w:r>
      <w:r>
        <w:rPr>
          <w:rFonts w:hint="eastAsia" w:ascii="Calibri" w:hAnsi="Calibri" w:cs="Times New Roman"/>
          <w:b/>
          <w:bCs/>
          <w:caps/>
          <w:sz w:val="28"/>
          <w:szCs w:val="28"/>
        </w:rPr>
        <w:t>7</w:t>
      </w:r>
    </w:p>
    <w:p>
      <w:pPr>
        <w:tabs>
          <w:tab w:val="right" w:leader="dot" w:pos="9060"/>
        </w:tabs>
        <w:spacing w:line="300" w:lineRule="auto"/>
        <w:ind w:firstLine="400"/>
        <w:jc w:val="left"/>
        <w:rPr>
          <w:rFonts w:ascii="Calibri" w:hAnsi="Calibri" w:cs="Times New Roman"/>
          <w:smallCaps w:val="0"/>
          <w:sz w:val="28"/>
          <w:szCs w:val="28"/>
        </w:rPr>
      </w:pPr>
      <w:r>
        <w:fldChar w:fldCharType="begin"/>
      </w:r>
      <w:r>
        <w:instrText xml:space="preserve"> HYPERLINK \l "_Toc509220191" </w:instrText>
      </w:r>
      <w:r>
        <w:fldChar w:fldCharType="separate"/>
      </w:r>
      <w:r>
        <w:rPr>
          <w:rFonts w:hint="eastAsia" w:cs="Times New Roman"/>
          <w:b/>
          <w:kern w:val="0"/>
          <w:sz w:val="28"/>
          <w:szCs w:val="28"/>
          <w:u w:val="single"/>
        </w:rPr>
        <w:t>5</w:t>
      </w:r>
      <w:r>
        <w:rPr>
          <w:rFonts w:cs="Times New Roman"/>
          <w:b/>
          <w:kern w:val="0"/>
          <w:sz w:val="28"/>
          <w:szCs w:val="28"/>
          <w:u w:val="single"/>
        </w:rPr>
        <w:t>.1</w:t>
      </w:r>
      <w:r>
        <w:rPr>
          <w:rFonts w:hint="eastAsia" w:cs="Times New Roman"/>
          <w:sz w:val="28"/>
          <w:szCs w:val="28"/>
          <w:u w:val="single"/>
        </w:rPr>
        <w:t xml:space="preserve"> 环境风险管理制度</w:t>
      </w:r>
      <w:r>
        <w:rPr>
          <w:rFonts w:ascii="Calibri" w:hAnsi="Calibri" w:cs="Times New Roman"/>
          <w:sz w:val="28"/>
          <w:szCs w:val="28"/>
        </w:rPr>
        <w:tab/>
      </w:r>
      <w:r>
        <w:rPr>
          <w:rFonts w:hint="eastAsia" w:ascii="Calibri" w:hAnsi="Calibri" w:cs="Times New Roman"/>
          <w:sz w:val="28"/>
          <w:szCs w:val="28"/>
        </w:rPr>
        <w:t>3</w:t>
      </w:r>
      <w:r>
        <w:rPr>
          <w:rFonts w:hint="eastAsia" w:ascii="Calibri" w:hAnsi="Calibri" w:cs="Times New Roman"/>
          <w:sz w:val="28"/>
          <w:szCs w:val="28"/>
        </w:rPr>
        <w:fldChar w:fldCharType="end"/>
      </w:r>
      <w:r>
        <w:rPr>
          <w:rFonts w:hint="eastAsia" w:ascii="Calibri" w:hAnsi="Calibri" w:cs="Times New Roman"/>
          <w:sz w:val="28"/>
          <w:szCs w:val="28"/>
        </w:rPr>
        <w:t>7</w:t>
      </w:r>
    </w:p>
    <w:p>
      <w:pPr>
        <w:tabs>
          <w:tab w:val="right" w:leader="dot" w:pos="9060"/>
        </w:tabs>
        <w:spacing w:line="300" w:lineRule="auto"/>
        <w:ind w:firstLine="400"/>
        <w:jc w:val="left"/>
        <w:rPr>
          <w:rFonts w:ascii="Calibri" w:hAnsi="Calibri" w:cs="Times New Roman"/>
          <w:smallCaps w:val="0"/>
          <w:sz w:val="28"/>
          <w:szCs w:val="28"/>
        </w:rPr>
      </w:pPr>
      <w:r>
        <w:fldChar w:fldCharType="begin"/>
      </w:r>
      <w:r>
        <w:instrText xml:space="preserve"> HYPERLINK \l "_Toc509220192" </w:instrText>
      </w:r>
      <w:r>
        <w:fldChar w:fldCharType="separate"/>
      </w:r>
      <w:r>
        <w:rPr>
          <w:rFonts w:hint="eastAsia" w:cs="Times New Roman"/>
          <w:b/>
          <w:sz w:val="28"/>
          <w:szCs w:val="28"/>
          <w:u w:val="single"/>
        </w:rPr>
        <w:t>5</w:t>
      </w:r>
      <w:r>
        <w:rPr>
          <w:rFonts w:cs="Times New Roman"/>
          <w:b/>
          <w:sz w:val="28"/>
          <w:szCs w:val="28"/>
          <w:u w:val="single"/>
          <w:lang w:val="zh-CN"/>
        </w:rPr>
        <w:t>.2</w:t>
      </w:r>
      <w:r>
        <w:rPr>
          <w:rFonts w:hint="eastAsia" w:cs="Times New Roman"/>
          <w:sz w:val="28"/>
          <w:szCs w:val="28"/>
          <w:u w:val="single"/>
          <w:lang w:val="zh-CN"/>
        </w:rPr>
        <w:t xml:space="preserve"> 环境风险防控与应急措施</w:t>
      </w:r>
      <w:r>
        <w:rPr>
          <w:rFonts w:ascii="Calibri" w:hAnsi="Calibri" w:cs="Times New Roman"/>
          <w:sz w:val="28"/>
          <w:szCs w:val="28"/>
        </w:rPr>
        <w:tab/>
      </w:r>
      <w:r>
        <w:rPr>
          <w:rFonts w:hint="eastAsia" w:ascii="Calibri" w:hAnsi="Calibri" w:cs="Times New Roman"/>
          <w:sz w:val="28"/>
          <w:szCs w:val="28"/>
        </w:rPr>
        <w:t>3</w:t>
      </w:r>
      <w:r>
        <w:rPr>
          <w:rFonts w:hint="eastAsia" w:ascii="Calibri" w:hAnsi="Calibri" w:cs="Times New Roman"/>
          <w:sz w:val="28"/>
          <w:szCs w:val="28"/>
        </w:rPr>
        <w:fldChar w:fldCharType="end"/>
      </w:r>
      <w:r>
        <w:rPr>
          <w:rFonts w:hint="eastAsia" w:ascii="Calibri" w:hAnsi="Calibri" w:cs="Times New Roman"/>
          <w:sz w:val="28"/>
          <w:szCs w:val="28"/>
        </w:rPr>
        <w:t>7</w:t>
      </w:r>
    </w:p>
    <w:p>
      <w:pPr>
        <w:tabs>
          <w:tab w:val="right" w:leader="dot" w:pos="9060"/>
        </w:tabs>
        <w:spacing w:line="300" w:lineRule="auto"/>
        <w:ind w:firstLine="400"/>
        <w:jc w:val="left"/>
        <w:rPr>
          <w:rFonts w:ascii="Calibri" w:hAnsi="Calibri" w:cs="Times New Roman"/>
          <w:b/>
          <w:bCs/>
          <w:caps/>
          <w:sz w:val="28"/>
          <w:szCs w:val="28"/>
        </w:rPr>
      </w:pPr>
      <w:r>
        <w:fldChar w:fldCharType="begin"/>
      </w:r>
      <w:r>
        <w:instrText xml:space="preserve"> HYPERLINK \l "_Toc509220193" </w:instrText>
      </w:r>
      <w:r>
        <w:fldChar w:fldCharType="separate"/>
      </w:r>
      <w:r>
        <w:rPr>
          <w:rFonts w:hint="eastAsia" w:cs="Times New Roman"/>
          <w:b/>
          <w:sz w:val="28"/>
          <w:szCs w:val="28"/>
          <w:u w:val="single"/>
        </w:rPr>
        <w:t>5</w:t>
      </w:r>
      <w:r>
        <w:rPr>
          <w:rFonts w:cs="Times New Roman"/>
          <w:b/>
          <w:sz w:val="28"/>
          <w:szCs w:val="28"/>
          <w:u w:val="single"/>
          <w:lang w:val="zh-CN"/>
        </w:rPr>
        <w:t>.3</w:t>
      </w:r>
      <w:r>
        <w:rPr>
          <w:rFonts w:hint="eastAsia" w:cs="Times New Roman"/>
          <w:sz w:val="28"/>
          <w:szCs w:val="28"/>
          <w:u w:val="single"/>
          <w:lang w:val="zh-CN"/>
        </w:rPr>
        <w:t xml:space="preserve"> 环境应急资源</w:t>
      </w:r>
      <w:r>
        <w:rPr>
          <w:rFonts w:ascii="Calibri" w:hAnsi="Calibri" w:cs="Times New Roman"/>
          <w:sz w:val="28"/>
          <w:szCs w:val="28"/>
        </w:rPr>
        <w:tab/>
      </w:r>
      <w:r>
        <w:rPr>
          <w:rFonts w:hint="eastAsia" w:ascii="Calibri" w:hAnsi="Calibri" w:cs="Times New Roman"/>
          <w:sz w:val="28"/>
          <w:szCs w:val="28"/>
        </w:rPr>
        <w:t>40</w:t>
      </w:r>
      <w:r>
        <w:rPr>
          <w:rFonts w:hint="eastAsia" w:ascii="Calibri" w:hAnsi="Calibri" w:cs="Times New Roman"/>
          <w:sz w:val="28"/>
          <w:szCs w:val="28"/>
        </w:rPr>
        <w:fldChar w:fldCharType="end"/>
      </w:r>
    </w:p>
    <w:p>
      <w:pPr>
        <w:tabs>
          <w:tab w:val="left" w:pos="480"/>
          <w:tab w:val="right" w:leader="dot" w:pos="9060"/>
        </w:tabs>
        <w:spacing w:before="120" w:after="120" w:line="300" w:lineRule="auto"/>
        <w:ind w:firstLine="0" w:firstLineChars="0"/>
        <w:jc w:val="left"/>
        <w:rPr>
          <w:rFonts w:ascii="Calibri" w:hAnsi="Calibri" w:cs="Times New Roman"/>
          <w:b/>
          <w:bCs/>
          <w:caps/>
          <w:sz w:val="28"/>
          <w:szCs w:val="28"/>
        </w:rPr>
      </w:pPr>
      <w:r>
        <w:fldChar w:fldCharType="begin"/>
      </w:r>
      <w:r>
        <w:instrText xml:space="preserve"> HYPERLINK \l "_Toc509220197" </w:instrText>
      </w:r>
      <w:r>
        <w:fldChar w:fldCharType="separate"/>
      </w:r>
      <w:r>
        <w:rPr>
          <w:rFonts w:cs="Times New Roman"/>
          <w:b/>
          <w:bCs/>
          <w:caps/>
          <w:snapToGrid w:val="0"/>
          <w:w w:val="0"/>
          <w:kern w:val="0"/>
          <w:sz w:val="28"/>
          <w:szCs w:val="28"/>
          <w:u w:val="single"/>
        </w:rPr>
        <w:t>6.</w:t>
      </w:r>
      <w:r>
        <w:rPr>
          <w:rFonts w:ascii="Calibri" w:hAnsi="Calibri" w:cs="Times New Roman"/>
          <w:sz w:val="28"/>
          <w:szCs w:val="28"/>
        </w:rPr>
        <w:tab/>
      </w:r>
      <w:r>
        <w:rPr>
          <w:rFonts w:hint="eastAsia" w:cs="Times New Roman"/>
          <w:b/>
          <w:bCs/>
          <w:caps/>
          <w:kern w:val="0"/>
          <w:sz w:val="28"/>
          <w:szCs w:val="28"/>
          <w:u w:val="single"/>
        </w:rPr>
        <w:t>完善环境风险防控措施和应急措施的实施计划</w:t>
      </w:r>
      <w:r>
        <w:rPr>
          <w:rFonts w:ascii="Calibri" w:hAnsi="Calibri" w:cs="Times New Roman"/>
          <w:b/>
          <w:bCs/>
          <w:caps/>
          <w:sz w:val="28"/>
          <w:szCs w:val="28"/>
        </w:rPr>
        <w:tab/>
      </w:r>
      <w:r>
        <w:rPr>
          <w:rFonts w:hint="eastAsia" w:ascii="Calibri" w:hAnsi="Calibri" w:cs="Times New Roman"/>
          <w:b/>
          <w:bCs/>
          <w:caps/>
          <w:sz w:val="28"/>
          <w:szCs w:val="28"/>
        </w:rPr>
        <w:t>4</w:t>
      </w:r>
      <w:r>
        <w:rPr>
          <w:rFonts w:hint="eastAsia" w:ascii="Calibri" w:hAnsi="Calibri" w:cs="Times New Roman"/>
          <w:b/>
          <w:bCs/>
          <w:caps/>
          <w:sz w:val="28"/>
          <w:szCs w:val="28"/>
        </w:rPr>
        <w:fldChar w:fldCharType="end"/>
      </w:r>
      <w:r>
        <w:rPr>
          <w:rFonts w:hint="eastAsia" w:ascii="Calibri" w:hAnsi="Calibri" w:cs="Times New Roman"/>
          <w:b/>
          <w:bCs/>
          <w:caps/>
          <w:sz w:val="28"/>
          <w:szCs w:val="28"/>
        </w:rPr>
        <w:t>1</w:t>
      </w:r>
    </w:p>
    <w:p>
      <w:pPr>
        <w:tabs>
          <w:tab w:val="right" w:leader="dot" w:pos="9060"/>
        </w:tabs>
        <w:spacing w:line="300" w:lineRule="auto"/>
        <w:ind w:firstLine="400"/>
        <w:jc w:val="left"/>
        <w:rPr>
          <w:rFonts w:ascii="Calibri" w:hAnsi="Calibri" w:cs="Times New Roman"/>
          <w:smallCaps w:val="0"/>
          <w:sz w:val="28"/>
          <w:szCs w:val="28"/>
        </w:rPr>
      </w:pPr>
      <w:r>
        <w:fldChar w:fldCharType="begin"/>
      </w:r>
      <w:r>
        <w:instrText xml:space="preserve"> HYPERLINK \l "_Toc509220191" </w:instrText>
      </w:r>
      <w:r>
        <w:fldChar w:fldCharType="separate"/>
      </w:r>
      <w:r>
        <w:rPr>
          <w:rFonts w:hint="eastAsia" w:cs="Times New Roman"/>
          <w:b/>
          <w:kern w:val="0"/>
          <w:sz w:val="28"/>
          <w:szCs w:val="28"/>
          <w:u w:val="single"/>
        </w:rPr>
        <w:t>6</w:t>
      </w:r>
      <w:r>
        <w:rPr>
          <w:rFonts w:cs="Times New Roman"/>
          <w:b/>
          <w:kern w:val="0"/>
          <w:sz w:val="28"/>
          <w:szCs w:val="28"/>
          <w:u w:val="single"/>
        </w:rPr>
        <w:t>.1</w:t>
      </w:r>
      <w:r>
        <w:rPr>
          <w:rFonts w:hint="eastAsia" w:cs="Times New Roman"/>
          <w:sz w:val="28"/>
          <w:szCs w:val="28"/>
          <w:u w:val="single"/>
        </w:rPr>
        <w:t xml:space="preserve"> 进一步完善环境风险管理制度</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r>
        <w:rPr>
          <w:rFonts w:hint="eastAsia" w:ascii="Calibri" w:hAnsi="Calibri" w:cs="Times New Roman"/>
          <w:sz w:val="28"/>
          <w:szCs w:val="28"/>
        </w:rPr>
        <w:t>1</w:t>
      </w:r>
    </w:p>
    <w:p>
      <w:pPr>
        <w:tabs>
          <w:tab w:val="right" w:leader="dot" w:pos="9060"/>
        </w:tabs>
        <w:spacing w:line="300" w:lineRule="auto"/>
        <w:ind w:firstLine="400"/>
        <w:jc w:val="left"/>
        <w:rPr>
          <w:rFonts w:ascii="Calibri" w:hAnsi="Calibri" w:cs="Times New Roman"/>
          <w:b/>
          <w:bCs/>
          <w:caps/>
          <w:sz w:val="28"/>
          <w:szCs w:val="28"/>
        </w:rPr>
      </w:pPr>
      <w:r>
        <w:fldChar w:fldCharType="begin"/>
      </w:r>
      <w:r>
        <w:instrText xml:space="preserve"> HYPERLINK \l "_Toc509220192" </w:instrText>
      </w:r>
      <w:r>
        <w:fldChar w:fldCharType="separate"/>
      </w:r>
      <w:r>
        <w:rPr>
          <w:rFonts w:hint="eastAsia" w:cs="Times New Roman"/>
          <w:b/>
          <w:sz w:val="28"/>
          <w:szCs w:val="28"/>
          <w:u w:val="single"/>
        </w:rPr>
        <w:t>6</w:t>
      </w:r>
      <w:r>
        <w:rPr>
          <w:rFonts w:cs="Times New Roman"/>
          <w:b/>
          <w:sz w:val="28"/>
          <w:szCs w:val="28"/>
          <w:u w:val="single"/>
          <w:lang w:val="zh-CN"/>
        </w:rPr>
        <w:t>.2</w:t>
      </w:r>
      <w:r>
        <w:rPr>
          <w:rFonts w:hint="eastAsia" w:cs="Times New Roman"/>
          <w:sz w:val="28"/>
          <w:szCs w:val="28"/>
          <w:u w:val="single"/>
          <w:lang w:val="zh-CN"/>
        </w:rPr>
        <w:t xml:space="preserve"> 环境风险防控措施、环境应急能力建设</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r>
        <w:rPr>
          <w:rFonts w:hint="eastAsia" w:ascii="Calibri" w:hAnsi="Calibri" w:cs="Times New Roman"/>
          <w:sz w:val="28"/>
          <w:szCs w:val="28"/>
        </w:rPr>
        <w:t>1</w:t>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fldChar w:fldCharType="begin"/>
      </w:r>
      <w:r>
        <w:instrText xml:space="preserve"> HYPERLINK \l "_Toc509220198" </w:instrText>
      </w:r>
      <w:r>
        <w:fldChar w:fldCharType="separate"/>
      </w:r>
      <w:r>
        <w:rPr>
          <w:rFonts w:cs="Times New Roman"/>
          <w:b/>
          <w:bCs/>
          <w:caps/>
          <w:snapToGrid w:val="0"/>
          <w:w w:val="0"/>
          <w:kern w:val="0"/>
          <w:sz w:val="28"/>
          <w:szCs w:val="28"/>
          <w:u w:val="single"/>
        </w:rPr>
        <w:t>7.</w:t>
      </w:r>
      <w:r>
        <w:rPr>
          <w:rFonts w:ascii="Calibri" w:hAnsi="Calibri" w:cs="Times New Roman"/>
          <w:sz w:val="28"/>
          <w:szCs w:val="28"/>
        </w:rPr>
        <w:tab/>
      </w:r>
      <w:r>
        <w:rPr>
          <w:rFonts w:hint="eastAsia" w:cs="Times New Roman"/>
          <w:b/>
          <w:bCs/>
          <w:caps/>
          <w:sz w:val="28"/>
          <w:szCs w:val="28"/>
          <w:u w:val="single"/>
        </w:rPr>
        <w:t>企业突发环境事件风险等级</w:t>
      </w:r>
      <w:r>
        <w:rPr>
          <w:rFonts w:ascii="Calibri" w:hAnsi="Calibri" w:cs="Times New Roman"/>
          <w:b/>
          <w:bCs/>
          <w:caps/>
          <w:sz w:val="28"/>
          <w:szCs w:val="28"/>
        </w:rPr>
        <w:tab/>
      </w:r>
      <w:r>
        <w:rPr>
          <w:rFonts w:hint="eastAsia" w:ascii="Calibri" w:hAnsi="Calibri" w:cs="Times New Roman"/>
          <w:b/>
          <w:bCs/>
          <w:caps/>
          <w:sz w:val="28"/>
          <w:szCs w:val="28"/>
        </w:rPr>
        <w:t>4</w:t>
      </w:r>
      <w:r>
        <w:rPr>
          <w:rFonts w:hint="eastAsia" w:ascii="Calibri" w:hAnsi="Calibri" w:cs="Times New Roman"/>
          <w:b/>
          <w:bCs/>
          <w:caps/>
          <w:sz w:val="28"/>
          <w:szCs w:val="28"/>
        </w:rPr>
        <w:fldChar w:fldCharType="end"/>
      </w:r>
      <w:r>
        <w:rPr>
          <w:rFonts w:hint="eastAsia" w:ascii="Calibri" w:hAnsi="Calibri" w:cs="Times New Roman"/>
          <w:b/>
          <w:bCs/>
          <w:caps/>
          <w:sz w:val="28"/>
          <w:szCs w:val="28"/>
        </w:rPr>
        <w:t>3</w:t>
      </w:r>
    </w:p>
    <w:p>
      <w:pPr>
        <w:tabs>
          <w:tab w:val="right" w:leader="dot" w:pos="9060"/>
        </w:tabs>
        <w:spacing w:line="300" w:lineRule="auto"/>
        <w:ind w:firstLine="400"/>
        <w:jc w:val="left"/>
        <w:rPr>
          <w:rFonts w:ascii="Calibri" w:hAnsi="Calibri" w:cs="Times New Roman"/>
          <w:smallCaps w:val="0"/>
          <w:sz w:val="28"/>
          <w:szCs w:val="28"/>
        </w:rPr>
      </w:pPr>
      <w:r>
        <w:fldChar w:fldCharType="begin"/>
      </w:r>
      <w:r>
        <w:instrText xml:space="preserve"> HYPERLINK \l "_Toc509220199" </w:instrText>
      </w:r>
      <w:r>
        <w:fldChar w:fldCharType="separate"/>
      </w:r>
      <w:r>
        <w:rPr>
          <w:rFonts w:cs="Times New Roman"/>
          <w:b/>
          <w:sz w:val="28"/>
          <w:szCs w:val="28"/>
          <w:u w:val="single"/>
        </w:rPr>
        <w:t>7.1</w:t>
      </w:r>
      <w:r>
        <w:rPr>
          <w:rFonts w:hint="eastAsia" w:cs="Times New Roman"/>
          <w:sz w:val="28"/>
          <w:szCs w:val="28"/>
          <w:u w:val="single"/>
        </w:rPr>
        <w:t xml:space="preserve"> 企业环境风险物质评分</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r>
        <w:rPr>
          <w:rFonts w:hint="eastAsia" w:ascii="Calibri" w:hAnsi="Calibri" w:cs="Times New Roman"/>
          <w:sz w:val="28"/>
          <w:szCs w:val="28"/>
        </w:rPr>
        <w:t>4</w:t>
      </w:r>
    </w:p>
    <w:p>
      <w:pPr>
        <w:tabs>
          <w:tab w:val="right" w:leader="dot" w:pos="9060"/>
        </w:tabs>
        <w:spacing w:line="300" w:lineRule="auto"/>
        <w:ind w:firstLine="400"/>
        <w:jc w:val="left"/>
        <w:rPr>
          <w:rFonts w:ascii="Calibri" w:hAnsi="Calibri" w:cs="Times New Roman"/>
          <w:smallCaps w:val="0"/>
          <w:sz w:val="28"/>
          <w:szCs w:val="28"/>
        </w:rPr>
      </w:pPr>
      <w:r>
        <w:fldChar w:fldCharType="begin"/>
      </w:r>
      <w:r>
        <w:instrText xml:space="preserve"> HYPERLINK \l "_Toc509220200" </w:instrText>
      </w:r>
      <w:r>
        <w:fldChar w:fldCharType="separate"/>
      </w:r>
      <w:r>
        <w:rPr>
          <w:rFonts w:cs="Times New Roman"/>
          <w:b/>
          <w:sz w:val="28"/>
          <w:szCs w:val="28"/>
          <w:u w:val="single"/>
        </w:rPr>
        <w:t>7.2</w:t>
      </w:r>
      <w:r>
        <w:rPr>
          <w:rFonts w:hint="eastAsia" w:cs="Times New Roman"/>
          <w:sz w:val="28"/>
          <w:szCs w:val="28"/>
          <w:u w:val="single"/>
        </w:rPr>
        <w:t xml:space="preserve"> 突发大气环境风险等级确定</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r>
        <w:rPr>
          <w:rFonts w:hint="eastAsia" w:ascii="Calibri" w:hAnsi="Calibri" w:cs="Times New Roman"/>
          <w:sz w:val="28"/>
          <w:szCs w:val="28"/>
        </w:rPr>
        <w:t>5</w:t>
      </w:r>
    </w:p>
    <w:p>
      <w:pPr>
        <w:tabs>
          <w:tab w:val="right" w:leader="dot" w:pos="9060"/>
        </w:tabs>
        <w:spacing w:line="300" w:lineRule="auto"/>
        <w:ind w:firstLine="400"/>
        <w:jc w:val="left"/>
        <w:rPr>
          <w:rFonts w:ascii="Calibri" w:hAnsi="Calibri" w:cs="Times New Roman"/>
          <w:sz w:val="28"/>
          <w:szCs w:val="28"/>
        </w:rPr>
      </w:pPr>
      <w:r>
        <w:fldChar w:fldCharType="begin"/>
      </w:r>
      <w:r>
        <w:instrText xml:space="preserve"> HYPERLINK \l "_Toc509220201" </w:instrText>
      </w:r>
      <w:r>
        <w:fldChar w:fldCharType="separate"/>
      </w:r>
      <w:r>
        <w:rPr>
          <w:rFonts w:cs="Times New Roman"/>
          <w:b/>
          <w:sz w:val="28"/>
          <w:szCs w:val="28"/>
          <w:u w:val="single"/>
        </w:rPr>
        <w:t>7.3</w:t>
      </w:r>
      <w:r>
        <w:rPr>
          <w:rFonts w:hint="eastAsia" w:cs="Times New Roman"/>
          <w:sz w:val="28"/>
          <w:szCs w:val="28"/>
          <w:u w:val="single"/>
        </w:rPr>
        <w:t xml:space="preserve"> 突发水环境风险等级确定</w:t>
      </w:r>
      <w:r>
        <w:rPr>
          <w:rFonts w:ascii="Calibri" w:hAnsi="Calibri" w:cs="Times New Roman"/>
          <w:sz w:val="28"/>
          <w:szCs w:val="28"/>
        </w:rPr>
        <w:tab/>
      </w:r>
      <w:r>
        <w:rPr>
          <w:rFonts w:hint="eastAsia" w:ascii="Calibri" w:hAnsi="Calibri" w:cs="Times New Roman"/>
          <w:sz w:val="28"/>
          <w:szCs w:val="28"/>
        </w:rPr>
        <w:t>4</w:t>
      </w:r>
      <w:r>
        <w:rPr>
          <w:rFonts w:hint="eastAsia" w:ascii="Calibri" w:hAnsi="Calibri" w:cs="Times New Roman"/>
          <w:sz w:val="28"/>
          <w:szCs w:val="28"/>
        </w:rPr>
        <w:fldChar w:fldCharType="end"/>
      </w:r>
      <w:r>
        <w:rPr>
          <w:rFonts w:hint="eastAsia" w:ascii="Calibri" w:hAnsi="Calibri" w:cs="Times New Roman"/>
          <w:sz w:val="28"/>
          <w:szCs w:val="28"/>
        </w:rPr>
        <w:t>7</w:t>
      </w:r>
    </w:p>
    <w:p>
      <w:pPr>
        <w:tabs>
          <w:tab w:val="right" w:leader="dot" w:pos="9060"/>
        </w:tabs>
        <w:spacing w:line="300" w:lineRule="auto"/>
        <w:ind w:firstLine="400"/>
        <w:jc w:val="left"/>
        <w:rPr>
          <w:rFonts w:ascii="Calibri" w:hAnsi="Calibri" w:cs="Times New Roman"/>
          <w:sz w:val="28"/>
          <w:szCs w:val="28"/>
        </w:rPr>
      </w:pPr>
      <w:r>
        <w:fldChar w:fldCharType="begin"/>
      </w:r>
      <w:r>
        <w:instrText xml:space="preserve"> HYPERLINK \l "_Toc509220201" </w:instrText>
      </w:r>
      <w:r>
        <w:fldChar w:fldCharType="separate"/>
      </w:r>
      <w:r>
        <w:rPr>
          <w:rFonts w:cs="Times New Roman"/>
          <w:b/>
          <w:sz w:val="28"/>
          <w:szCs w:val="28"/>
          <w:u w:val="single"/>
        </w:rPr>
        <w:t>7.</w:t>
      </w:r>
      <w:r>
        <w:rPr>
          <w:rFonts w:hint="eastAsia" w:cs="Times New Roman"/>
          <w:b/>
          <w:sz w:val="28"/>
          <w:szCs w:val="28"/>
          <w:u w:val="single"/>
        </w:rPr>
        <w:t>4</w:t>
      </w:r>
      <w:r>
        <w:rPr>
          <w:rFonts w:hint="eastAsia" w:cs="Times New Roman"/>
          <w:sz w:val="28"/>
          <w:szCs w:val="28"/>
          <w:u w:val="single"/>
        </w:rPr>
        <w:t xml:space="preserve"> 企业突发环境事件风险等级划分</w:t>
      </w:r>
      <w:r>
        <w:rPr>
          <w:rFonts w:ascii="Calibri" w:hAnsi="Calibri" w:cs="Times New Roman"/>
          <w:sz w:val="28"/>
          <w:szCs w:val="28"/>
        </w:rPr>
        <w:tab/>
      </w:r>
      <w:r>
        <w:rPr>
          <w:rFonts w:hint="eastAsia" w:ascii="Calibri" w:hAnsi="Calibri" w:cs="Times New Roman"/>
          <w:sz w:val="28"/>
          <w:szCs w:val="28"/>
        </w:rPr>
        <w:t>5</w:t>
      </w:r>
      <w:r>
        <w:rPr>
          <w:rFonts w:hint="eastAsia" w:ascii="Calibri" w:hAnsi="Calibri" w:cs="Times New Roman"/>
          <w:sz w:val="28"/>
          <w:szCs w:val="28"/>
        </w:rPr>
        <w:fldChar w:fldCharType="end"/>
      </w:r>
      <w:r>
        <w:rPr>
          <w:rFonts w:hint="eastAsia" w:ascii="Calibri" w:hAnsi="Calibri" w:cs="Times New Roman"/>
          <w:sz w:val="28"/>
          <w:szCs w:val="28"/>
        </w:rPr>
        <w:t>4</w:t>
      </w:r>
    </w:p>
    <w:p>
      <w:pPr>
        <w:tabs>
          <w:tab w:val="left" w:pos="480"/>
          <w:tab w:val="right" w:leader="dot" w:pos="9060"/>
        </w:tabs>
        <w:spacing w:before="120" w:after="120" w:line="300" w:lineRule="auto"/>
        <w:ind w:firstLine="0" w:firstLineChars="0"/>
        <w:jc w:val="left"/>
        <w:rPr>
          <w:rFonts w:ascii="Calibri" w:hAnsi="Calibri" w:cs="Times New Roman"/>
          <w:sz w:val="28"/>
          <w:szCs w:val="28"/>
        </w:rPr>
      </w:pPr>
      <w:r>
        <w:fldChar w:fldCharType="begin"/>
      </w:r>
      <w:r>
        <w:instrText xml:space="preserve"> HYPERLINK \l "_Toc509220202" </w:instrText>
      </w:r>
      <w:r>
        <w:fldChar w:fldCharType="separate"/>
      </w:r>
      <w:r>
        <w:rPr>
          <w:rFonts w:cs="Times New Roman"/>
          <w:b/>
          <w:bCs/>
          <w:caps/>
          <w:snapToGrid w:val="0"/>
          <w:w w:val="0"/>
          <w:kern w:val="0"/>
          <w:sz w:val="28"/>
          <w:szCs w:val="28"/>
          <w:u w:val="single"/>
        </w:rPr>
        <w:t>8.</w:t>
      </w:r>
      <w:r>
        <w:rPr>
          <w:rFonts w:ascii="Calibri" w:hAnsi="Calibri" w:cs="Times New Roman"/>
          <w:sz w:val="28"/>
          <w:szCs w:val="28"/>
        </w:rPr>
        <w:tab/>
      </w:r>
      <w:r>
        <w:rPr>
          <w:rFonts w:hint="eastAsia" w:cs="Times New Roman"/>
          <w:b/>
          <w:bCs/>
          <w:caps/>
          <w:sz w:val="28"/>
          <w:szCs w:val="28"/>
          <w:u w:val="single"/>
        </w:rPr>
        <w:t>附件、附图</w:t>
      </w:r>
      <w:r>
        <w:rPr>
          <w:rFonts w:ascii="Calibri" w:hAnsi="Calibri" w:cs="Times New Roman"/>
          <w:b/>
          <w:bCs/>
          <w:caps/>
          <w:sz w:val="28"/>
          <w:szCs w:val="28"/>
        </w:rPr>
        <w:tab/>
      </w:r>
      <w:r>
        <w:rPr>
          <w:rFonts w:hint="eastAsia" w:ascii="Calibri" w:hAnsi="Calibri" w:cs="Times New Roman"/>
          <w:b/>
          <w:bCs/>
          <w:caps/>
          <w:sz w:val="28"/>
          <w:szCs w:val="28"/>
        </w:rPr>
        <w:t>5</w:t>
      </w:r>
      <w:r>
        <w:rPr>
          <w:rFonts w:hint="eastAsia" w:ascii="Calibri" w:hAnsi="Calibri" w:cs="Times New Roman"/>
          <w:b/>
          <w:bCs/>
          <w:caps/>
          <w:sz w:val="28"/>
          <w:szCs w:val="28"/>
        </w:rPr>
        <w:fldChar w:fldCharType="end"/>
      </w:r>
      <w:r>
        <w:rPr>
          <w:rFonts w:hint="eastAsia" w:ascii="Calibri" w:hAnsi="Calibri" w:cs="Times New Roman"/>
          <w:b/>
          <w:bCs/>
          <w:caps/>
          <w:sz w:val="28"/>
          <w:szCs w:val="28"/>
        </w:rPr>
        <w:t>5</w:t>
      </w:r>
    </w:p>
    <w:p>
      <w:pPr>
        <w:pStyle w:val="19"/>
        <w:jc w:val="both"/>
        <w:rPr>
          <w:rFonts w:ascii="Times New Roman" w:hAnsi="Times New Roman" w:cs="宋体"/>
          <w:snapToGrid w:val="0"/>
          <w:kern w:val="0"/>
          <w:sz w:val="28"/>
          <w:szCs w:val="28"/>
        </w:rPr>
      </w:pPr>
      <w:r>
        <w:rPr>
          <w:rFonts w:ascii="Times New Roman" w:hAnsi="Times New Roman" w:cs="宋体"/>
          <w:snapToGrid w:val="0"/>
          <w:kern w:val="0"/>
          <w:sz w:val="28"/>
          <w:szCs w:val="28"/>
        </w:rPr>
        <w:fldChar w:fldCharType="end"/>
      </w: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sectPr>
          <w:footerReference r:id="rId11" w:type="default"/>
          <w:pgSz w:w="11906" w:h="16838"/>
          <w:pgMar w:top="1440" w:right="1800" w:bottom="1440" w:left="1800" w:header="851" w:footer="992" w:gutter="0"/>
          <w:pgNumType w:start="1"/>
          <w:cols w:space="425" w:num="1"/>
          <w:docGrid w:type="lines" w:linePitch="312" w:charSpace="0"/>
        </w:sectPr>
      </w:pPr>
    </w:p>
    <w:p>
      <w:pPr>
        <w:pStyle w:val="19"/>
        <w:spacing w:line="360" w:lineRule="auto"/>
        <w:jc w:val="both"/>
        <w:rPr>
          <w:b/>
          <w:bCs/>
          <w:sz w:val="36"/>
          <w:szCs w:val="36"/>
        </w:rPr>
      </w:pPr>
      <w:r>
        <w:rPr>
          <w:rFonts w:hint="eastAsia"/>
          <w:b/>
          <w:bCs/>
          <w:sz w:val="36"/>
          <w:szCs w:val="36"/>
        </w:rPr>
        <w:t>1前言</w:t>
      </w:r>
    </w:p>
    <w:p>
      <w:pPr>
        <w:adjustRightInd w:val="0"/>
        <w:snapToGrid w:val="0"/>
        <w:ind w:firstLine="0" w:firstLineChars="0"/>
      </w:pPr>
    </w:p>
    <w:p>
      <w:pPr>
        <w:adjustRightInd w:val="0"/>
        <w:snapToGrid w:val="0"/>
        <w:ind w:firstLine="480"/>
      </w:pPr>
      <w:r>
        <w:rPr>
          <w:rFonts w:hint="eastAsia"/>
        </w:rPr>
        <w:t>湖口县金砂湾工业园污水处理厂位于湖口县金砂湾工业园北边缘、牛角芜下游，承担着处理工业园区污水的重任，也可</w:t>
      </w:r>
      <w:r>
        <w:rPr>
          <w:rFonts w:hint="eastAsia" w:hAnsi="宋体"/>
        </w:rPr>
        <w:t>改善城市环境质量和人民生活条件，节约保护水资源</w:t>
      </w:r>
      <w:r>
        <w:rPr>
          <w:rFonts w:hint="eastAsia"/>
        </w:rPr>
        <w:t>。项目投资17505.79万元，建设成一个处理能力为</w:t>
      </w:r>
      <w:r>
        <w:rPr>
          <w:rFonts w:hint="eastAsia" w:cs="Times New Roman"/>
        </w:rPr>
        <w:t>20000</w:t>
      </w:r>
      <w:r>
        <w:rPr>
          <w:rFonts w:hint="eastAsia"/>
          <w:bCs/>
          <w:smallCaps w:val="0"/>
          <w:sz w:val="21"/>
          <w:szCs w:val="21"/>
        </w:rPr>
        <w:t>m</w:t>
      </w:r>
      <w:r>
        <w:rPr>
          <w:rFonts w:cs="Times New Roman"/>
          <w:vertAlign w:val="superscript"/>
        </w:rPr>
        <w:t>3</w:t>
      </w:r>
      <w:r>
        <w:rPr>
          <w:rFonts w:cs="Times New Roman"/>
        </w:rPr>
        <w:t>/</w:t>
      </w:r>
      <w:r>
        <w:rPr>
          <w:rFonts w:hint="eastAsia"/>
          <w:bCs/>
          <w:smallCaps w:val="0"/>
          <w:sz w:val="21"/>
          <w:szCs w:val="21"/>
        </w:rPr>
        <w:t>d</w:t>
      </w:r>
      <w:r>
        <w:rPr>
          <w:rFonts w:hint="eastAsia"/>
        </w:rPr>
        <w:t>工业污水处理厂。项目总占地面积为4万</w:t>
      </w:r>
      <w:r>
        <w:rPr>
          <w:rFonts w:hint="eastAsia"/>
          <w:bCs/>
          <w:smallCaps w:val="0"/>
          <w:sz w:val="21"/>
          <w:szCs w:val="21"/>
        </w:rPr>
        <w:t>m</w:t>
      </w:r>
      <w:r>
        <w:rPr>
          <w:rFonts w:hint="eastAsia" w:cs="Times New Roman"/>
          <w:vertAlign w:val="superscript"/>
        </w:rPr>
        <w:t>2</w:t>
      </w:r>
      <w:r>
        <w:rPr>
          <w:rFonts w:hint="eastAsia" w:cs="Times New Roman"/>
        </w:rPr>
        <w:t>，建成后，</w:t>
      </w:r>
      <w:r>
        <w:rPr>
          <w:rFonts w:hint="eastAsia"/>
        </w:rPr>
        <w:t>年工作日为365天，主要生产岗位实行“四班三运转”，每班8小时连续工作制；管理服务人员年工作251天，每天一班，每班8小时间断工作制。</w:t>
      </w:r>
      <w:r>
        <w:rPr>
          <w:rFonts w:cs="Times New Roman"/>
          <w:kern w:val="21"/>
        </w:rPr>
        <w:t>污水处理工艺采用</w:t>
      </w:r>
      <w:r>
        <w:rPr>
          <w:rFonts w:hint="eastAsia" w:cs="Times New Roman"/>
          <w:kern w:val="21"/>
        </w:rPr>
        <w:t>“粗格栅+提升泵+细格栅+调节池+UASB水解池+厌氧池+缺氧池+好氧池+二沉池+芬顿氧化池+高效生物滤池+出水监测池”。</w:t>
      </w:r>
    </w:p>
    <w:p>
      <w:pPr>
        <w:ind w:firstLine="480"/>
      </w:pPr>
      <w:r>
        <w:rPr>
          <w:rFonts w:hint="eastAsia" w:hAnsi="宋体"/>
        </w:rPr>
        <w:t>本次应急预案评估范围为：湖口县金砂湾工业园集中污水处理厂</w:t>
      </w:r>
      <w:r>
        <w:rPr>
          <w:rFonts w:cs="Times New Roman"/>
          <w:lang w:val="zh-CN"/>
        </w:rPr>
        <w:t>工程</w:t>
      </w:r>
      <w:r>
        <w:rPr>
          <w:rFonts w:hint="eastAsia" w:hAnsi="宋体"/>
        </w:rPr>
        <w:t>。本项目已办理环评手续，已通过验收。建设单位生产规模为处理水量</w:t>
      </w:r>
      <w:r>
        <w:rPr>
          <w:rFonts w:hint="eastAsia" w:cs="Times New Roman"/>
        </w:rPr>
        <w:t>20000T</w:t>
      </w:r>
      <w:r>
        <w:rPr>
          <w:rFonts w:hint="eastAsia" w:hAnsi="宋体"/>
        </w:rPr>
        <w:t>/d。经调查，企业项目均符合“三同时”要求，且</w:t>
      </w:r>
      <w:r>
        <w:rPr>
          <w:rFonts w:hAnsi="宋体"/>
        </w:rPr>
        <w:t>近三年内本公司未受到环境保护主管部门处罚。</w:t>
      </w:r>
    </w:p>
    <w:p>
      <w:pPr>
        <w:ind w:firstLine="480"/>
        <w:rPr>
          <w:rFonts w:hAnsi="宋体"/>
        </w:rPr>
      </w:pPr>
      <w:r>
        <w:rPr>
          <w:rFonts w:hAnsi="宋体"/>
        </w:rPr>
        <w:t>为了进一步了解化学品在本公司生产、使用过程中由于日常环境释放对外环境和人体健康带来的长期、潜在的不利影响，及企业突发环境事故对环境和生命安全造成的短期不利影响，健全环境污染事件应急机制，有效预防、及时控制和消除突发环境污染事件的危害，本公司组织编制本环境风险评估报告。</w:t>
      </w:r>
    </w:p>
    <w:p>
      <w:pPr>
        <w:pStyle w:val="19"/>
        <w:spacing w:line="360" w:lineRule="auto"/>
        <w:jc w:val="both"/>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p>
    <w:p>
      <w:pPr>
        <w:pStyle w:val="19"/>
        <w:spacing w:line="360" w:lineRule="auto"/>
        <w:jc w:val="both"/>
        <w:rPr>
          <w:b/>
          <w:bCs/>
          <w:sz w:val="36"/>
          <w:szCs w:val="36"/>
        </w:rPr>
      </w:pPr>
      <w:r>
        <w:rPr>
          <w:rFonts w:hint="eastAsia"/>
          <w:b/>
          <w:bCs/>
          <w:sz w:val="36"/>
          <w:szCs w:val="36"/>
        </w:rPr>
        <w:t>2总则</w:t>
      </w:r>
    </w:p>
    <w:p>
      <w:pPr>
        <w:pStyle w:val="19"/>
        <w:spacing w:line="360" w:lineRule="auto"/>
        <w:ind w:firstLine="482" w:firstLineChars="200"/>
        <w:jc w:val="both"/>
        <w:rPr>
          <w:rFonts w:ascii="宋体" w:hAnsi="宋体" w:cs="宋体"/>
          <w:b/>
          <w:bCs/>
        </w:rPr>
      </w:pPr>
      <w:r>
        <w:rPr>
          <w:rFonts w:hint="eastAsia" w:ascii="宋体" w:hAnsi="宋体" w:cs="宋体"/>
          <w:b/>
          <w:bCs/>
        </w:rPr>
        <w:t>2.1 编制原则</w:t>
      </w:r>
    </w:p>
    <w:p>
      <w:pPr>
        <w:ind w:firstLine="480"/>
        <w:outlineLvl w:val="1"/>
        <w:rPr>
          <w:rFonts w:hAnsi="宋体"/>
          <w:color w:val="000000"/>
        </w:rPr>
      </w:pPr>
      <w:bookmarkStart w:id="0" w:name="_Toc17739"/>
      <w:bookmarkStart w:id="1" w:name="_Toc9776"/>
      <w:r>
        <w:rPr>
          <w:rFonts w:hint="eastAsia" w:hAnsi="宋体"/>
          <w:color w:val="000000"/>
        </w:rPr>
        <w:t>湖口县金砂湾工业园污水处理厂环境风险评估报告是对本公司所使用化学品评估过程和结果的总体描述，是提供化学品环境管理与风险决策提供依据。本报告编制应体现科学性、规范性、客观性和真实性的原则。</w:t>
      </w:r>
    </w:p>
    <w:p>
      <w:pPr>
        <w:ind w:firstLine="482"/>
        <w:outlineLvl w:val="1"/>
        <w:rPr>
          <w:b/>
          <w:bCs/>
        </w:rPr>
      </w:pPr>
      <w:r>
        <w:rPr>
          <w:rFonts w:hint="eastAsia"/>
          <w:b/>
          <w:bCs/>
        </w:rPr>
        <w:t>2.2 编制依据</w:t>
      </w:r>
      <w:bookmarkEnd w:id="0"/>
      <w:bookmarkEnd w:id="1"/>
    </w:p>
    <w:p>
      <w:pPr>
        <w:ind w:firstLine="482"/>
        <w:rPr>
          <w:b/>
          <w:bCs/>
        </w:rPr>
      </w:pPr>
      <w:r>
        <w:rPr>
          <w:rFonts w:hint="eastAsia"/>
          <w:b/>
          <w:bCs/>
        </w:rPr>
        <w:t>2.2.1 法律、法规及相关规定</w:t>
      </w:r>
    </w:p>
    <w:p>
      <w:pPr>
        <w:ind w:firstLine="480"/>
      </w:pPr>
      <w:r>
        <w:rPr>
          <w:rFonts w:hint="eastAsia"/>
        </w:rPr>
        <w:t>1、《中华人民共和国突发事件应对法》（2007 年 11 月 1 日）；</w:t>
      </w:r>
    </w:p>
    <w:p>
      <w:pPr>
        <w:ind w:firstLine="480"/>
      </w:pPr>
      <w:r>
        <w:rPr>
          <w:rFonts w:hint="eastAsia"/>
        </w:rPr>
        <w:t>2、《中华人民共和国环境保护法》(2015 年 1 月 1 日)；</w:t>
      </w:r>
    </w:p>
    <w:p>
      <w:pPr>
        <w:ind w:firstLine="480"/>
      </w:pPr>
      <w:r>
        <w:rPr>
          <w:rFonts w:hint="eastAsia"/>
        </w:rPr>
        <w:t>3、《中华人民共和国水污染防治法》（2018 年 1 月 1 日）；</w:t>
      </w:r>
    </w:p>
    <w:p>
      <w:pPr>
        <w:ind w:firstLine="480"/>
      </w:pPr>
      <w:r>
        <w:rPr>
          <w:rFonts w:hint="eastAsia"/>
        </w:rPr>
        <w:t>4、《中华人民共和国大气污染防治法》，2018 年 10 月 26 日</w:t>
      </w:r>
    </w:p>
    <w:p>
      <w:pPr>
        <w:ind w:firstLine="480"/>
      </w:pPr>
      <w:r>
        <w:rPr>
          <w:rFonts w:hint="eastAsia"/>
        </w:rPr>
        <w:t>5、《中华人民共和国固体废物污染环境防治法》(2020 年 4 月 29 日修订)；</w:t>
      </w:r>
    </w:p>
    <w:p>
      <w:pPr>
        <w:ind w:firstLine="480"/>
      </w:pPr>
      <w:r>
        <w:rPr>
          <w:rFonts w:hint="eastAsia"/>
        </w:rPr>
        <w:t>6、《中华人民共和国安全生产法》</w:t>
      </w:r>
      <w:r>
        <w:rPr>
          <w:rFonts w:hint="eastAsia"/>
          <w:color w:val="FF0000"/>
        </w:rPr>
        <w:t>（2021 年 9 月 1 日）</w:t>
      </w:r>
      <w:r>
        <w:rPr>
          <w:rFonts w:hint="eastAsia"/>
        </w:rPr>
        <w:t>；</w:t>
      </w:r>
    </w:p>
    <w:p>
      <w:pPr>
        <w:ind w:firstLine="480"/>
      </w:pPr>
      <w:r>
        <w:rPr>
          <w:rFonts w:hint="eastAsia"/>
        </w:rPr>
        <w:t>7、《中华人民共和国消防法》（2019 年 4 月 23 日修正）；</w:t>
      </w:r>
    </w:p>
    <w:p>
      <w:pPr>
        <w:ind w:firstLine="480"/>
      </w:pPr>
      <w:r>
        <w:rPr>
          <w:rFonts w:hint="eastAsia"/>
        </w:rPr>
        <w:t>8、《中华人民共和国职业病防治法》（2018 年 12 月 29 日修正）；</w:t>
      </w:r>
    </w:p>
    <w:p>
      <w:pPr>
        <w:ind w:firstLine="480"/>
      </w:pPr>
      <w:r>
        <w:rPr>
          <w:rFonts w:hint="eastAsia"/>
        </w:rPr>
        <w:t>9、《危险化学品安全管理条例》（2013 年 12 月 7 日修正）；</w:t>
      </w:r>
    </w:p>
    <w:p>
      <w:pPr>
        <w:ind w:firstLine="480"/>
      </w:pPr>
      <w:r>
        <w:rPr>
          <w:rFonts w:hint="eastAsia"/>
        </w:rPr>
        <w:t>10、《国务院关于加强环境保护重点工作的意见》（国发[2011]35 号）；</w:t>
      </w:r>
    </w:p>
    <w:p>
      <w:pPr>
        <w:ind w:firstLine="480"/>
      </w:pPr>
      <w:r>
        <w:rPr>
          <w:rFonts w:hint="eastAsia"/>
        </w:rPr>
        <w:t>11、《突发事件应急预案管理办法》（国办发[2013]101 号）；</w:t>
      </w:r>
    </w:p>
    <w:p>
      <w:pPr>
        <w:ind w:firstLine="480"/>
      </w:pPr>
      <w:r>
        <w:rPr>
          <w:rFonts w:hint="eastAsia"/>
        </w:rPr>
        <w:t>12、《突发环境</w:t>
      </w:r>
      <w:r>
        <w:rPr>
          <w:rFonts w:hint="eastAsia"/>
          <w:color w:val="FF0000"/>
        </w:rPr>
        <w:t>事件</w:t>
      </w:r>
      <w:r>
        <w:rPr>
          <w:rFonts w:hint="eastAsia"/>
        </w:rPr>
        <w:t>信息报告办法》（2011 年环保部第 17 号）；</w:t>
      </w:r>
    </w:p>
    <w:p>
      <w:pPr>
        <w:ind w:firstLine="480"/>
      </w:pPr>
      <w:r>
        <w:rPr>
          <w:rFonts w:hint="eastAsia"/>
        </w:rPr>
        <w:t>13、《危险化学品重大危险源监督管理暂行规定》（2015 年 7 月 1 日）；</w:t>
      </w:r>
    </w:p>
    <w:p>
      <w:pPr>
        <w:ind w:firstLine="480"/>
      </w:pPr>
      <w:r>
        <w:rPr>
          <w:rFonts w:hint="eastAsia"/>
        </w:rPr>
        <w:t>14、《危险化学品生产企业安全生产许可证实施办法》（2011 年 12 月 1</w:t>
      </w:r>
    </w:p>
    <w:p>
      <w:pPr>
        <w:tabs>
          <w:tab w:val="left" w:pos="418"/>
        </w:tabs>
        <w:ind w:firstLine="0" w:firstLineChars="0"/>
      </w:pPr>
      <w:r>
        <w:rPr>
          <w:rFonts w:hint="eastAsia"/>
        </w:rPr>
        <w:t>日）；</w:t>
      </w:r>
    </w:p>
    <w:p>
      <w:pPr>
        <w:ind w:firstLine="480"/>
      </w:pPr>
      <w:r>
        <w:rPr>
          <w:rFonts w:hint="eastAsia"/>
        </w:rPr>
        <w:t>15、《危险化学品建设项目安全监督管理办法》（2015 年 6 月 29 号修订）；</w:t>
      </w:r>
    </w:p>
    <w:p>
      <w:pPr>
        <w:ind w:firstLine="480"/>
      </w:pPr>
      <w:r>
        <w:rPr>
          <w:rFonts w:hint="eastAsia"/>
        </w:rPr>
        <w:t>16、《建设项目环境影响评价分类管理名录</w:t>
      </w:r>
      <w:r>
        <w:rPr>
          <w:rFonts w:hint="eastAsia"/>
          <w:color w:val="FF0000"/>
        </w:rPr>
        <w:t>（2021年版）</w:t>
      </w:r>
      <w:r>
        <w:rPr>
          <w:rFonts w:hint="eastAsia"/>
        </w:rPr>
        <w:t>》；</w:t>
      </w:r>
    </w:p>
    <w:p>
      <w:pPr>
        <w:ind w:firstLine="480"/>
      </w:pPr>
      <w:r>
        <w:rPr>
          <w:rFonts w:hint="eastAsia"/>
        </w:rPr>
        <w:t>17、《企业事业单位突发环境事件应急预案管理办法（试行）》（环发[2015]4</w:t>
      </w:r>
    </w:p>
    <w:p>
      <w:pPr>
        <w:tabs>
          <w:tab w:val="left" w:pos="418"/>
        </w:tabs>
        <w:ind w:firstLine="0" w:firstLineChars="0"/>
      </w:pPr>
      <w:r>
        <w:rPr>
          <w:rFonts w:hint="eastAsia"/>
        </w:rPr>
        <w:t>号）；</w:t>
      </w:r>
    </w:p>
    <w:p>
      <w:pPr>
        <w:ind w:firstLine="480"/>
      </w:pPr>
      <w:r>
        <w:rPr>
          <w:rFonts w:hint="eastAsia"/>
        </w:rPr>
        <w:t>18、《突发环境事件应急管理办法》（环境保护部令[2015]34 号）；</w:t>
      </w:r>
    </w:p>
    <w:p>
      <w:pPr>
        <w:ind w:firstLine="480"/>
      </w:pPr>
      <w:r>
        <w:rPr>
          <w:rFonts w:hint="eastAsia"/>
        </w:rPr>
        <w:t>19、《危险废物污染防治技术政策》，环发[2001]199 号，2001 年 12 月 17</w:t>
      </w:r>
    </w:p>
    <w:p>
      <w:pPr>
        <w:ind w:firstLine="0" w:firstLineChars="0"/>
      </w:pPr>
      <w:r>
        <w:rPr>
          <w:rFonts w:hint="eastAsia"/>
        </w:rPr>
        <w:t>日；</w:t>
      </w:r>
    </w:p>
    <w:p>
      <w:pPr>
        <w:ind w:firstLine="480"/>
      </w:pPr>
      <w:r>
        <w:rPr>
          <w:rFonts w:hint="eastAsia"/>
        </w:rPr>
        <w:t>20、关于发布《企业突发环境事件隐患排查和治理工作指南（试行）》的</w:t>
      </w:r>
    </w:p>
    <w:p>
      <w:pPr>
        <w:ind w:firstLine="0" w:firstLineChars="0"/>
      </w:pPr>
      <w:r>
        <w:rPr>
          <w:rFonts w:hint="eastAsia"/>
        </w:rPr>
        <w:t>公告（公告 2016 年第 74 号）；</w:t>
      </w:r>
    </w:p>
    <w:p>
      <w:pPr>
        <w:ind w:firstLine="480"/>
      </w:pPr>
      <w:r>
        <w:rPr>
          <w:rFonts w:hint="eastAsia"/>
        </w:rPr>
        <w:t>21、《国家突发环境事件应急预案》；</w:t>
      </w:r>
    </w:p>
    <w:p>
      <w:pPr>
        <w:ind w:firstLine="480"/>
      </w:pPr>
      <w:r>
        <w:rPr>
          <w:rFonts w:hint="eastAsia"/>
        </w:rPr>
        <w:t>22、《九江市突发事件总体应急预案》；</w:t>
      </w:r>
    </w:p>
    <w:p>
      <w:pPr>
        <w:ind w:firstLine="480"/>
      </w:pPr>
      <w:r>
        <w:rPr>
          <w:rFonts w:hint="eastAsia"/>
        </w:rPr>
        <w:t>23、《中华人民共和国环境保护部关于突发环境事件调查处理办法》，2015</w:t>
      </w:r>
    </w:p>
    <w:p>
      <w:pPr>
        <w:ind w:firstLine="480"/>
      </w:pPr>
      <w:r>
        <w:rPr>
          <w:rFonts w:hint="eastAsia"/>
        </w:rPr>
        <w:t>年 3 月 1 日；</w:t>
      </w:r>
    </w:p>
    <w:p>
      <w:pPr>
        <w:ind w:firstLine="480"/>
      </w:pPr>
      <w:r>
        <w:rPr>
          <w:rFonts w:hint="eastAsia"/>
        </w:rPr>
        <w:t>24、《危险化学品重大危险源监督管理暂行规定》（安全监管总局令第</w:t>
      </w:r>
    </w:p>
    <w:p>
      <w:pPr>
        <w:ind w:firstLine="480"/>
      </w:pPr>
      <w:r>
        <w:rPr>
          <w:rFonts w:hint="eastAsia"/>
        </w:rPr>
        <w:t>40 号）；</w:t>
      </w:r>
    </w:p>
    <w:p>
      <w:pPr>
        <w:ind w:firstLine="480"/>
      </w:pPr>
      <w:r>
        <w:rPr>
          <w:rFonts w:hint="eastAsia"/>
        </w:rPr>
        <w:t>25、《企业事业单位突发环境事件应急预案备案管理方法（试行）》环发[2015]4</w:t>
      </w:r>
    </w:p>
    <w:p>
      <w:pPr>
        <w:ind w:firstLine="480"/>
      </w:pPr>
      <w:r>
        <w:rPr>
          <w:rFonts w:hint="eastAsia"/>
        </w:rPr>
        <w:t>号，2015 年 1 月 8 日；</w:t>
      </w:r>
    </w:p>
    <w:p>
      <w:pPr>
        <w:ind w:firstLine="480"/>
      </w:pPr>
      <w:r>
        <w:rPr>
          <w:rFonts w:hint="eastAsia"/>
        </w:rPr>
        <w:t>26、《危险化学品名录（2015 版）》，2015 年 5 月 1 日；</w:t>
      </w:r>
    </w:p>
    <w:p>
      <w:pPr>
        <w:pStyle w:val="19"/>
        <w:spacing w:line="360" w:lineRule="auto"/>
        <w:ind w:firstLine="480" w:firstLineChars="200"/>
        <w:jc w:val="both"/>
      </w:pPr>
      <w:r>
        <w:rPr>
          <w:rFonts w:hint="eastAsia"/>
        </w:rPr>
        <w:t>27、《国家危险废物名录（2021 年版）》，2020 年 1 月 1 日</w:t>
      </w:r>
    </w:p>
    <w:p>
      <w:pPr>
        <w:pStyle w:val="19"/>
        <w:spacing w:line="360" w:lineRule="auto"/>
        <w:ind w:firstLine="482" w:firstLineChars="200"/>
        <w:jc w:val="both"/>
        <w:rPr>
          <w:b/>
          <w:bCs/>
        </w:rPr>
      </w:pPr>
      <w:r>
        <w:rPr>
          <w:rFonts w:hint="eastAsia"/>
          <w:b/>
          <w:bCs/>
        </w:rPr>
        <w:t>2.2.2 标准规范、技术规范</w:t>
      </w:r>
    </w:p>
    <w:p>
      <w:pPr>
        <w:pStyle w:val="19"/>
        <w:spacing w:line="360" w:lineRule="auto"/>
        <w:ind w:firstLine="480" w:firstLineChars="200"/>
        <w:jc w:val="both"/>
      </w:pPr>
      <w:r>
        <w:rPr>
          <w:rFonts w:hint="eastAsia"/>
        </w:rPr>
        <w:t>（1）《危险化学品重大危险源辨识》（GB18218-2018）；</w:t>
      </w:r>
    </w:p>
    <w:p>
      <w:pPr>
        <w:pStyle w:val="19"/>
        <w:spacing w:line="360" w:lineRule="auto"/>
        <w:ind w:firstLine="480" w:firstLineChars="200"/>
        <w:jc w:val="both"/>
      </w:pPr>
      <w:r>
        <w:rPr>
          <w:rFonts w:hint="eastAsia"/>
        </w:rPr>
        <w:t>（2）《化学品分类和标签规范》 GB30000.18-2013：《化学品分类和标签规范第 18 部分：急性毒性》（GB30000.18-2013）；</w:t>
      </w:r>
    </w:p>
    <w:p>
      <w:pPr>
        <w:pStyle w:val="19"/>
        <w:spacing w:line="360" w:lineRule="auto"/>
        <w:ind w:firstLine="480" w:firstLineChars="200"/>
        <w:jc w:val="both"/>
      </w:pPr>
      <w:r>
        <w:rPr>
          <w:rFonts w:hint="eastAsia"/>
        </w:rPr>
        <w:t>（3）《建设项目环境风险评价技术导则》（HJ/T169-2018）；</w:t>
      </w:r>
    </w:p>
    <w:p>
      <w:pPr>
        <w:pStyle w:val="19"/>
        <w:spacing w:line="360" w:lineRule="auto"/>
        <w:ind w:firstLine="480" w:firstLineChars="200"/>
        <w:jc w:val="both"/>
      </w:pPr>
      <w:r>
        <w:rPr>
          <w:rFonts w:hint="eastAsia"/>
        </w:rPr>
        <w:t>（4）《企业突发环境事件风险分级方法》（HJ941-2018）；</w:t>
      </w:r>
    </w:p>
    <w:p>
      <w:pPr>
        <w:pStyle w:val="19"/>
        <w:spacing w:line="360" w:lineRule="auto"/>
        <w:ind w:firstLine="480" w:firstLineChars="200"/>
        <w:jc w:val="both"/>
      </w:pPr>
      <w:r>
        <w:rPr>
          <w:rFonts w:hint="eastAsia"/>
        </w:rPr>
        <w:t>（5）《事故状态下水体污染预防与控制要求》（Q/SY1190-2013）；</w:t>
      </w:r>
    </w:p>
    <w:p>
      <w:pPr>
        <w:pStyle w:val="19"/>
        <w:spacing w:line="360" w:lineRule="auto"/>
        <w:ind w:firstLine="480" w:firstLineChars="200"/>
        <w:jc w:val="both"/>
      </w:pPr>
      <w:r>
        <w:rPr>
          <w:rFonts w:hint="eastAsia"/>
        </w:rPr>
        <w:t>（6）《水体污染事故风险预防与控制措施运行管理要求》（中国石油公司标准 Q/SY1310-2010）；</w:t>
      </w:r>
    </w:p>
    <w:p>
      <w:pPr>
        <w:pStyle w:val="19"/>
        <w:numPr>
          <w:ilvl w:val="0"/>
          <w:numId w:val="1"/>
        </w:numPr>
        <w:spacing w:line="360" w:lineRule="auto"/>
        <w:ind w:firstLine="480" w:firstLineChars="200"/>
        <w:jc w:val="both"/>
      </w:pPr>
      <w:r>
        <w:rPr>
          <w:rFonts w:hint="eastAsia"/>
        </w:rPr>
        <w:t>《危险废物贮存污染控制标准》（GB18597-2001）；</w:t>
      </w:r>
    </w:p>
    <w:p>
      <w:pPr>
        <w:pStyle w:val="19"/>
        <w:spacing w:line="360" w:lineRule="auto"/>
        <w:ind w:firstLine="480" w:firstLineChars="200"/>
        <w:jc w:val="both"/>
      </w:pPr>
      <w:r>
        <w:rPr>
          <w:rFonts w:hint="eastAsia"/>
        </w:rPr>
        <w:t>（8）《一般工业固体废物贮存和填埋污染控制标准》（GB18599-2020）；</w:t>
      </w:r>
    </w:p>
    <w:p>
      <w:pPr>
        <w:pStyle w:val="19"/>
        <w:spacing w:line="360" w:lineRule="auto"/>
        <w:ind w:firstLine="480" w:firstLineChars="200"/>
        <w:jc w:val="both"/>
      </w:pPr>
      <w:r>
        <w:rPr>
          <w:rFonts w:hint="eastAsia"/>
        </w:rPr>
        <w:t>（9）《化学品分类、警示标签警示说明安全规范》（GB20576-GB20602）</w:t>
      </w:r>
    </w:p>
    <w:p>
      <w:pPr>
        <w:pStyle w:val="19"/>
        <w:spacing w:line="360" w:lineRule="auto"/>
        <w:ind w:firstLine="482" w:firstLineChars="200"/>
        <w:jc w:val="both"/>
        <w:rPr>
          <w:b/>
          <w:bCs/>
        </w:rPr>
      </w:pPr>
      <w:r>
        <w:rPr>
          <w:rFonts w:hint="eastAsia"/>
          <w:b/>
          <w:bCs/>
        </w:rPr>
        <w:t>2.2.3 其他文件</w:t>
      </w:r>
    </w:p>
    <w:p>
      <w:pPr>
        <w:pStyle w:val="19"/>
        <w:spacing w:line="360" w:lineRule="auto"/>
        <w:ind w:firstLine="480" w:firstLineChars="200"/>
        <w:jc w:val="both"/>
      </w:pPr>
      <w:r>
        <w:rPr>
          <w:rFonts w:hint="eastAsia"/>
        </w:rPr>
        <w:t>（1）《湖口博源污水处理有限公司九江市金砂湾工业园区污水处理工程建设项目环境影响报告书》；</w:t>
      </w:r>
    </w:p>
    <w:p>
      <w:pPr>
        <w:pStyle w:val="19"/>
        <w:spacing w:line="360" w:lineRule="auto"/>
        <w:ind w:firstLine="480" w:firstLineChars="200"/>
        <w:jc w:val="both"/>
      </w:pPr>
      <w:r>
        <w:rPr>
          <w:rFonts w:hint="eastAsia"/>
        </w:rPr>
        <w:t>（2）九江市生态环境保护局关于《湖口博源污水处理有限公司九江市金砂湾工业园区污水处理工程建设项目环境影响报告书》批复（九环督字[2009]17 号）；</w:t>
      </w:r>
    </w:p>
    <w:p>
      <w:pPr>
        <w:pStyle w:val="19"/>
        <w:spacing w:line="360" w:lineRule="auto"/>
        <w:ind w:firstLine="480" w:firstLineChars="200"/>
        <w:jc w:val="both"/>
      </w:pPr>
      <w:r>
        <w:rPr>
          <w:rFonts w:hint="eastAsia"/>
        </w:rPr>
        <w:t>（3）《湖口县金砂湾工业园污水处理厂提升改造工程项目环境影响报告表》；</w:t>
      </w:r>
    </w:p>
    <w:p>
      <w:pPr>
        <w:pStyle w:val="19"/>
        <w:spacing w:line="360" w:lineRule="auto"/>
        <w:ind w:firstLine="480" w:firstLineChars="200"/>
        <w:jc w:val="both"/>
      </w:pPr>
      <w:r>
        <w:rPr>
          <w:rFonts w:hint="eastAsia"/>
        </w:rPr>
        <w:t>（4）湖口县生态环境保护局关于《湖口县金砂湾工业园污水处理厂提升改造工程项目环境影响报告表》的批复（湖环评【2019】19号）；</w:t>
      </w:r>
    </w:p>
    <w:p>
      <w:pPr>
        <w:pStyle w:val="19"/>
        <w:spacing w:line="360" w:lineRule="auto"/>
        <w:ind w:firstLine="480" w:firstLineChars="200"/>
        <w:jc w:val="both"/>
      </w:pPr>
      <w:r>
        <w:rPr>
          <w:rFonts w:hint="eastAsia"/>
        </w:rPr>
        <w:t>（5）其它相关技术文件。</w:t>
      </w:r>
    </w:p>
    <w:p>
      <w:pPr>
        <w:pStyle w:val="19"/>
        <w:spacing w:line="360" w:lineRule="auto"/>
        <w:ind w:firstLine="482" w:firstLineChars="200"/>
        <w:jc w:val="both"/>
        <w:rPr>
          <w:b/>
          <w:bCs/>
        </w:rPr>
      </w:pPr>
      <w:r>
        <w:rPr>
          <w:rFonts w:hint="eastAsia"/>
          <w:b/>
          <w:bCs/>
        </w:rPr>
        <w:t>2.3 评估范围</w:t>
      </w:r>
    </w:p>
    <w:p>
      <w:pPr>
        <w:pStyle w:val="19"/>
        <w:spacing w:line="360" w:lineRule="auto"/>
        <w:ind w:firstLine="480" w:firstLineChars="200"/>
        <w:jc w:val="both"/>
      </w:pPr>
      <w:r>
        <w:rPr>
          <w:rFonts w:hint="eastAsia"/>
        </w:rPr>
        <w:t>本次环境风险评估仅针对金砂湾园工业污水处理厂可能发生的突发环境事件的环境风险等级进行评估。</w:t>
      </w:r>
    </w:p>
    <w:p>
      <w:pPr>
        <w:pStyle w:val="19"/>
        <w:spacing w:line="360" w:lineRule="auto"/>
        <w:ind w:firstLine="482" w:firstLineChars="200"/>
        <w:jc w:val="both"/>
        <w:rPr>
          <w:b/>
          <w:bCs/>
        </w:rPr>
      </w:pPr>
      <w:r>
        <w:rPr>
          <w:rFonts w:hint="eastAsia"/>
          <w:b/>
          <w:bCs/>
        </w:rPr>
        <w:t>2.4 评估程序</w:t>
      </w:r>
    </w:p>
    <w:p>
      <w:pPr>
        <w:pStyle w:val="19"/>
        <w:spacing w:line="360" w:lineRule="auto"/>
        <w:ind w:firstLine="480" w:firstLineChars="200"/>
        <w:jc w:val="both"/>
      </w:pPr>
      <w:r>
        <w:rPr>
          <w:rFonts w:hint="eastAsia" w:ascii="宋体" w:hAnsi="宋体" w:cs="宋体"/>
          <w:color w:val="000000"/>
          <w:kern w:val="0"/>
        </w:rPr>
        <w:t>企业环境风险评估，按照资料准备与环境风险识别、可能发生环境事件及其后果分析、现有环境风险防控和环境应急管理差距分析、制定完善环境风险防控和应急措施的实施计划、划定突发环境事件风险等级五个步骤实施。</w:t>
      </w: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ind w:firstLine="2409" w:firstLineChars="1000"/>
        <w:jc w:val="both"/>
        <w:rPr>
          <w:b/>
          <w:bCs/>
        </w:rPr>
      </w:pPr>
    </w:p>
    <w:p>
      <w:pPr>
        <w:pStyle w:val="19"/>
        <w:spacing w:line="360" w:lineRule="auto"/>
        <w:jc w:val="both"/>
        <w:rPr>
          <w:b/>
          <w:bCs/>
          <w:sz w:val="36"/>
          <w:szCs w:val="36"/>
        </w:rPr>
      </w:pPr>
      <w:r>
        <w:rPr>
          <w:rFonts w:hint="eastAsia"/>
          <w:b/>
          <w:bCs/>
          <w:sz w:val="36"/>
          <w:szCs w:val="36"/>
        </w:rPr>
        <w:t>3 资料准备与环境风险识别</w:t>
      </w:r>
    </w:p>
    <w:p>
      <w:pPr>
        <w:pStyle w:val="19"/>
        <w:spacing w:line="360" w:lineRule="auto"/>
        <w:ind w:firstLine="482" w:firstLineChars="200"/>
        <w:jc w:val="both"/>
        <w:rPr>
          <w:b/>
          <w:bCs/>
        </w:rPr>
      </w:pPr>
      <w:r>
        <w:rPr>
          <w:rFonts w:hint="eastAsia"/>
          <w:b/>
          <w:bCs/>
        </w:rPr>
        <w:t>3.1 企业的基本信息</w:t>
      </w:r>
    </w:p>
    <w:p>
      <w:pPr>
        <w:pStyle w:val="19"/>
        <w:spacing w:line="360" w:lineRule="auto"/>
        <w:ind w:firstLine="482" w:firstLineChars="200"/>
        <w:jc w:val="both"/>
        <w:rPr>
          <w:b/>
          <w:bCs/>
        </w:rPr>
      </w:pPr>
      <w:r>
        <w:rPr>
          <w:rFonts w:hint="eastAsia"/>
          <w:b/>
          <w:bCs/>
        </w:rPr>
        <w:t>3.1.1 企业概述</w:t>
      </w:r>
    </w:p>
    <w:p>
      <w:pPr>
        <w:pStyle w:val="19"/>
        <w:spacing w:line="360" w:lineRule="auto"/>
        <w:ind w:firstLine="482" w:firstLineChars="200"/>
        <w:jc w:val="both"/>
        <w:rPr>
          <w:b/>
          <w:bCs/>
        </w:rPr>
      </w:pPr>
      <w:r>
        <w:rPr>
          <w:rFonts w:hint="eastAsia"/>
          <w:b/>
          <w:bCs/>
        </w:rPr>
        <w:t xml:space="preserve">                       表3-1 企业基本信息汇总</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22"/>
        <w:gridCol w:w="6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b/>
                <w:bCs/>
                <w:sz w:val="21"/>
                <w:szCs w:val="21"/>
              </w:rPr>
            </w:pPr>
            <w:r>
              <w:rPr>
                <w:rFonts w:hint="eastAsia"/>
                <w:b/>
                <w:bCs/>
                <w:sz w:val="21"/>
                <w:szCs w:val="21"/>
              </w:rPr>
              <w:t>项目</w:t>
            </w:r>
          </w:p>
        </w:tc>
        <w:tc>
          <w:tcPr>
            <w:tcW w:w="6100" w:type="dxa"/>
          </w:tcPr>
          <w:p>
            <w:pPr>
              <w:pStyle w:val="19"/>
              <w:bidi/>
              <w:rPr>
                <w:b/>
                <w:bCs/>
                <w:sz w:val="21"/>
                <w:szCs w:val="21"/>
              </w:rPr>
            </w:pPr>
            <w:r>
              <w:rPr>
                <w:rFonts w:hint="eastAsia"/>
                <w:b/>
                <w:bCs/>
                <w:sz w:val="21"/>
                <w:szCs w:val="21"/>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项目名称</w:t>
            </w:r>
          </w:p>
        </w:tc>
        <w:tc>
          <w:tcPr>
            <w:tcW w:w="6100" w:type="dxa"/>
          </w:tcPr>
          <w:p>
            <w:pPr>
              <w:pStyle w:val="19"/>
              <w:bidi/>
              <w:rPr>
                <w:sz w:val="21"/>
                <w:szCs w:val="21"/>
              </w:rPr>
            </w:pPr>
            <w:r>
              <w:rPr>
                <w:rFonts w:hint="eastAsia"/>
                <w:sz w:val="21"/>
                <w:szCs w:val="21"/>
              </w:rPr>
              <w:t>湖口县金砂湾工业园集中污水处理工程建设项目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建设单位</w:t>
            </w:r>
          </w:p>
        </w:tc>
        <w:tc>
          <w:tcPr>
            <w:tcW w:w="6100" w:type="dxa"/>
          </w:tcPr>
          <w:p>
            <w:pPr>
              <w:pStyle w:val="19"/>
              <w:bidi/>
              <w:rPr>
                <w:sz w:val="21"/>
                <w:szCs w:val="21"/>
              </w:rPr>
            </w:pPr>
            <w:r>
              <w:rPr>
                <w:rFonts w:hint="eastAsia"/>
                <w:sz w:val="21"/>
                <w:szCs w:val="21"/>
              </w:rPr>
              <w:t>湖口县金砂湾工业园污水处理厂建设办公室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建设地址</w:t>
            </w:r>
          </w:p>
        </w:tc>
        <w:tc>
          <w:tcPr>
            <w:tcW w:w="6100" w:type="dxa"/>
          </w:tcPr>
          <w:p>
            <w:pPr>
              <w:pStyle w:val="19"/>
              <w:bidi/>
              <w:rPr>
                <w:sz w:val="21"/>
                <w:szCs w:val="21"/>
              </w:rPr>
            </w:pPr>
            <w:r>
              <w:rPr>
                <w:rFonts w:hint="eastAsia"/>
                <w:sz w:val="21"/>
                <w:szCs w:val="21"/>
              </w:rPr>
              <w:t>九江市湖口县金砂湾工业园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统一社会信用代码</w:t>
            </w:r>
          </w:p>
        </w:tc>
        <w:tc>
          <w:tcPr>
            <w:tcW w:w="6100" w:type="dxa"/>
          </w:tcPr>
          <w:p>
            <w:pPr>
              <w:pStyle w:val="19"/>
              <w:bidi/>
              <w:rPr>
                <w:sz w:val="21"/>
                <w:szCs w:val="21"/>
              </w:rPr>
            </w:pPr>
            <w:r>
              <w:rPr>
                <w:rFonts w:hint="eastAsia"/>
                <w:sz w:val="21"/>
                <w:szCs w:val="21"/>
              </w:rPr>
              <w:t>913604290871364529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法人代表</w:t>
            </w:r>
          </w:p>
        </w:tc>
        <w:tc>
          <w:tcPr>
            <w:tcW w:w="6100" w:type="dxa"/>
          </w:tcPr>
          <w:p>
            <w:pPr>
              <w:pStyle w:val="19"/>
              <w:bidi/>
              <w:rPr>
                <w:sz w:val="21"/>
                <w:szCs w:val="21"/>
              </w:rPr>
            </w:pPr>
            <w:r>
              <w:rPr>
                <w:rFonts w:hint="eastAsia"/>
                <w:sz w:val="21"/>
                <w:szCs w:val="21"/>
              </w:rPr>
              <w:t>黎宵月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联系人及电话</w:t>
            </w:r>
          </w:p>
        </w:tc>
        <w:tc>
          <w:tcPr>
            <w:tcW w:w="6100" w:type="dxa"/>
          </w:tcPr>
          <w:p>
            <w:pPr>
              <w:pStyle w:val="19"/>
              <w:bidi/>
              <w:rPr>
                <w:sz w:val="21"/>
                <w:szCs w:val="21"/>
              </w:rPr>
            </w:pPr>
            <w:r>
              <w:rPr>
                <w:rFonts w:hint="eastAsia"/>
                <w:sz w:val="21"/>
                <w:szCs w:val="21"/>
              </w:rPr>
              <w:t>18898812128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行业类别</w:t>
            </w:r>
          </w:p>
        </w:tc>
        <w:tc>
          <w:tcPr>
            <w:tcW w:w="6100" w:type="dxa"/>
          </w:tcPr>
          <w:p>
            <w:pPr>
              <w:pStyle w:val="19"/>
              <w:bidi/>
              <w:rPr>
                <w:sz w:val="21"/>
                <w:szCs w:val="21"/>
              </w:rPr>
            </w:pPr>
            <w:r>
              <w:rPr>
                <w:rFonts w:hint="eastAsia"/>
                <w:sz w:val="21"/>
                <w:szCs w:val="21"/>
              </w:rPr>
              <w:t>污水处理及其再生利用 D-4620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总投资</w:t>
            </w:r>
          </w:p>
        </w:tc>
        <w:tc>
          <w:tcPr>
            <w:tcW w:w="6100" w:type="dxa"/>
          </w:tcPr>
          <w:p>
            <w:pPr>
              <w:pStyle w:val="19"/>
              <w:bidi/>
              <w:rPr>
                <w:sz w:val="21"/>
                <w:szCs w:val="21"/>
              </w:rPr>
            </w:pPr>
            <w:r>
              <w:rPr>
                <w:rFonts w:hint="eastAsia"/>
                <w:sz w:val="21"/>
                <w:szCs w:val="21"/>
              </w:rPr>
              <w:t>17505.79万元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环保投资</w:t>
            </w:r>
          </w:p>
        </w:tc>
        <w:tc>
          <w:tcPr>
            <w:tcW w:w="6100" w:type="dxa"/>
          </w:tcPr>
          <w:p>
            <w:pPr>
              <w:pStyle w:val="19"/>
              <w:bidi/>
              <w:rPr>
                <w:sz w:val="21"/>
                <w:szCs w:val="21"/>
              </w:rPr>
            </w:pPr>
            <w:r>
              <w:rPr>
                <w:rFonts w:hint="eastAsia"/>
                <w:sz w:val="21"/>
                <w:szCs w:val="21"/>
              </w:rPr>
              <w:t>2148.85万元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项目所在地坐标</w:t>
            </w:r>
          </w:p>
        </w:tc>
        <w:tc>
          <w:tcPr>
            <w:tcW w:w="6100" w:type="dxa"/>
          </w:tcPr>
          <w:p>
            <w:pPr>
              <w:pStyle w:val="19"/>
              <w:bidi/>
              <w:rPr>
                <w:sz w:val="21"/>
                <w:szCs w:val="21"/>
              </w:rPr>
            </w:pPr>
            <w:r>
              <w:rPr>
                <w:bCs/>
                <w:sz w:val="21"/>
                <w:szCs w:val="21"/>
              </w:rPr>
              <w:t>N</w:t>
            </w:r>
            <w:r>
              <w:rPr>
                <w:rFonts w:hint="eastAsia"/>
                <w:bCs/>
                <w:sz w:val="21"/>
                <w:szCs w:val="21"/>
              </w:rPr>
              <w:t>:</w:t>
            </w:r>
            <w:r>
              <w:rPr>
                <w:rFonts w:hint="eastAsia"/>
                <w:sz w:val="21"/>
                <w:szCs w:val="21"/>
              </w:rPr>
              <w:t>29</w:t>
            </w:r>
            <w:r>
              <w:rPr>
                <w:bCs/>
                <w:sz w:val="21"/>
                <w:szCs w:val="21"/>
              </w:rPr>
              <w:t>°</w:t>
            </w:r>
            <w:r>
              <w:rPr>
                <w:rFonts w:hint="eastAsia"/>
                <w:bCs/>
                <w:sz w:val="21"/>
                <w:szCs w:val="21"/>
              </w:rPr>
              <w:t>47</w:t>
            </w:r>
            <w:r>
              <w:rPr>
                <w:sz w:val="21"/>
                <w:szCs w:val="21"/>
              </w:rPr>
              <w:t>′</w:t>
            </w:r>
            <w:r>
              <w:rPr>
                <w:rFonts w:hint="eastAsia"/>
                <w:sz w:val="21"/>
                <w:szCs w:val="21"/>
              </w:rPr>
              <w:t>57</w:t>
            </w:r>
            <w:r>
              <w:rPr>
                <w:sz w:val="21"/>
                <w:szCs w:val="21"/>
              </w:rPr>
              <w:t>″</w:t>
            </w:r>
            <w:r>
              <w:rPr>
                <w:rFonts w:hint="eastAsia"/>
                <w:sz w:val="21"/>
                <w:szCs w:val="21"/>
              </w:rPr>
              <w:t>；</w:t>
            </w:r>
            <w:r>
              <w:rPr>
                <w:bCs/>
                <w:sz w:val="21"/>
                <w:szCs w:val="21"/>
              </w:rPr>
              <w:t>E</w:t>
            </w:r>
            <w:r>
              <w:rPr>
                <w:rFonts w:hint="eastAsia"/>
                <w:bCs/>
                <w:sz w:val="21"/>
                <w:szCs w:val="21"/>
              </w:rPr>
              <w:t>:</w:t>
            </w:r>
            <w:r>
              <w:rPr>
                <w:bCs/>
                <w:sz w:val="21"/>
                <w:szCs w:val="21"/>
              </w:rPr>
              <w:t>11</w:t>
            </w:r>
            <w:r>
              <w:rPr>
                <w:rFonts w:hint="eastAsia"/>
                <w:bCs/>
                <w:sz w:val="21"/>
                <w:szCs w:val="21"/>
              </w:rPr>
              <w:t>6</w:t>
            </w:r>
            <w:r>
              <w:rPr>
                <w:bCs/>
                <w:sz w:val="21"/>
                <w:szCs w:val="21"/>
              </w:rPr>
              <w:t>°</w:t>
            </w:r>
            <w:r>
              <w:rPr>
                <w:rFonts w:hint="eastAsia"/>
                <w:bCs/>
                <w:sz w:val="21"/>
                <w:szCs w:val="21"/>
              </w:rPr>
              <w:t>18</w:t>
            </w:r>
            <w:r>
              <w:rPr>
                <w:bCs/>
                <w:sz w:val="21"/>
                <w:szCs w:val="21"/>
              </w:rPr>
              <w:t>′</w:t>
            </w:r>
            <w:r>
              <w:rPr>
                <w:rFonts w:hint="eastAsia"/>
                <w:bCs/>
                <w:sz w:val="21"/>
                <w:szCs w:val="21"/>
              </w:rPr>
              <w:t>34</w:t>
            </w:r>
            <w:r>
              <w:rPr>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p>
          <w:p>
            <w:pPr>
              <w:pStyle w:val="19"/>
              <w:bidi/>
              <w:rPr>
                <w:sz w:val="21"/>
                <w:szCs w:val="21"/>
              </w:rPr>
            </w:pPr>
          </w:p>
          <w:p>
            <w:pPr>
              <w:pStyle w:val="19"/>
              <w:bidi/>
              <w:rPr>
                <w:sz w:val="21"/>
                <w:szCs w:val="21"/>
              </w:rPr>
            </w:pPr>
            <w:r>
              <w:rPr>
                <w:rFonts w:hint="eastAsia"/>
                <w:sz w:val="21"/>
                <w:szCs w:val="21"/>
              </w:rPr>
              <w:t>建设内容</w:t>
            </w:r>
          </w:p>
        </w:tc>
        <w:tc>
          <w:tcPr>
            <w:tcW w:w="6100" w:type="dxa"/>
          </w:tcPr>
          <w:p>
            <w:pPr>
              <w:pStyle w:val="19"/>
              <w:tabs>
                <w:tab w:val="left" w:pos="285"/>
              </w:tabs>
              <w:bidi/>
              <w:jc w:val="right"/>
              <w:rPr>
                <w:bCs/>
                <w:smallCaps w:val="0"/>
                <w:sz w:val="21"/>
                <w:szCs w:val="21"/>
              </w:rPr>
            </w:pPr>
            <w:r>
              <w:rPr>
                <w:rFonts w:hint="eastAsia"/>
                <w:bCs/>
                <w:sz w:val="21"/>
                <w:szCs w:val="21"/>
              </w:rPr>
              <w:t>本项目建设内容为一个处理能力为20000</w:t>
            </w:r>
            <w:r>
              <w:rPr>
                <w:rFonts w:hint="eastAsia"/>
                <w:bCs/>
                <w:smallCaps w:val="0"/>
                <w:sz w:val="21"/>
                <w:szCs w:val="21"/>
              </w:rPr>
              <w:t>m</w:t>
            </w:r>
            <w:r>
              <w:rPr>
                <w:rFonts w:hint="eastAsia"/>
                <w:bCs/>
                <w:smallCaps w:val="0"/>
                <w:sz w:val="21"/>
                <w:szCs w:val="21"/>
                <w:vertAlign w:val="superscript"/>
              </w:rPr>
              <w:t>3</w:t>
            </w:r>
            <w:r>
              <w:rPr>
                <w:rFonts w:hint="eastAsia"/>
                <w:bCs/>
                <w:smallCaps w:val="0"/>
                <w:sz w:val="21"/>
                <w:szCs w:val="21"/>
              </w:rPr>
              <w:t>/d工业污水处理厂，包括主体工程、储运工程、公用及配套工程、环保工程等几部分组成；主要建设进水系统、生化处理系统、物化处理系统、深度处理系统、消毒系统、污泥脱水系统及配套辅助系统。本项目所在区域周围无水源保护区、重点文物、风景名胜区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jc w:val="both"/>
              <w:rPr>
                <w:sz w:val="21"/>
                <w:szCs w:val="21"/>
              </w:rPr>
            </w:pPr>
            <w:r>
              <w:rPr>
                <w:rFonts w:hint="eastAsia"/>
                <w:sz w:val="21"/>
                <w:szCs w:val="21"/>
              </w:rPr>
              <w:t>占地面积（</w:t>
            </w:r>
            <w:r>
              <w:rPr>
                <w:rFonts w:hint="eastAsia"/>
                <w:smallCaps w:val="0"/>
                <w:sz w:val="21"/>
                <w:szCs w:val="21"/>
              </w:rPr>
              <w:t>m</w:t>
            </w:r>
            <w:r>
              <w:rPr>
                <w:rFonts w:hint="eastAsia"/>
                <w:smallCaps w:val="0"/>
                <w:sz w:val="21"/>
                <w:szCs w:val="21"/>
                <w:vertAlign w:val="superscript"/>
              </w:rPr>
              <w:t>2</w:t>
            </w:r>
            <w:r>
              <w:rPr>
                <w:rFonts w:hint="eastAsia"/>
                <w:sz w:val="21"/>
                <w:szCs w:val="21"/>
              </w:rPr>
              <w:t>）</w:t>
            </w:r>
          </w:p>
        </w:tc>
        <w:tc>
          <w:tcPr>
            <w:tcW w:w="6100" w:type="dxa"/>
          </w:tcPr>
          <w:p>
            <w:pPr>
              <w:pStyle w:val="19"/>
              <w:tabs>
                <w:tab w:val="left" w:pos="285"/>
              </w:tabs>
              <w:bidi/>
              <w:jc w:val="right"/>
              <w:rPr>
                <w:bCs/>
                <w:sz w:val="21"/>
                <w:szCs w:val="21"/>
              </w:rPr>
            </w:pPr>
            <w:r>
              <w:rPr>
                <w:sz w:val="21"/>
                <w:szCs w:val="21"/>
              </w:rPr>
              <w:t>污水处理厂总占地面积为4</w:t>
            </w:r>
            <w:r>
              <w:rPr>
                <w:smallCaps w:val="0"/>
                <w:sz w:val="21"/>
                <w:szCs w:val="21"/>
              </w:rPr>
              <w:t>万m</w:t>
            </w:r>
            <w:r>
              <w:rPr>
                <w:smallCaps w:val="0"/>
                <w:sz w:val="21"/>
                <w:szCs w:val="21"/>
                <w:vertAlign w:val="superscript"/>
              </w:rPr>
              <w:t>2</w:t>
            </w:r>
            <w:r>
              <w:rPr>
                <w:smallCaps w:val="0"/>
                <w:sz w:val="21"/>
                <w:szCs w:val="21"/>
              </w:rPr>
              <w:t>，一期控制用地</w:t>
            </w:r>
            <w:r>
              <w:rPr>
                <w:rFonts w:hint="eastAsia"/>
                <w:smallCaps w:val="0"/>
                <w:sz w:val="21"/>
                <w:szCs w:val="21"/>
              </w:rPr>
              <w:t>3</w:t>
            </w:r>
            <w:r>
              <w:rPr>
                <w:smallCaps w:val="0"/>
                <w:sz w:val="21"/>
                <w:szCs w:val="21"/>
              </w:rPr>
              <w:t>万m</w:t>
            </w:r>
            <w:r>
              <w:rPr>
                <w:smallCaps w:val="0"/>
                <w:sz w:val="21"/>
                <w:szCs w:val="21"/>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7" w:hRule="atLeast"/>
          <w:jc w:val="center"/>
        </w:trPr>
        <w:tc>
          <w:tcPr>
            <w:tcW w:w="2422" w:type="dxa"/>
          </w:tcPr>
          <w:p>
            <w:pPr>
              <w:pStyle w:val="19"/>
              <w:bidi/>
              <w:rPr>
                <w:sz w:val="21"/>
                <w:szCs w:val="21"/>
              </w:rPr>
            </w:pPr>
          </w:p>
          <w:p>
            <w:pPr>
              <w:pStyle w:val="19"/>
              <w:bidi/>
              <w:rPr>
                <w:sz w:val="21"/>
                <w:szCs w:val="21"/>
              </w:rPr>
            </w:pPr>
            <w:r>
              <w:rPr>
                <w:rFonts w:hint="eastAsia"/>
                <w:sz w:val="21"/>
                <w:szCs w:val="21"/>
              </w:rPr>
              <w:t>劳动定员及工作制度</w:t>
            </w:r>
          </w:p>
          <w:p>
            <w:pPr>
              <w:pStyle w:val="19"/>
              <w:bidi/>
              <w:rPr>
                <w:sz w:val="21"/>
                <w:szCs w:val="21"/>
              </w:rPr>
            </w:pPr>
          </w:p>
          <w:p>
            <w:pPr>
              <w:pStyle w:val="19"/>
              <w:bidi/>
              <w:rPr>
                <w:sz w:val="21"/>
                <w:szCs w:val="21"/>
              </w:rPr>
            </w:pPr>
          </w:p>
        </w:tc>
        <w:tc>
          <w:tcPr>
            <w:tcW w:w="6100" w:type="dxa"/>
          </w:tcPr>
          <w:p>
            <w:pPr>
              <w:spacing w:beforeLines="50" w:line="240" w:lineRule="auto"/>
              <w:ind w:firstLine="0" w:firstLineChars="0"/>
              <w:rPr>
                <w:sz w:val="21"/>
                <w:szCs w:val="21"/>
              </w:rPr>
            </w:pPr>
            <w:r>
              <w:rPr>
                <w:rFonts w:hint="eastAsia"/>
                <w:sz w:val="21"/>
                <w:szCs w:val="21"/>
              </w:rPr>
              <w:t>工作制度：年工作日为365天，主要生产岗位实行“四班三运转”，每班8小时连续工作制；管理服务人员年工作251天，每天一班，每班8小时间断工作制。劳动定员25人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p>
          <w:p>
            <w:pPr>
              <w:pStyle w:val="19"/>
              <w:bidi/>
              <w:rPr>
                <w:sz w:val="21"/>
                <w:szCs w:val="21"/>
              </w:rPr>
            </w:pPr>
          </w:p>
          <w:p>
            <w:pPr>
              <w:pStyle w:val="19"/>
              <w:bidi/>
              <w:rPr>
                <w:sz w:val="21"/>
                <w:szCs w:val="21"/>
              </w:rPr>
            </w:pPr>
            <w:r>
              <w:rPr>
                <w:rFonts w:hint="eastAsia"/>
                <w:sz w:val="21"/>
                <w:szCs w:val="21"/>
              </w:rPr>
              <w:t>环保手续履行情况</w:t>
            </w:r>
          </w:p>
          <w:p>
            <w:pPr>
              <w:pStyle w:val="19"/>
              <w:bidi/>
              <w:rPr>
                <w:sz w:val="21"/>
                <w:szCs w:val="21"/>
              </w:rPr>
            </w:pPr>
          </w:p>
          <w:p>
            <w:pPr>
              <w:pStyle w:val="19"/>
              <w:bidi/>
              <w:rPr>
                <w:sz w:val="21"/>
                <w:szCs w:val="21"/>
              </w:rPr>
            </w:pPr>
          </w:p>
          <w:p>
            <w:pPr>
              <w:pStyle w:val="19"/>
              <w:bidi/>
              <w:rPr>
                <w:sz w:val="21"/>
                <w:szCs w:val="21"/>
              </w:rPr>
            </w:pPr>
          </w:p>
          <w:p>
            <w:pPr>
              <w:pStyle w:val="19"/>
              <w:bidi/>
              <w:rPr>
                <w:sz w:val="21"/>
                <w:szCs w:val="21"/>
              </w:rPr>
            </w:pPr>
          </w:p>
        </w:tc>
        <w:tc>
          <w:tcPr>
            <w:tcW w:w="6100" w:type="dxa"/>
          </w:tcPr>
          <w:p>
            <w:pPr>
              <w:spacing w:beforeLines="50" w:line="240" w:lineRule="auto"/>
              <w:ind w:firstLine="0" w:firstLineChars="0"/>
              <w:rPr>
                <w:sz w:val="21"/>
                <w:szCs w:val="21"/>
              </w:rPr>
            </w:pPr>
            <w:r>
              <w:rPr>
                <w:rFonts w:hint="eastAsia"/>
                <w:sz w:val="21"/>
                <w:szCs w:val="21"/>
              </w:rPr>
              <w:t>湖口县金砂湾工业园集中污水处理厂于2009年1月编制完成环境影响报告书，2009年2月20日取得九江市生态环境保护局核发的环评批复（九环督字【2009】17号）；项目于2012年8月通过环保验收，审批文号（九环评字【2012】115号）。2016年11月进行提升改造，2019年3月取得湖口生态环境保护局核发的环评批复（湖环评字【2019】19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主要原辅料</w:t>
            </w:r>
          </w:p>
        </w:tc>
        <w:tc>
          <w:tcPr>
            <w:tcW w:w="6100" w:type="dxa"/>
          </w:tcPr>
          <w:p>
            <w:pPr>
              <w:spacing w:beforeLines="50" w:line="240" w:lineRule="auto"/>
              <w:ind w:firstLine="0" w:firstLineChars="0"/>
              <w:rPr>
                <w:sz w:val="21"/>
                <w:szCs w:val="21"/>
              </w:rPr>
            </w:pPr>
            <w:r>
              <w:rPr>
                <w:rFonts w:hint="eastAsia"/>
                <w:sz w:val="21"/>
                <w:szCs w:val="21"/>
              </w:rPr>
              <w:t>葡萄糖、硫酸、双氧水、PAM药剂（聚丙烯酰胺）、PAC药剂（聚合氯化铝）、硫酸亚铁、次氯酸钠、石灰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2" w:type="dxa"/>
          </w:tcPr>
          <w:p>
            <w:pPr>
              <w:pStyle w:val="19"/>
              <w:bidi/>
              <w:rPr>
                <w:sz w:val="21"/>
                <w:szCs w:val="21"/>
              </w:rPr>
            </w:pPr>
            <w:r>
              <w:rPr>
                <w:rFonts w:hint="eastAsia"/>
                <w:sz w:val="21"/>
                <w:szCs w:val="21"/>
              </w:rPr>
              <w:t>历史事故</w:t>
            </w:r>
          </w:p>
        </w:tc>
        <w:tc>
          <w:tcPr>
            <w:tcW w:w="6100" w:type="dxa"/>
          </w:tcPr>
          <w:p>
            <w:pPr>
              <w:spacing w:beforeLines="50" w:line="240" w:lineRule="auto"/>
              <w:ind w:firstLine="0" w:firstLineChars="0"/>
              <w:rPr>
                <w:sz w:val="21"/>
                <w:szCs w:val="21"/>
              </w:rPr>
            </w:pPr>
            <w:r>
              <w:rPr>
                <w:rFonts w:hint="eastAsia"/>
                <w:sz w:val="21"/>
                <w:szCs w:val="21"/>
              </w:rPr>
              <w:t xml:space="preserve">                                无</w:t>
            </w:r>
          </w:p>
        </w:tc>
      </w:tr>
    </w:tbl>
    <w:p>
      <w:pPr>
        <w:pStyle w:val="19"/>
        <w:tabs>
          <w:tab w:val="center" w:pos="4153"/>
          <w:tab w:val="left" w:pos="6845"/>
        </w:tabs>
        <w:spacing w:line="360" w:lineRule="auto"/>
        <w:jc w:val="both"/>
        <w:rPr>
          <w:b/>
          <w:bCs/>
        </w:rPr>
        <w:sectPr>
          <w:footerReference r:id="rId12" w:type="default"/>
          <w:pgSz w:w="11906" w:h="16838"/>
          <w:pgMar w:top="1440" w:right="1800" w:bottom="1440" w:left="1800" w:header="851" w:footer="992" w:gutter="0"/>
          <w:pgNumType w:start="1"/>
          <w:cols w:space="425" w:num="1"/>
          <w:docGrid w:type="lines" w:linePitch="312" w:charSpace="0"/>
        </w:sectPr>
      </w:pPr>
    </w:p>
    <w:p>
      <w:pPr>
        <w:pStyle w:val="19"/>
        <w:tabs>
          <w:tab w:val="center" w:pos="4153"/>
          <w:tab w:val="left" w:pos="6845"/>
        </w:tabs>
        <w:spacing w:line="360" w:lineRule="auto"/>
        <w:rPr>
          <w:b/>
          <w:bCs/>
        </w:rPr>
      </w:pPr>
      <w:r>
        <w:rPr>
          <w:rFonts w:hint="eastAsia"/>
          <w:b/>
          <w:bCs/>
        </w:rPr>
        <w:t>表3-2 本公司主要工程内容一览表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9"/>
        <w:gridCol w:w="1377"/>
        <w:gridCol w:w="1744"/>
        <w:gridCol w:w="2711"/>
        <w:gridCol w:w="1713"/>
        <w:gridCol w:w="2257"/>
        <w:gridCol w:w="2583"/>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19"/>
              <w:tabs>
                <w:tab w:val="center" w:pos="4153"/>
                <w:tab w:val="left" w:pos="6845"/>
              </w:tabs>
              <w:rPr>
                <w:b/>
                <w:bCs/>
              </w:rPr>
            </w:pPr>
            <w:r>
              <w:rPr>
                <w:rFonts w:hint="eastAsia"/>
                <w:b/>
                <w:bCs/>
              </w:rPr>
              <w:t>工程类别</w:t>
            </w:r>
          </w:p>
        </w:tc>
        <w:tc>
          <w:tcPr>
            <w:tcW w:w="615" w:type="pct"/>
          </w:tcPr>
          <w:p>
            <w:pPr>
              <w:pStyle w:val="19"/>
              <w:tabs>
                <w:tab w:val="center" w:pos="4153"/>
                <w:tab w:val="left" w:pos="6845"/>
              </w:tabs>
              <w:rPr>
                <w:b/>
                <w:bCs/>
              </w:rPr>
            </w:pPr>
            <w:r>
              <w:rPr>
                <w:rFonts w:hint="eastAsia"/>
                <w:b/>
                <w:bCs/>
              </w:rPr>
              <w:t>名称</w:t>
            </w:r>
          </w:p>
        </w:tc>
        <w:tc>
          <w:tcPr>
            <w:tcW w:w="956" w:type="pct"/>
          </w:tcPr>
          <w:p>
            <w:pPr>
              <w:pStyle w:val="19"/>
              <w:tabs>
                <w:tab w:val="center" w:pos="4153"/>
                <w:tab w:val="left" w:pos="6845"/>
              </w:tabs>
              <w:rPr>
                <w:b/>
                <w:bCs/>
              </w:rPr>
            </w:pPr>
            <w:r>
              <w:rPr>
                <w:rFonts w:hint="eastAsia"/>
                <w:b/>
                <w:bCs/>
              </w:rPr>
              <w:t>尺寸规模</w:t>
            </w:r>
            <w:r>
              <w:rPr>
                <w:rFonts w:hint="eastAsia"/>
                <w:b/>
                <w:bCs/>
                <w:smallCaps w:val="0"/>
              </w:rPr>
              <w:t>（m）</w:t>
            </w:r>
          </w:p>
        </w:tc>
        <w:tc>
          <w:tcPr>
            <w:tcW w:w="604" w:type="pct"/>
          </w:tcPr>
          <w:p>
            <w:pPr>
              <w:pStyle w:val="19"/>
              <w:tabs>
                <w:tab w:val="center" w:pos="4153"/>
                <w:tab w:val="left" w:pos="6845"/>
              </w:tabs>
              <w:rPr>
                <w:b/>
                <w:bCs/>
              </w:rPr>
            </w:pPr>
            <w:r>
              <w:rPr>
                <w:rFonts w:hint="eastAsia"/>
                <w:b/>
                <w:bCs/>
              </w:rPr>
              <w:t>结构形式</w:t>
            </w:r>
          </w:p>
        </w:tc>
        <w:tc>
          <w:tcPr>
            <w:tcW w:w="796" w:type="pct"/>
          </w:tcPr>
          <w:p>
            <w:pPr>
              <w:pStyle w:val="19"/>
              <w:tabs>
                <w:tab w:val="center" w:pos="4153"/>
                <w:tab w:val="left" w:pos="6845"/>
              </w:tabs>
              <w:rPr>
                <w:b/>
                <w:bCs/>
              </w:rPr>
            </w:pPr>
            <w:r>
              <w:rPr>
                <w:rFonts w:hint="eastAsia"/>
                <w:b/>
                <w:bCs/>
              </w:rPr>
              <w:t>单位</w:t>
            </w:r>
          </w:p>
        </w:tc>
        <w:tc>
          <w:tcPr>
            <w:tcW w:w="910" w:type="pct"/>
          </w:tcPr>
          <w:p>
            <w:pPr>
              <w:pStyle w:val="19"/>
              <w:tabs>
                <w:tab w:val="center" w:pos="4153"/>
                <w:tab w:val="left" w:pos="6845"/>
              </w:tabs>
              <w:rPr>
                <w:b/>
                <w:bCs/>
              </w:rPr>
            </w:pPr>
            <w:r>
              <w:rPr>
                <w:rFonts w:hint="eastAsia"/>
                <w:b/>
                <w:bCs/>
              </w:rPr>
              <w:t>数量</w:t>
            </w:r>
          </w:p>
        </w:tc>
        <w:tc>
          <w:tcPr>
            <w:tcW w:w="282" w:type="pct"/>
          </w:tcPr>
          <w:p>
            <w:pPr>
              <w:pStyle w:val="19"/>
              <w:tabs>
                <w:tab w:val="center" w:pos="4153"/>
                <w:tab w:val="left" w:pos="6845"/>
              </w:tabs>
              <w:rPr>
                <w:b/>
                <w:bCs/>
              </w:rPr>
            </w:pPr>
            <w:r>
              <w:rPr>
                <w:rFonts w:hint="eastAsia"/>
                <w:b/>
                <w:bC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restart"/>
          </w:tcPr>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主体工程</w:t>
            </w:r>
          </w:p>
        </w:tc>
        <w:tc>
          <w:tcPr>
            <w:tcW w:w="486"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进水系统</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粗格栅及提升泵房</w:t>
            </w:r>
          </w:p>
        </w:tc>
        <w:tc>
          <w:tcPr>
            <w:tcW w:w="956" w:type="pct"/>
          </w:tcPr>
          <w:p>
            <w:pPr>
              <w:tabs>
                <w:tab w:val="left" w:pos="421"/>
                <w:tab w:val="center" w:pos="904"/>
              </w:tabs>
              <w:spacing w:line="240" w:lineRule="auto"/>
              <w:ind w:firstLine="0" w:firstLineChars="0"/>
              <w:jc w:val="center"/>
              <w:rPr>
                <w:rFonts w:cs="Times New Roman"/>
                <w:sz w:val="21"/>
                <w:szCs w:val="21"/>
              </w:rPr>
            </w:pPr>
            <w:r>
              <w:rPr>
                <w:rFonts w:cs="Times New Roman"/>
                <w:sz w:val="21"/>
                <w:szCs w:val="21"/>
              </w:rPr>
              <w:t>Ф12</w:t>
            </w:r>
            <w:r>
              <w:rPr>
                <w:rFonts w:cs="Times New Roman"/>
                <w:sz w:val="21"/>
                <w:szCs w:val="21"/>
                <w:lang w:val="en-GB"/>
              </w:rPr>
              <w:t>×</w:t>
            </w:r>
            <w:r>
              <w:rPr>
                <w:rFonts w:cs="Times New Roman"/>
                <w:sz w:val="21"/>
                <w:szCs w:val="21"/>
              </w:rPr>
              <w:t>8</w:t>
            </w:r>
          </w:p>
        </w:tc>
        <w:tc>
          <w:tcPr>
            <w:tcW w:w="604" w:type="pct"/>
          </w:tcPr>
          <w:p>
            <w:pPr>
              <w:pStyle w:val="19"/>
              <w:tabs>
                <w:tab w:val="left" w:pos="6845"/>
              </w:tabs>
              <w:ind w:firstLine="324"/>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细格栅池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7.9</w:t>
            </w:r>
            <w:r>
              <w:rPr>
                <w:rFonts w:ascii="Times New Roman" w:hAnsi="Times New Roman" w:cs="Times New Roman"/>
                <w:sz w:val="21"/>
                <w:szCs w:val="21"/>
                <w:lang w:val="en-GB"/>
              </w:rPr>
              <w:t>×</w:t>
            </w:r>
            <w:r>
              <w:rPr>
                <w:rFonts w:ascii="Times New Roman" w:hAnsi="Times New Roman" w:cs="Times New Roman"/>
                <w:sz w:val="21"/>
                <w:szCs w:val="21"/>
              </w:rPr>
              <w:t>5</w:t>
            </w:r>
            <w:r>
              <w:rPr>
                <w:rFonts w:ascii="Times New Roman" w:hAnsi="Times New Roman" w:cs="Times New Roman"/>
                <w:sz w:val="21"/>
                <w:szCs w:val="21"/>
                <w:lang w:val="en-GB"/>
              </w:rPr>
              <w:t>×</w:t>
            </w:r>
            <w:r>
              <w:rPr>
                <w:rFonts w:ascii="Times New Roman" w:hAnsi="Times New Roman" w:cs="Times New Roman"/>
                <w:sz w:val="21"/>
                <w:szCs w:val="21"/>
              </w:rPr>
              <w:t>2.2</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调节池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（12，23.75）</w:t>
            </w:r>
            <w:r>
              <w:rPr>
                <w:rFonts w:ascii="Times New Roman" w:hAnsi="Times New Roman" w:cs="Times New Roman"/>
                <w:sz w:val="21"/>
                <w:szCs w:val="21"/>
                <w:lang w:val="en-GB"/>
              </w:rPr>
              <w:t>×</w:t>
            </w:r>
            <w:r>
              <w:rPr>
                <w:rFonts w:ascii="Times New Roman" w:hAnsi="Times New Roman" w:cs="Times New Roman"/>
                <w:sz w:val="21"/>
                <w:szCs w:val="21"/>
              </w:rPr>
              <w:t>43</w:t>
            </w:r>
            <w:r>
              <w:rPr>
                <w:rFonts w:ascii="Times New Roman" w:hAnsi="Times New Roman" w:cs="Times New Roman"/>
                <w:sz w:val="21"/>
                <w:szCs w:val="21"/>
                <w:lang w:val="en-GB"/>
              </w:rPr>
              <w:t>×</w:t>
            </w:r>
            <w:r>
              <w:rPr>
                <w:rFonts w:ascii="Times New Roman" w:hAnsi="Times New Roman" w:cs="Times New Roman"/>
                <w:sz w:val="21"/>
                <w:szCs w:val="21"/>
              </w:rPr>
              <w:t>4.7</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生化处理系统</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UASB水解池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51.3</w:t>
            </w:r>
            <w:r>
              <w:rPr>
                <w:rFonts w:ascii="Times New Roman" w:hAnsi="Times New Roman" w:cs="Times New Roman"/>
                <w:sz w:val="21"/>
                <w:szCs w:val="21"/>
                <w:lang w:val="en-GB"/>
              </w:rPr>
              <w:t>×</w:t>
            </w:r>
            <w:r>
              <w:rPr>
                <w:rFonts w:ascii="Times New Roman" w:hAnsi="Times New Roman" w:cs="Times New Roman"/>
                <w:sz w:val="21"/>
                <w:szCs w:val="21"/>
              </w:rPr>
              <w:t>51.8</w:t>
            </w:r>
            <w:r>
              <w:rPr>
                <w:rFonts w:ascii="Times New Roman" w:hAnsi="Times New Roman" w:cs="Times New Roman"/>
                <w:sz w:val="21"/>
                <w:szCs w:val="21"/>
                <w:lang w:val="en-GB"/>
              </w:rPr>
              <w:t>×</w:t>
            </w:r>
            <w:r>
              <w:rPr>
                <w:rFonts w:ascii="Times New Roman" w:hAnsi="Times New Roman" w:cs="Times New Roman"/>
                <w:sz w:val="21"/>
                <w:szCs w:val="21"/>
              </w:rPr>
              <w:t>8.8</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A/A/O池</w:t>
            </w:r>
          </w:p>
        </w:tc>
        <w:tc>
          <w:tcPr>
            <w:tcW w:w="956"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50.9</w:t>
            </w:r>
            <w:r>
              <w:rPr>
                <w:rFonts w:ascii="Times New Roman" w:hAnsi="Times New Roman" w:cs="Times New Roman"/>
                <w:sz w:val="21"/>
                <w:szCs w:val="21"/>
                <w:lang w:val="en-GB"/>
              </w:rPr>
              <w:t>×</w:t>
            </w:r>
            <w:r>
              <w:rPr>
                <w:rFonts w:ascii="Times New Roman" w:hAnsi="Times New Roman" w:cs="Times New Roman"/>
                <w:sz w:val="21"/>
                <w:szCs w:val="21"/>
              </w:rPr>
              <w:t>10</w:t>
            </w:r>
            <w:r>
              <w:rPr>
                <w:rFonts w:ascii="Times New Roman" w:hAnsi="Times New Roman" w:cs="Times New Roman"/>
                <w:sz w:val="21"/>
                <w:szCs w:val="21"/>
                <w:lang w:val="en-GB"/>
              </w:rPr>
              <w:t>×</w:t>
            </w:r>
            <w:r>
              <w:rPr>
                <w:rFonts w:ascii="Times New Roman" w:hAnsi="Times New Roman" w:cs="Times New Roman"/>
                <w:sz w:val="21"/>
                <w:szCs w:val="21"/>
              </w:rPr>
              <w:t>5.7</w:t>
            </w:r>
          </w:p>
        </w:tc>
        <w:tc>
          <w:tcPr>
            <w:tcW w:w="604"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 xml:space="preserve">     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A/A/O池隔出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缺氧池</w:t>
            </w:r>
          </w:p>
        </w:tc>
        <w:tc>
          <w:tcPr>
            <w:tcW w:w="956" w:type="pct"/>
            <w:vMerge w:val="continue"/>
          </w:tcPr>
          <w:p>
            <w:pPr>
              <w:pStyle w:val="19"/>
              <w:tabs>
                <w:tab w:val="center" w:pos="4153"/>
                <w:tab w:val="left" w:pos="6845"/>
              </w:tabs>
              <w:rPr>
                <w:rFonts w:ascii="Times New Roman" w:hAnsi="Times New Roman" w:cs="Times New Roman"/>
                <w:sz w:val="21"/>
                <w:szCs w:val="21"/>
              </w:rPr>
            </w:pPr>
          </w:p>
        </w:tc>
        <w:tc>
          <w:tcPr>
            <w:tcW w:w="604" w:type="pct"/>
            <w:vMerge w:val="continue"/>
          </w:tcPr>
          <w:p>
            <w:pPr>
              <w:pStyle w:val="19"/>
              <w:tabs>
                <w:tab w:val="center" w:pos="4153"/>
                <w:tab w:val="left" w:pos="6845"/>
              </w:tabs>
              <w:rPr>
                <w:rFonts w:ascii="Times New Roman" w:hAnsi="Times New Roman" w:cs="Times New Roman"/>
                <w:sz w:val="21"/>
                <w:szCs w:val="21"/>
              </w:rPr>
            </w:pP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vMerge w:val="continue"/>
          </w:tcPr>
          <w:p>
            <w:pPr>
              <w:pStyle w:val="19"/>
              <w:tabs>
                <w:tab w:val="center" w:pos="4153"/>
                <w:tab w:val="left" w:pos="6845"/>
              </w:tabs>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配水井</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（8.6</w:t>
            </w:r>
            <w:r>
              <w:rPr>
                <w:rFonts w:ascii="Times New Roman" w:hAnsi="Times New Roman" w:cs="Times New Roman"/>
                <w:sz w:val="21"/>
                <w:szCs w:val="21"/>
                <w:lang w:val="en-GB"/>
              </w:rPr>
              <w:t>×</w:t>
            </w:r>
            <w:r>
              <w:rPr>
                <w:rFonts w:ascii="Times New Roman" w:hAnsi="Times New Roman" w:cs="Times New Roman"/>
                <w:sz w:val="21"/>
                <w:szCs w:val="21"/>
              </w:rPr>
              <w:t>3+1/2</w:t>
            </w:r>
            <w:r>
              <w:rPr>
                <w:rFonts w:ascii="Times New Roman" w:hAnsi="Times New Roman" w:cs="Times New Roman"/>
                <w:sz w:val="21"/>
                <w:szCs w:val="21"/>
                <w:lang w:val="en-GB"/>
              </w:rPr>
              <w:t>×Ф</w:t>
            </w:r>
            <w:r>
              <w:rPr>
                <w:rFonts w:ascii="Times New Roman" w:hAnsi="Times New Roman" w:cs="Times New Roman"/>
                <w:sz w:val="21"/>
                <w:szCs w:val="21"/>
              </w:rPr>
              <w:t>4）</w:t>
            </w:r>
            <w:r>
              <w:rPr>
                <w:rFonts w:ascii="Times New Roman" w:hAnsi="Times New Roman" w:cs="Times New Roman"/>
                <w:sz w:val="21"/>
                <w:szCs w:val="21"/>
                <w:lang w:val="en-GB"/>
              </w:rPr>
              <w:t>×</w:t>
            </w:r>
            <w:r>
              <w:rPr>
                <w:rFonts w:ascii="Times New Roman" w:hAnsi="Times New Roman" w:cs="Times New Roman"/>
                <w:sz w:val="21"/>
                <w:szCs w:val="21"/>
              </w:rPr>
              <w:t>4.35</w:t>
            </w:r>
          </w:p>
        </w:tc>
        <w:tc>
          <w:tcPr>
            <w:tcW w:w="604" w:type="pct"/>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 xml:space="preserve">    </w:t>
            </w: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二沉池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lang w:val="en-GB"/>
              </w:rPr>
              <w:t>Ф</w:t>
            </w:r>
            <w:r>
              <w:rPr>
                <w:rFonts w:ascii="Times New Roman" w:hAnsi="Times New Roman" w:cs="Times New Roman"/>
                <w:sz w:val="21"/>
                <w:szCs w:val="21"/>
              </w:rPr>
              <w:t>24</w:t>
            </w:r>
            <w:r>
              <w:rPr>
                <w:rFonts w:ascii="Times New Roman" w:hAnsi="Times New Roman" w:cs="Times New Roman"/>
                <w:sz w:val="21"/>
                <w:szCs w:val="21"/>
                <w:lang w:val="en-GB"/>
              </w:rPr>
              <w:t>×</w:t>
            </w:r>
            <w:r>
              <w:rPr>
                <w:rFonts w:ascii="Times New Roman" w:hAnsi="Times New Roman" w:cs="Times New Roman"/>
                <w:sz w:val="21"/>
                <w:szCs w:val="21"/>
              </w:rPr>
              <w:t>4.1</w:t>
            </w:r>
          </w:p>
        </w:tc>
        <w:tc>
          <w:tcPr>
            <w:tcW w:w="604" w:type="pct"/>
          </w:tcPr>
          <w:p>
            <w:pPr>
              <w:pStyle w:val="19"/>
              <w:tabs>
                <w:tab w:val="left" w:pos="6845"/>
              </w:tabs>
              <w:ind w:firstLine="258"/>
              <w:rPr>
                <w:rFonts w:ascii="Times New Roman" w:hAnsi="Times New Roman" w:cs="Times New Roman"/>
                <w:sz w:val="21"/>
                <w:szCs w:val="21"/>
              </w:rPr>
            </w:pPr>
            <w:r>
              <w:rPr>
                <w:rFonts w:ascii="Times New Roman" w:hAnsi="Times New Roman" w:cs="Times New Roman"/>
                <w:sz w:val="21"/>
                <w:szCs w:val="21"/>
              </w:rPr>
              <w:t xml:space="preserve">  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2</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restar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物化处理系统</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芬顿氧化池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26</w:t>
            </w:r>
            <w:r>
              <w:rPr>
                <w:rFonts w:ascii="Times New Roman" w:hAnsi="Times New Roman" w:cs="Times New Roman"/>
                <w:sz w:val="21"/>
                <w:szCs w:val="21"/>
                <w:lang w:val="en-GB"/>
              </w:rPr>
              <w:t>×</w:t>
            </w:r>
            <w:r>
              <w:rPr>
                <w:rFonts w:ascii="Times New Roman" w:hAnsi="Times New Roman" w:cs="Times New Roman"/>
                <w:sz w:val="21"/>
                <w:szCs w:val="21"/>
              </w:rPr>
              <w:t>21.3</w:t>
            </w:r>
            <w:r>
              <w:rPr>
                <w:rFonts w:ascii="Times New Roman" w:hAnsi="Times New Roman" w:cs="Times New Roman"/>
                <w:sz w:val="21"/>
                <w:szCs w:val="21"/>
                <w:lang w:val="en-GB"/>
              </w:rPr>
              <w:t>×</w:t>
            </w:r>
            <w:r>
              <w:rPr>
                <w:rFonts w:ascii="Times New Roman" w:hAnsi="Times New Roman" w:cs="Times New Roman"/>
                <w:sz w:val="21"/>
                <w:szCs w:val="21"/>
              </w:rPr>
              <w:t>4.0</w:t>
            </w:r>
          </w:p>
        </w:tc>
        <w:tc>
          <w:tcPr>
            <w:tcW w:w="604" w:type="pct"/>
          </w:tcPr>
          <w:p>
            <w:pPr>
              <w:pStyle w:val="19"/>
              <w:tabs>
                <w:tab w:val="left" w:pos="6845"/>
              </w:tabs>
              <w:ind w:firstLine="462" w:firstLineChars="22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平流沉淀池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42.3</w:t>
            </w:r>
            <w:r>
              <w:rPr>
                <w:rFonts w:ascii="Times New Roman" w:hAnsi="Times New Roman" w:cs="Times New Roman"/>
                <w:sz w:val="21"/>
                <w:szCs w:val="21"/>
                <w:lang w:val="en-GB"/>
              </w:rPr>
              <w:t>×</w:t>
            </w:r>
            <w:r>
              <w:rPr>
                <w:rFonts w:ascii="Times New Roman" w:hAnsi="Times New Roman" w:cs="Times New Roman"/>
                <w:sz w:val="21"/>
                <w:szCs w:val="21"/>
              </w:rPr>
              <w:t>21.3</w:t>
            </w:r>
            <w:r>
              <w:rPr>
                <w:rFonts w:ascii="Times New Roman" w:hAnsi="Times New Roman" w:cs="Times New Roman"/>
                <w:sz w:val="21"/>
                <w:szCs w:val="21"/>
                <w:lang w:val="en-GB"/>
              </w:rPr>
              <w:t>×</w:t>
            </w:r>
            <w:r>
              <w:rPr>
                <w:rFonts w:ascii="Times New Roman" w:hAnsi="Times New Roman" w:cs="Times New Roman"/>
                <w:sz w:val="21"/>
                <w:szCs w:val="21"/>
              </w:rPr>
              <w:t>3.6</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2</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19"/>
              <w:tabs>
                <w:tab w:val="center" w:pos="4153"/>
                <w:tab w:val="left" w:pos="6845"/>
              </w:tabs>
              <w:rPr>
                <w:rFonts w:ascii="Times New Roman" w:hAnsi="Times New Roman" w:cs="Times New Roman"/>
                <w:sz w:val="21"/>
                <w:szCs w:val="21"/>
              </w:rPr>
            </w:pPr>
          </w:p>
        </w:tc>
        <w:tc>
          <w:tcPr>
            <w:tcW w:w="48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深度处理系统</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高效生物滤池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66.4</w:t>
            </w:r>
            <w:r>
              <w:rPr>
                <w:rFonts w:ascii="Times New Roman" w:hAnsi="Times New Roman" w:cs="Times New Roman"/>
                <w:sz w:val="21"/>
                <w:szCs w:val="21"/>
                <w:lang w:val="en-GB"/>
              </w:rPr>
              <w:t>×</w:t>
            </w:r>
            <w:r>
              <w:rPr>
                <w:rFonts w:ascii="Times New Roman" w:hAnsi="Times New Roman" w:cs="Times New Roman"/>
                <w:sz w:val="21"/>
                <w:szCs w:val="21"/>
              </w:rPr>
              <w:t>16</w:t>
            </w:r>
            <w:r>
              <w:rPr>
                <w:rFonts w:ascii="Times New Roman" w:hAnsi="Times New Roman" w:cs="Times New Roman"/>
                <w:sz w:val="21"/>
                <w:szCs w:val="21"/>
                <w:lang w:val="en-GB"/>
              </w:rPr>
              <w:t>×</w:t>
            </w:r>
            <w:r>
              <w:rPr>
                <w:rFonts w:ascii="Times New Roman" w:hAnsi="Times New Roman" w:cs="Times New Roman"/>
                <w:sz w:val="21"/>
                <w:szCs w:val="21"/>
              </w:rPr>
              <w:t>5.8</w:t>
            </w:r>
          </w:p>
        </w:tc>
        <w:tc>
          <w:tcPr>
            <w:tcW w:w="604" w:type="pct"/>
          </w:tcPr>
          <w:p>
            <w:pPr>
              <w:pStyle w:val="19"/>
              <w:tabs>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储运工程</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原辅料存放间</w:t>
            </w:r>
          </w:p>
        </w:tc>
        <w:tc>
          <w:tcPr>
            <w:tcW w:w="956" w:type="pct"/>
          </w:tcPr>
          <w:p>
            <w:pPr>
              <w:pStyle w:val="19"/>
              <w:tabs>
                <w:tab w:val="center" w:pos="4153"/>
                <w:tab w:val="left" w:pos="6845"/>
              </w:tabs>
              <w:rPr>
                <w:rFonts w:ascii="Times New Roman" w:hAnsi="Times New Roman" w:cs="Times New Roman"/>
                <w:sz w:val="21"/>
                <w:szCs w:val="21"/>
                <w:vertAlign w:val="superscript"/>
              </w:rPr>
            </w:pPr>
            <w:r>
              <w:rPr>
                <w:rFonts w:ascii="Times New Roman" w:hAnsi="Times New Roman" w:cs="Times New Roman"/>
                <w:sz w:val="21"/>
                <w:szCs w:val="21"/>
              </w:rPr>
              <w:t>139</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 xml:space="preserve">     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公用及配套工程</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配电房</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20.0</w:t>
            </w:r>
            <w:r>
              <w:rPr>
                <w:rFonts w:ascii="Times New Roman" w:hAnsi="Times New Roman" w:cs="Times New Roman"/>
                <w:sz w:val="21"/>
                <w:szCs w:val="21"/>
                <w:lang w:val="en-GB"/>
              </w:rPr>
              <w:t>×</w:t>
            </w:r>
            <w:r>
              <w:rPr>
                <w:rFonts w:ascii="Times New Roman" w:hAnsi="Times New Roman" w:cs="Times New Roman"/>
                <w:sz w:val="21"/>
                <w:szCs w:val="21"/>
              </w:rPr>
              <w:t>10.0</w:t>
            </w:r>
          </w:p>
        </w:tc>
        <w:tc>
          <w:tcPr>
            <w:tcW w:w="604" w:type="pct"/>
          </w:tcPr>
          <w:p>
            <w:pPr>
              <w:pStyle w:val="19"/>
              <w:tabs>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辅助房</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1200</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办公楼</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1500</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传达室</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36</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 xml:space="preserve">     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深度风机处理房</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96</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 xml:space="preserve">     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供电</w:t>
            </w:r>
          </w:p>
        </w:tc>
        <w:tc>
          <w:tcPr>
            <w:tcW w:w="3267" w:type="pct"/>
            <w:gridSpan w:val="4"/>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本工程用电由供电局引入，电路为双回路架空线至厂区变电所内，受电电压为10KV，电源可靠</w:t>
            </w:r>
          </w:p>
        </w:tc>
        <w:tc>
          <w:tcPr>
            <w:tcW w:w="282" w:type="pct"/>
          </w:tcPr>
          <w:p>
            <w:pPr>
              <w:pStyle w:val="19"/>
              <w:tabs>
                <w:tab w:val="center" w:pos="4153"/>
                <w:tab w:val="left" w:pos="6845"/>
              </w:tabs>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供水</w:t>
            </w:r>
          </w:p>
        </w:tc>
        <w:tc>
          <w:tcPr>
            <w:tcW w:w="3267" w:type="pct"/>
            <w:gridSpan w:val="4"/>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市政自来水仅用于厂区消防、生活等用水，设备冲洗、绿化等用水均使用厂内回用水</w:t>
            </w:r>
          </w:p>
        </w:tc>
        <w:tc>
          <w:tcPr>
            <w:tcW w:w="282" w:type="pct"/>
          </w:tcPr>
          <w:p>
            <w:pPr>
              <w:pStyle w:val="19"/>
              <w:tabs>
                <w:tab w:val="center" w:pos="4153"/>
                <w:tab w:val="left" w:pos="6845"/>
              </w:tabs>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hint="eastAsia" w:ascii="Times New Roman" w:hAnsi="Times New Roman" w:cs="Times New Roman"/>
                <w:sz w:val="21"/>
                <w:szCs w:val="21"/>
              </w:rPr>
              <w:t>排水</w:t>
            </w:r>
          </w:p>
        </w:tc>
        <w:tc>
          <w:tcPr>
            <w:tcW w:w="3267" w:type="pct"/>
            <w:gridSpan w:val="4"/>
          </w:tcPr>
          <w:p>
            <w:pPr>
              <w:pStyle w:val="19"/>
              <w:tabs>
                <w:tab w:val="center" w:pos="4153"/>
                <w:tab w:val="left" w:pos="6845"/>
              </w:tabs>
              <w:jc w:val="both"/>
              <w:rPr>
                <w:rFonts w:ascii="Times New Roman" w:hAnsi="Times New Roman" w:cs="Times New Roman"/>
                <w:sz w:val="21"/>
                <w:szCs w:val="21"/>
              </w:rPr>
            </w:pPr>
            <w:r>
              <w:rPr>
                <w:rFonts w:hint="eastAsia" w:ascii="Times New Roman" w:hAnsi="Times New Roman" w:cs="Times New Roman"/>
                <w:sz w:val="21"/>
                <w:szCs w:val="21"/>
              </w:rPr>
              <w:t>项目排水采取雨污分流制，雨水管网沿道路铺设。项目区内雨水经管道收集后接入园区雨水管网。项目运营期产生的生活污水、化验室废水全部进入污水处理系统处理。</w:t>
            </w:r>
          </w:p>
        </w:tc>
        <w:tc>
          <w:tcPr>
            <w:tcW w:w="282" w:type="pct"/>
          </w:tcPr>
          <w:p>
            <w:pPr>
              <w:pStyle w:val="19"/>
              <w:tabs>
                <w:tab w:val="center" w:pos="4153"/>
                <w:tab w:val="left" w:pos="6845"/>
              </w:tabs>
              <w:rPr>
                <w:rFonts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p>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环保工程</w:t>
            </w: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应急接收池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228</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left" w:pos="473"/>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应急处理池</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mallCaps w:val="0"/>
                <w:sz w:val="21"/>
                <w:szCs w:val="21"/>
              </w:rPr>
              <w:t>400m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钢砼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污泥脱水间</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325</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危废暂存间</w:t>
            </w:r>
          </w:p>
        </w:tc>
        <w:tc>
          <w:tcPr>
            <w:tcW w:w="95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139</w:t>
            </w:r>
            <w:r>
              <w:rPr>
                <w:rFonts w:ascii="Times New Roman" w:hAnsi="Times New Roman" w:cs="Times New Roman"/>
                <w:smallCaps w:val="0"/>
                <w:sz w:val="21"/>
                <w:szCs w:val="21"/>
              </w:rPr>
              <w:t>m</w:t>
            </w:r>
            <w:r>
              <w:rPr>
                <w:rFonts w:ascii="Times New Roman" w:hAnsi="Times New Roman" w:cs="Times New Roman"/>
                <w:smallCaps w:val="0"/>
                <w:sz w:val="21"/>
                <w:szCs w:val="21"/>
                <w:vertAlign w:val="superscript"/>
              </w:rPr>
              <w:t>2</w:t>
            </w:r>
          </w:p>
        </w:tc>
        <w:tc>
          <w:tcPr>
            <w:tcW w:w="604" w:type="pct"/>
          </w:tcPr>
          <w:p>
            <w:pPr>
              <w:pStyle w:val="19"/>
              <w:tabs>
                <w:tab w:val="center" w:pos="4153"/>
                <w:tab w:val="left" w:pos="6845"/>
              </w:tabs>
              <w:ind w:firstLine="420" w:firstLineChars="200"/>
              <w:rPr>
                <w:rFonts w:ascii="Times New Roman" w:hAnsi="Times New Roman" w:cs="Times New Roman"/>
                <w:sz w:val="21"/>
                <w:szCs w:val="21"/>
              </w:rPr>
            </w:pPr>
            <w:r>
              <w:rPr>
                <w:rFonts w:ascii="Times New Roman" w:hAnsi="Times New Roman" w:cs="Times New Roman"/>
                <w:sz w:val="21"/>
                <w:szCs w:val="21"/>
              </w:rPr>
              <w:t>砖砼</w:t>
            </w:r>
          </w:p>
        </w:tc>
        <w:tc>
          <w:tcPr>
            <w:tcW w:w="796"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座</w:t>
            </w:r>
          </w:p>
        </w:tc>
        <w:tc>
          <w:tcPr>
            <w:tcW w:w="910"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1</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紫外线消毒系统</w:t>
            </w:r>
          </w:p>
        </w:tc>
        <w:tc>
          <w:tcPr>
            <w:tcW w:w="3267" w:type="pct"/>
            <w:gridSpan w:val="4"/>
          </w:tcPr>
          <w:p>
            <w:pPr>
              <w:pStyle w:val="19"/>
              <w:tabs>
                <w:tab w:val="left" w:pos="2348"/>
                <w:tab w:val="left" w:pos="6845"/>
              </w:tabs>
              <w:rPr>
                <w:rFonts w:ascii="Times New Roman" w:hAnsi="Times New Roman" w:cs="Times New Roman"/>
                <w:sz w:val="21"/>
                <w:szCs w:val="21"/>
              </w:rPr>
            </w:pPr>
            <w:r>
              <w:rPr>
                <w:rFonts w:ascii="Times New Roman" w:hAnsi="Times New Roman" w:cs="Times New Roman"/>
                <w:sz w:val="21"/>
                <w:szCs w:val="21"/>
              </w:rPr>
              <w:t>本项目在污水处理厂出水口设置2套紫外消毒器，对出水进行消毒处理</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19"/>
              <w:tabs>
                <w:tab w:val="center" w:pos="4153"/>
                <w:tab w:val="left" w:pos="6845"/>
              </w:tabs>
              <w:rPr>
                <w:rFonts w:ascii="Times New Roman" w:hAnsi="Times New Roman" w:cs="Times New Roman"/>
                <w:sz w:val="21"/>
                <w:szCs w:val="21"/>
              </w:rPr>
            </w:pPr>
          </w:p>
        </w:tc>
        <w:tc>
          <w:tcPr>
            <w:tcW w:w="615"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在线监控设备</w:t>
            </w:r>
          </w:p>
        </w:tc>
        <w:tc>
          <w:tcPr>
            <w:tcW w:w="3267" w:type="pct"/>
            <w:gridSpan w:val="4"/>
          </w:tcPr>
          <w:p>
            <w:pPr>
              <w:pStyle w:val="19"/>
              <w:tabs>
                <w:tab w:val="left" w:pos="2348"/>
                <w:tab w:val="left" w:pos="6845"/>
              </w:tabs>
              <w:rPr>
                <w:rFonts w:ascii="Times New Roman" w:hAnsi="Times New Roman" w:cs="Times New Roman"/>
                <w:sz w:val="21"/>
                <w:szCs w:val="21"/>
              </w:rPr>
            </w:pPr>
            <w:r>
              <w:rPr>
                <w:rFonts w:ascii="Times New Roman" w:hAnsi="Times New Roman" w:cs="Times New Roman"/>
                <w:sz w:val="21"/>
                <w:szCs w:val="21"/>
              </w:rPr>
              <w:t>2套在线监控设施，进水口安装PH,氨氮，总氮，流量在线监测仪，总排口PH,氨氮，总氮，总磷，流量在线监测仪</w:t>
            </w:r>
          </w:p>
        </w:tc>
        <w:tc>
          <w:tcPr>
            <w:tcW w:w="282" w:type="pct"/>
          </w:tcPr>
          <w:p>
            <w:pPr>
              <w:pStyle w:val="19"/>
              <w:tabs>
                <w:tab w:val="center" w:pos="4153"/>
                <w:tab w:val="left" w:pos="6845"/>
              </w:tabs>
              <w:rPr>
                <w:rFonts w:ascii="Times New Roman" w:hAnsi="Times New Roman" w:cs="Times New Roman"/>
                <w:sz w:val="21"/>
                <w:szCs w:val="21"/>
              </w:rPr>
            </w:pPr>
            <w:r>
              <w:rPr>
                <w:rFonts w:ascii="Times New Roman" w:hAnsi="Times New Roman" w:cs="Times New Roman"/>
                <w:sz w:val="21"/>
                <w:szCs w:val="21"/>
              </w:rPr>
              <w:t>/</w:t>
            </w:r>
          </w:p>
        </w:tc>
      </w:tr>
    </w:tbl>
    <w:p>
      <w:pPr>
        <w:pStyle w:val="19"/>
        <w:tabs>
          <w:tab w:val="center" w:pos="4153"/>
          <w:tab w:val="left" w:pos="6845"/>
        </w:tabs>
        <w:spacing w:line="360" w:lineRule="auto"/>
        <w:ind w:firstLine="482" w:firstLineChars="200"/>
        <w:jc w:val="both"/>
        <w:rPr>
          <w:b/>
          <w:bCs/>
        </w:rPr>
      </w:pPr>
      <w:r>
        <w:rPr>
          <w:rFonts w:hint="eastAsia"/>
          <w:b/>
          <w:bCs/>
        </w:rPr>
        <w:t>3.1.2主要生产设备</w:t>
      </w:r>
    </w:p>
    <w:p>
      <w:pPr>
        <w:pStyle w:val="19"/>
        <w:tabs>
          <w:tab w:val="center" w:pos="4153"/>
          <w:tab w:val="left" w:pos="6845"/>
        </w:tabs>
        <w:spacing w:line="360" w:lineRule="auto"/>
        <w:jc w:val="both"/>
        <w:rPr>
          <w:b/>
          <w:bCs/>
        </w:rPr>
      </w:pPr>
      <w:r>
        <w:rPr>
          <w:rFonts w:hint="eastAsia"/>
          <w:b/>
          <w:bCs/>
        </w:rPr>
        <w:t xml:space="preserve">                                                    表3-3 主要生产设备一览表</w:t>
      </w:r>
    </w:p>
    <w:tbl>
      <w:tblPr>
        <w:tblStyle w:val="21"/>
        <w:tblW w:w="5134" w:type="pct"/>
        <w:jc w:val="center"/>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Layout w:type="autofit"/>
        <w:tblCellMar>
          <w:top w:w="0" w:type="dxa"/>
          <w:left w:w="108" w:type="dxa"/>
          <w:bottom w:w="0" w:type="dxa"/>
          <w:right w:w="108" w:type="dxa"/>
        </w:tblCellMar>
      </w:tblPr>
      <w:tblGrid>
        <w:gridCol w:w="1297"/>
        <w:gridCol w:w="3051"/>
        <w:gridCol w:w="6052"/>
        <w:gridCol w:w="1502"/>
        <w:gridCol w:w="1310"/>
        <w:gridCol w:w="1342"/>
      </w:tblGrid>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87" w:hRule="atLeast"/>
          <w:jc w:val="center"/>
        </w:trPr>
        <w:tc>
          <w:tcPr>
            <w:tcW w:w="446" w:type="pct"/>
            <w:shd w:val="clear" w:color="auto" w:fill="auto"/>
            <w:vAlign w:val="center"/>
          </w:tcPr>
          <w:p>
            <w:pPr>
              <w:widowControl/>
              <w:spacing w:line="240" w:lineRule="auto"/>
              <w:ind w:firstLine="0" w:firstLineChars="0"/>
              <w:jc w:val="center"/>
              <w:rPr>
                <w:b/>
                <w:kern w:val="0"/>
                <w:sz w:val="21"/>
                <w:szCs w:val="21"/>
              </w:rPr>
            </w:pPr>
            <w:r>
              <w:rPr>
                <w:rFonts w:hint="eastAsia"/>
                <w:b/>
                <w:kern w:val="0"/>
                <w:sz w:val="21"/>
                <w:szCs w:val="21"/>
              </w:rPr>
              <w:t>序号</w:t>
            </w:r>
          </w:p>
        </w:tc>
        <w:tc>
          <w:tcPr>
            <w:tcW w:w="1048" w:type="pct"/>
            <w:shd w:val="clear" w:color="auto" w:fill="auto"/>
            <w:vAlign w:val="center"/>
          </w:tcPr>
          <w:p>
            <w:pPr>
              <w:widowControl/>
              <w:spacing w:line="240" w:lineRule="auto"/>
              <w:ind w:firstLine="0" w:firstLineChars="0"/>
              <w:jc w:val="center"/>
              <w:rPr>
                <w:b/>
                <w:kern w:val="0"/>
                <w:sz w:val="21"/>
                <w:szCs w:val="21"/>
              </w:rPr>
            </w:pPr>
            <w:r>
              <w:rPr>
                <w:rFonts w:hint="eastAsia"/>
                <w:b/>
                <w:kern w:val="0"/>
                <w:sz w:val="21"/>
                <w:szCs w:val="21"/>
              </w:rPr>
              <w:t>名称</w:t>
            </w:r>
          </w:p>
        </w:tc>
        <w:tc>
          <w:tcPr>
            <w:tcW w:w="2079" w:type="pct"/>
            <w:shd w:val="clear" w:color="auto" w:fill="auto"/>
            <w:vAlign w:val="center"/>
          </w:tcPr>
          <w:p>
            <w:pPr>
              <w:widowControl/>
              <w:spacing w:line="240" w:lineRule="auto"/>
              <w:ind w:firstLine="0" w:firstLineChars="0"/>
              <w:jc w:val="center"/>
              <w:rPr>
                <w:b/>
                <w:kern w:val="0"/>
                <w:sz w:val="21"/>
                <w:szCs w:val="21"/>
              </w:rPr>
            </w:pPr>
            <w:r>
              <w:rPr>
                <w:rFonts w:hint="eastAsia"/>
                <w:b/>
                <w:kern w:val="0"/>
                <w:sz w:val="21"/>
                <w:szCs w:val="21"/>
              </w:rPr>
              <w:t>型号</w:t>
            </w:r>
          </w:p>
        </w:tc>
        <w:tc>
          <w:tcPr>
            <w:tcW w:w="516" w:type="pct"/>
            <w:shd w:val="clear" w:color="auto" w:fill="auto"/>
            <w:vAlign w:val="center"/>
          </w:tcPr>
          <w:p>
            <w:pPr>
              <w:widowControl/>
              <w:spacing w:line="240" w:lineRule="auto"/>
              <w:ind w:firstLine="0" w:firstLineChars="0"/>
              <w:jc w:val="center"/>
              <w:rPr>
                <w:b/>
                <w:kern w:val="0"/>
                <w:sz w:val="21"/>
                <w:szCs w:val="21"/>
              </w:rPr>
            </w:pPr>
            <w:r>
              <w:rPr>
                <w:rFonts w:hint="eastAsia"/>
                <w:b/>
                <w:kern w:val="0"/>
                <w:sz w:val="21"/>
                <w:szCs w:val="21"/>
              </w:rPr>
              <w:t>单位</w:t>
            </w:r>
          </w:p>
        </w:tc>
        <w:tc>
          <w:tcPr>
            <w:tcW w:w="450" w:type="pct"/>
            <w:shd w:val="clear" w:color="auto" w:fill="auto"/>
            <w:vAlign w:val="center"/>
          </w:tcPr>
          <w:p>
            <w:pPr>
              <w:widowControl/>
              <w:spacing w:line="240" w:lineRule="auto"/>
              <w:ind w:firstLine="0" w:firstLineChars="0"/>
              <w:jc w:val="center"/>
              <w:rPr>
                <w:b/>
                <w:kern w:val="0"/>
                <w:sz w:val="21"/>
                <w:szCs w:val="21"/>
              </w:rPr>
            </w:pPr>
            <w:r>
              <w:rPr>
                <w:rFonts w:hint="eastAsia"/>
                <w:b/>
                <w:kern w:val="0"/>
                <w:sz w:val="21"/>
                <w:szCs w:val="21"/>
              </w:rPr>
              <w:t>数量</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备注</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15"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机械</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rFonts w:hint="eastAsia"/>
                <w:sz w:val="21"/>
                <w:szCs w:val="21"/>
              </w:rPr>
              <w:t>XCG-1400，格栅净宽：</w:t>
            </w:r>
            <w:r>
              <w:rPr>
                <w:sz w:val="21"/>
                <w:szCs w:val="21"/>
              </w:rPr>
              <w:t>1.</w:t>
            </w:r>
            <w:r>
              <w:rPr>
                <w:rFonts w:hint="eastAsia"/>
                <w:sz w:val="21"/>
                <w:szCs w:val="21"/>
              </w:rPr>
              <w:t>4</w:t>
            </w:r>
            <w:r>
              <w:rPr>
                <w:sz w:val="21"/>
                <w:szCs w:val="21"/>
              </w:rPr>
              <w:t>m</w:t>
            </w:r>
            <w:r>
              <w:rPr>
                <w:rFonts w:hint="eastAsia"/>
                <w:sz w:val="21"/>
                <w:szCs w:val="21"/>
              </w:rPr>
              <w:t>，栅条净间距：5</w:t>
            </w:r>
            <w:r>
              <w:rPr>
                <w:sz w:val="21"/>
                <w:szCs w:val="21"/>
              </w:rPr>
              <w:t>mm</w:t>
            </w:r>
            <w:r>
              <w:rPr>
                <w:rFonts w:hint="eastAsia"/>
                <w:sz w:val="21"/>
                <w:szCs w:val="21"/>
              </w:rPr>
              <w:t>，安装倾角α</w:t>
            </w:r>
            <w:r>
              <w:rPr>
                <w:sz w:val="21"/>
                <w:szCs w:val="21"/>
              </w:rPr>
              <w:t>=75</w:t>
            </w:r>
            <w:r>
              <w:rPr>
                <w:rFonts w:hint="eastAsia"/>
                <w:sz w:val="21"/>
                <w:szCs w:val="21"/>
              </w:rPr>
              <w:t>°，</w:t>
            </w:r>
            <w:r>
              <w:rPr>
                <w:sz w:val="21"/>
                <w:szCs w:val="21"/>
              </w:rPr>
              <w:t>N</w:t>
            </w:r>
            <w:r>
              <w:rPr>
                <w:rFonts w:hint="eastAsia"/>
                <w:sz w:val="21"/>
                <w:szCs w:val="21"/>
              </w:rPr>
              <w:t>＝</w:t>
            </w:r>
            <w:r>
              <w:rPr>
                <w:sz w:val="21"/>
                <w:szCs w:val="21"/>
              </w:rPr>
              <w:t>1.1kW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螺旋输送机</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LS-300</w:t>
            </w:r>
            <w:r>
              <w:rPr>
                <w:rFonts w:hint="eastAsia"/>
                <w:kern w:val="0"/>
                <w:sz w:val="21"/>
                <w:szCs w:val="21"/>
              </w:rPr>
              <w:t>，</w:t>
            </w:r>
            <w:r>
              <w:rPr>
                <w:kern w:val="0"/>
                <w:sz w:val="21"/>
                <w:szCs w:val="21"/>
              </w:rPr>
              <w:t>L=4000</w:t>
            </w:r>
            <w:r>
              <w:rPr>
                <w:rFonts w:hint="eastAsia"/>
                <w:kern w:val="0"/>
                <w:sz w:val="21"/>
                <w:szCs w:val="21"/>
              </w:rPr>
              <w:t>，</w:t>
            </w:r>
            <w:r>
              <w:rPr>
                <w:kern w:val="0"/>
                <w:sz w:val="21"/>
                <w:szCs w:val="21"/>
              </w:rPr>
              <w:t>N</w:t>
            </w:r>
            <w:r>
              <w:rPr>
                <w:rFonts w:hint="eastAsia"/>
                <w:kern w:val="0"/>
                <w:sz w:val="21"/>
                <w:szCs w:val="21"/>
              </w:rPr>
              <w:t>＝</w:t>
            </w:r>
            <w:r>
              <w:rPr>
                <w:kern w:val="0"/>
                <w:sz w:val="21"/>
                <w:szCs w:val="21"/>
              </w:rPr>
              <w:t>1.1kW</w:t>
            </w:r>
            <w:r>
              <w:rPr>
                <w:rFonts w:hint="eastAsia"/>
                <w:kern w:val="0"/>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除砂机</w:t>
            </w:r>
          </w:p>
        </w:tc>
        <w:tc>
          <w:tcPr>
            <w:tcW w:w="2079" w:type="pct"/>
            <w:shd w:val="clear" w:color="auto" w:fill="auto"/>
            <w:vAlign w:val="center"/>
          </w:tcPr>
          <w:p>
            <w:pPr>
              <w:widowControl/>
              <w:spacing w:line="240" w:lineRule="auto"/>
              <w:ind w:firstLine="0" w:firstLineChars="0"/>
              <w:jc w:val="center"/>
              <w:rPr>
                <w:kern w:val="0"/>
                <w:sz w:val="21"/>
                <w:szCs w:val="21"/>
                <w:lang w:val="sv-SE"/>
              </w:rPr>
            </w:pPr>
            <w:r>
              <w:rPr>
                <w:kern w:val="0"/>
                <w:sz w:val="21"/>
                <w:szCs w:val="21"/>
                <w:lang w:val="sv-SE"/>
              </w:rPr>
              <w:t>XCS-3.05</w:t>
            </w:r>
            <w:r>
              <w:rPr>
                <w:rFonts w:hint="eastAsia"/>
                <w:kern w:val="0"/>
                <w:sz w:val="21"/>
                <w:szCs w:val="21"/>
                <w:lang w:val="sv-SE"/>
              </w:rPr>
              <w:t>，</w:t>
            </w:r>
            <w:r>
              <w:rPr>
                <w:kern w:val="0"/>
                <w:sz w:val="21"/>
                <w:szCs w:val="21"/>
                <w:lang w:val="sv-SE"/>
              </w:rPr>
              <w:t>N</w:t>
            </w:r>
            <w:r>
              <w:rPr>
                <w:rFonts w:hint="eastAsia"/>
                <w:kern w:val="0"/>
                <w:sz w:val="21"/>
                <w:szCs w:val="21"/>
                <w:lang w:val="sv-SE"/>
              </w:rPr>
              <w:t>＝</w:t>
            </w:r>
            <w:r>
              <w:rPr>
                <w:kern w:val="0"/>
                <w:sz w:val="21"/>
                <w:szCs w:val="21"/>
                <w:lang w:val="sv-SE"/>
              </w:rPr>
              <w:t>0.75kW</w:t>
            </w:r>
            <w:r>
              <w:rPr>
                <w:rFonts w:hint="eastAsia"/>
                <w:kern w:val="0"/>
                <w:sz w:val="21"/>
                <w:szCs w:val="21"/>
                <w:lang w:val="sv-SE"/>
              </w:rPr>
              <w:t>，</w:t>
            </w:r>
            <w:r>
              <w:rPr>
                <w:kern w:val="0"/>
                <w:sz w:val="21"/>
                <w:szCs w:val="21"/>
                <w:lang w:val="sv-SE"/>
              </w:rPr>
              <w:t>15r/min</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4</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螺旋压榨机</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LY-300</w:t>
            </w:r>
            <w:r>
              <w:rPr>
                <w:rFonts w:hint="eastAsia"/>
                <w:kern w:val="0"/>
                <w:sz w:val="21"/>
                <w:szCs w:val="21"/>
              </w:rPr>
              <w:t>，</w:t>
            </w:r>
            <w:r>
              <w:rPr>
                <w:kern w:val="0"/>
                <w:sz w:val="21"/>
                <w:szCs w:val="21"/>
              </w:rPr>
              <w:t>N=2.2kw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5</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污水提升泵</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sz w:val="21"/>
                <w:szCs w:val="21"/>
              </w:rPr>
              <w:t>300WQ800-15-55</w:t>
            </w:r>
            <w:r>
              <w:rPr>
                <w:rFonts w:hint="eastAsia"/>
                <w:sz w:val="21"/>
                <w:szCs w:val="21"/>
              </w:rPr>
              <w:t>，</w:t>
            </w:r>
            <w:r>
              <w:rPr>
                <w:sz w:val="21"/>
                <w:szCs w:val="21"/>
              </w:rPr>
              <w:t>Q=960m</w:t>
            </w:r>
            <w:r>
              <w:rPr>
                <w:sz w:val="21"/>
                <w:szCs w:val="21"/>
                <w:vertAlign w:val="superscript"/>
              </w:rPr>
              <w:t>3</w:t>
            </w:r>
            <w:r>
              <w:rPr>
                <w:sz w:val="21"/>
                <w:szCs w:val="21"/>
              </w:rPr>
              <w:t>/h</w:t>
            </w:r>
            <w:r>
              <w:rPr>
                <w:rFonts w:hint="eastAsia"/>
                <w:sz w:val="21"/>
                <w:szCs w:val="21"/>
              </w:rPr>
              <w:t>，</w:t>
            </w:r>
            <w:r>
              <w:rPr>
                <w:sz w:val="21"/>
                <w:szCs w:val="21"/>
              </w:rPr>
              <w:t>H=13m</w:t>
            </w:r>
            <w:r>
              <w:rPr>
                <w:rFonts w:hint="eastAsia"/>
                <w:sz w:val="21"/>
                <w:szCs w:val="21"/>
              </w:rPr>
              <w:t>，</w:t>
            </w:r>
            <w:r>
              <w:rPr>
                <w:sz w:val="21"/>
                <w:szCs w:val="21"/>
              </w:rPr>
              <w:t>N</w:t>
            </w:r>
            <w:r>
              <w:rPr>
                <w:rFonts w:hint="eastAsia"/>
                <w:sz w:val="21"/>
                <w:szCs w:val="21"/>
              </w:rPr>
              <w:t>＝</w:t>
            </w:r>
            <w:r>
              <w:rPr>
                <w:sz w:val="21"/>
                <w:szCs w:val="21"/>
              </w:rPr>
              <w:t>55kW</w:t>
            </w:r>
            <w:r>
              <w:rPr>
                <w:rFonts w:hint="eastAsia"/>
                <w:sz w:val="21"/>
                <w:szCs w:val="21"/>
              </w:rPr>
              <w:t>。带自藕装置</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6</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手轮式启闭机</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T=2.0t</w:t>
            </w:r>
            <w:r>
              <w:rPr>
                <w:rFonts w:hint="eastAsia"/>
                <w:kern w:val="0"/>
                <w:sz w:val="21"/>
                <w:szCs w:val="21"/>
              </w:rPr>
              <w:t>，</w:t>
            </w:r>
            <w:r>
              <w:rPr>
                <w:kern w:val="0"/>
                <w:sz w:val="21"/>
                <w:szCs w:val="21"/>
              </w:rPr>
              <w:t>N</w:t>
            </w:r>
            <w:r>
              <w:rPr>
                <w:rFonts w:hint="eastAsia"/>
                <w:kern w:val="0"/>
                <w:sz w:val="21"/>
                <w:szCs w:val="21"/>
              </w:rPr>
              <w:t>＝</w:t>
            </w:r>
            <w:r>
              <w:rPr>
                <w:kern w:val="0"/>
                <w:sz w:val="21"/>
                <w:szCs w:val="21"/>
              </w:rPr>
              <w:t>0.55kW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5</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7</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镶铜铸铁方闸门</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800</w:t>
            </w:r>
            <w:r>
              <w:rPr>
                <w:rFonts w:hint="eastAsia"/>
                <w:kern w:val="0"/>
                <w:sz w:val="21"/>
                <w:szCs w:val="21"/>
              </w:rPr>
              <w:t>×</w:t>
            </w:r>
            <w:r>
              <w:rPr>
                <w:kern w:val="0"/>
                <w:sz w:val="21"/>
                <w:szCs w:val="21"/>
              </w:rPr>
              <w:t>800</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5</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8</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电动葫芦</w:t>
            </w:r>
          </w:p>
        </w:tc>
        <w:tc>
          <w:tcPr>
            <w:tcW w:w="2079" w:type="pct"/>
            <w:shd w:val="clear" w:color="auto" w:fill="auto"/>
            <w:vAlign w:val="center"/>
          </w:tcPr>
          <w:p>
            <w:pPr>
              <w:widowControl/>
              <w:spacing w:line="240" w:lineRule="auto"/>
              <w:ind w:firstLine="0" w:firstLineChars="0"/>
              <w:jc w:val="center"/>
              <w:rPr>
                <w:kern w:val="0"/>
                <w:sz w:val="21"/>
                <w:szCs w:val="21"/>
                <w:lang w:val="de-DE"/>
              </w:rPr>
            </w:pPr>
            <w:r>
              <w:rPr>
                <w:kern w:val="0"/>
                <w:sz w:val="21"/>
                <w:szCs w:val="21"/>
                <w:lang w:val="de-DE"/>
              </w:rPr>
              <w:t>T=3.0t</w:t>
            </w:r>
            <w:r>
              <w:rPr>
                <w:rFonts w:hint="eastAsia"/>
                <w:kern w:val="0"/>
                <w:sz w:val="21"/>
                <w:szCs w:val="21"/>
                <w:lang w:val="de-DE"/>
              </w:rPr>
              <w:t>，</w:t>
            </w:r>
            <w:r>
              <w:rPr>
                <w:kern w:val="0"/>
                <w:sz w:val="21"/>
                <w:szCs w:val="21"/>
                <w:lang w:val="de-DE"/>
              </w:rPr>
              <w:t>N</w:t>
            </w:r>
            <w:r>
              <w:rPr>
                <w:rFonts w:hint="eastAsia"/>
                <w:kern w:val="0"/>
                <w:sz w:val="21"/>
                <w:szCs w:val="21"/>
                <w:lang w:val="de-DE"/>
              </w:rPr>
              <w:t>＝</w:t>
            </w:r>
            <w:r>
              <w:rPr>
                <w:kern w:val="0"/>
                <w:sz w:val="21"/>
                <w:szCs w:val="21"/>
                <w:lang w:val="de-DE"/>
              </w:rPr>
              <w:t>3kW</w:t>
            </w:r>
            <w:r>
              <w:rPr>
                <w:rFonts w:hint="eastAsia"/>
                <w:kern w:val="0"/>
                <w:sz w:val="21"/>
                <w:szCs w:val="21"/>
                <w:lang w:val="de-DE"/>
              </w:rPr>
              <w:t>，MD3-12D</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258"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9</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空气压缩机</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N</w:t>
            </w:r>
            <w:r>
              <w:rPr>
                <w:rFonts w:hint="eastAsia"/>
                <w:kern w:val="0"/>
                <w:sz w:val="21"/>
                <w:szCs w:val="21"/>
              </w:rPr>
              <w:t>＝</w:t>
            </w:r>
            <w:r>
              <w:rPr>
                <w:kern w:val="0"/>
                <w:sz w:val="21"/>
                <w:szCs w:val="21"/>
              </w:rPr>
              <w:t>1.1kW</w:t>
            </w:r>
            <w:r>
              <w:rPr>
                <w:rFonts w:hint="eastAsia"/>
                <w:kern w:val="0"/>
                <w:sz w:val="21"/>
                <w:szCs w:val="21"/>
              </w:rPr>
              <w:t>，与气提吸砂系统配套</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10</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砂水分离器</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 xml:space="preserve">LSF-320 </w:t>
            </w:r>
            <w:r>
              <w:rPr>
                <w:rFonts w:hint="eastAsia"/>
                <w:kern w:val="0"/>
                <w:sz w:val="21"/>
                <w:szCs w:val="21"/>
              </w:rPr>
              <w:t>，</w:t>
            </w:r>
            <w:r>
              <w:rPr>
                <w:kern w:val="0"/>
                <w:sz w:val="21"/>
                <w:szCs w:val="21"/>
              </w:rPr>
              <w:t>N</w:t>
            </w:r>
            <w:r>
              <w:rPr>
                <w:rFonts w:hint="eastAsia"/>
                <w:kern w:val="0"/>
                <w:sz w:val="21"/>
                <w:szCs w:val="21"/>
              </w:rPr>
              <w:t>＝</w:t>
            </w:r>
            <w:r>
              <w:rPr>
                <w:kern w:val="0"/>
                <w:sz w:val="21"/>
                <w:szCs w:val="21"/>
              </w:rPr>
              <w:t>0.37kW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05"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11</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砂浆泵</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sz w:val="21"/>
                <w:szCs w:val="21"/>
              </w:rPr>
              <w:t>UHB-ZK100/120-20</w:t>
            </w:r>
            <w:r>
              <w:rPr>
                <w:rFonts w:hint="eastAsia"/>
                <w:sz w:val="21"/>
                <w:szCs w:val="21"/>
              </w:rPr>
              <w:t>，</w:t>
            </w:r>
            <w:r>
              <w:rPr>
                <w:sz w:val="21"/>
                <w:szCs w:val="21"/>
              </w:rPr>
              <w:t>Q</w:t>
            </w:r>
            <w:r>
              <w:rPr>
                <w:rFonts w:hint="eastAsia"/>
                <w:sz w:val="21"/>
                <w:szCs w:val="21"/>
              </w:rPr>
              <w:t>＝8</w:t>
            </w:r>
            <w:r>
              <w:rPr>
                <w:sz w:val="21"/>
                <w:szCs w:val="21"/>
              </w:rPr>
              <w:t>0 m</w:t>
            </w:r>
            <w:r>
              <w:rPr>
                <w:sz w:val="21"/>
                <w:szCs w:val="21"/>
                <w:vertAlign w:val="superscript"/>
              </w:rPr>
              <w:t>3</w:t>
            </w:r>
            <w:r>
              <w:rPr>
                <w:sz w:val="21"/>
                <w:szCs w:val="21"/>
              </w:rPr>
              <w:t>/h</w:t>
            </w:r>
            <w:r>
              <w:rPr>
                <w:rFonts w:hint="eastAsia"/>
                <w:sz w:val="21"/>
                <w:szCs w:val="21"/>
              </w:rPr>
              <w:t>，</w:t>
            </w:r>
            <w:r>
              <w:rPr>
                <w:sz w:val="21"/>
                <w:szCs w:val="21"/>
              </w:rPr>
              <w:t>H</w:t>
            </w:r>
            <w:r>
              <w:rPr>
                <w:rFonts w:hint="eastAsia"/>
                <w:sz w:val="21"/>
                <w:szCs w:val="21"/>
              </w:rPr>
              <w:t>＝15</w:t>
            </w:r>
            <w:r>
              <w:rPr>
                <w:sz w:val="21"/>
                <w:szCs w:val="21"/>
              </w:rPr>
              <w:t>m</w:t>
            </w:r>
            <w:r>
              <w:rPr>
                <w:rFonts w:hint="eastAsia"/>
                <w:sz w:val="21"/>
                <w:szCs w:val="21"/>
              </w:rPr>
              <w:t>，</w:t>
            </w:r>
            <w:r>
              <w:rPr>
                <w:sz w:val="21"/>
                <w:szCs w:val="21"/>
              </w:rPr>
              <w:t>N</w:t>
            </w:r>
            <w:r>
              <w:rPr>
                <w:rFonts w:hint="eastAsia"/>
                <w:sz w:val="21"/>
                <w:szCs w:val="21"/>
              </w:rPr>
              <w:t>＝7.5</w:t>
            </w:r>
            <w:r>
              <w:rPr>
                <w:sz w:val="21"/>
                <w:szCs w:val="21"/>
              </w:rPr>
              <w:t>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11"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12</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超声波液位计</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54"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13</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污水提升泵</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rFonts w:hint="eastAsia"/>
                <w:sz w:val="21"/>
                <w:szCs w:val="21"/>
              </w:rPr>
              <w:t>带自藕装置。规格型号：</w:t>
            </w:r>
            <w:r>
              <w:rPr>
                <w:sz w:val="21"/>
                <w:szCs w:val="21"/>
              </w:rPr>
              <w:t>300WQ800-15-55</w:t>
            </w:r>
            <w:r>
              <w:rPr>
                <w:rFonts w:hint="eastAsia"/>
                <w:sz w:val="21"/>
                <w:szCs w:val="21"/>
              </w:rPr>
              <w:t>，</w:t>
            </w:r>
            <w:r>
              <w:rPr>
                <w:sz w:val="21"/>
                <w:szCs w:val="21"/>
              </w:rPr>
              <w:t>Q=960m</w:t>
            </w:r>
            <w:r>
              <w:rPr>
                <w:sz w:val="21"/>
                <w:szCs w:val="21"/>
                <w:vertAlign w:val="superscript"/>
              </w:rPr>
              <w:t>3</w:t>
            </w:r>
            <w:r>
              <w:rPr>
                <w:sz w:val="21"/>
                <w:szCs w:val="21"/>
              </w:rPr>
              <w:t>/h</w:t>
            </w:r>
            <w:r>
              <w:rPr>
                <w:rFonts w:hint="eastAsia"/>
                <w:sz w:val="21"/>
                <w:szCs w:val="21"/>
              </w:rPr>
              <w:t>，</w:t>
            </w:r>
            <w:r>
              <w:rPr>
                <w:sz w:val="21"/>
                <w:szCs w:val="21"/>
              </w:rPr>
              <w:t>H=13m</w:t>
            </w:r>
            <w:r>
              <w:rPr>
                <w:rFonts w:hint="eastAsia"/>
                <w:sz w:val="21"/>
                <w:szCs w:val="21"/>
              </w:rPr>
              <w:t>，</w:t>
            </w:r>
            <w:r>
              <w:rPr>
                <w:sz w:val="21"/>
                <w:szCs w:val="21"/>
              </w:rPr>
              <w:t>N</w:t>
            </w:r>
            <w:r>
              <w:rPr>
                <w:rFonts w:hint="eastAsia"/>
                <w:sz w:val="21"/>
                <w:szCs w:val="21"/>
              </w:rPr>
              <w:t>＝</w:t>
            </w:r>
            <w:r>
              <w:rPr>
                <w:sz w:val="21"/>
                <w:szCs w:val="21"/>
              </w:rPr>
              <w:t>55kW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14</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搅拌装置</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N</w:t>
            </w:r>
            <w:r>
              <w:rPr>
                <w:rFonts w:hint="eastAsia"/>
                <w:kern w:val="0"/>
                <w:sz w:val="21"/>
                <w:szCs w:val="21"/>
              </w:rPr>
              <w:t>＝5.5</w:t>
            </w:r>
            <w:r>
              <w:rPr>
                <w:kern w:val="0"/>
                <w:sz w:val="21"/>
                <w:szCs w:val="21"/>
              </w:rPr>
              <w:t>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15</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超声波物位仪</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WMC</w:t>
            </w:r>
            <w:r>
              <w:rPr>
                <w:rFonts w:hint="eastAsia"/>
                <w:kern w:val="0"/>
                <w:sz w:val="21"/>
                <w:szCs w:val="21"/>
              </w:rPr>
              <w:t>型</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16</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搅拌机装置</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N</w:t>
            </w:r>
            <w:r>
              <w:rPr>
                <w:rFonts w:hint="eastAsia"/>
                <w:kern w:val="0"/>
                <w:sz w:val="21"/>
                <w:szCs w:val="21"/>
              </w:rPr>
              <w:t>＝</w:t>
            </w:r>
            <w:r>
              <w:rPr>
                <w:kern w:val="0"/>
                <w:sz w:val="21"/>
                <w:szCs w:val="21"/>
              </w:rPr>
              <w:t>15kW</w:t>
            </w:r>
            <w:r>
              <w:rPr>
                <w:rFonts w:hint="eastAsia"/>
                <w:kern w:val="0"/>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17</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曝气装置</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18</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斜管填料</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rFonts w:hint="eastAsia"/>
                <w:sz w:val="21"/>
                <w:szCs w:val="21"/>
              </w:rPr>
              <w:t>Φ50</w:t>
            </w:r>
          </w:p>
        </w:tc>
        <w:tc>
          <w:tcPr>
            <w:tcW w:w="516" w:type="pct"/>
            <w:shd w:val="clear" w:color="auto" w:fill="auto"/>
            <w:vAlign w:val="center"/>
          </w:tcPr>
          <w:p>
            <w:pPr>
              <w:widowControl/>
              <w:spacing w:line="240" w:lineRule="auto"/>
              <w:ind w:firstLine="0" w:firstLineChars="0"/>
              <w:jc w:val="center"/>
              <w:rPr>
                <w:kern w:val="0"/>
                <w:sz w:val="21"/>
                <w:szCs w:val="21"/>
              </w:rPr>
            </w:pPr>
            <w:r>
              <w:rPr>
                <w:kern w:val="0"/>
                <w:sz w:val="21"/>
                <w:szCs w:val="21"/>
              </w:rPr>
              <w:t>M</w:t>
            </w:r>
            <w:r>
              <w:rPr>
                <w:rFonts w:hint="eastAsia"/>
                <w:kern w:val="0"/>
                <w:sz w:val="21"/>
                <w:szCs w:val="21"/>
                <w:vertAlign w:val="superscript"/>
              </w:rPr>
              <w:t>2</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480</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19</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混合液回流泵</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Q=</w:t>
            </w:r>
            <w:r>
              <w:rPr>
                <w:rFonts w:hint="eastAsia"/>
                <w:kern w:val="0"/>
                <w:sz w:val="21"/>
                <w:szCs w:val="21"/>
              </w:rPr>
              <w:t>480</w:t>
            </w:r>
            <w:r>
              <w:rPr>
                <w:kern w:val="0"/>
                <w:sz w:val="21"/>
                <w:szCs w:val="21"/>
              </w:rPr>
              <w:t>m</w:t>
            </w:r>
            <w:r>
              <w:rPr>
                <w:kern w:val="0"/>
                <w:sz w:val="21"/>
                <w:szCs w:val="21"/>
                <w:vertAlign w:val="superscript"/>
              </w:rPr>
              <w:t>3</w:t>
            </w:r>
            <w:r>
              <w:rPr>
                <w:kern w:val="0"/>
                <w:sz w:val="21"/>
                <w:szCs w:val="21"/>
              </w:rPr>
              <w:t>/h，H=</w:t>
            </w:r>
            <w:r>
              <w:rPr>
                <w:rFonts w:hint="eastAsia"/>
                <w:kern w:val="0"/>
                <w:sz w:val="21"/>
                <w:szCs w:val="21"/>
              </w:rPr>
              <w:t>7</w:t>
            </w:r>
            <w:r>
              <w:rPr>
                <w:kern w:val="0"/>
                <w:sz w:val="21"/>
                <w:szCs w:val="21"/>
              </w:rPr>
              <w:t>m，N＝</w:t>
            </w:r>
            <w:r>
              <w:rPr>
                <w:rFonts w:hint="eastAsia"/>
                <w:kern w:val="0"/>
                <w:sz w:val="21"/>
                <w:szCs w:val="21"/>
              </w:rPr>
              <w:t>15</w:t>
            </w:r>
            <w:r>
              <w:rPr>
                <w:kern w:val="0"/>
                <w:sz w:val="21"/>
                <w:szCs w:val="21"/>
              </w:rPr>
              <w:t>kW</w:t>
            </w:r>
          </w:p>
        </w:tc>
        <w:tc>
          <w:tcPr>
            <w:tcW w:w="51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台</w:t>
            </w:r>
          </w:p>
        </w:tc>
        <w:tc>
          <w:tcPr>
            <w:tcW w:w="450"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20</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潜水搅拌机</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N=15kW</w:t>
            </w:r>
            <w:r>
              <w:rPr>
                <w:rFonts w:hint="eastAsia"/>
                <w:kern w:val="0"/>
                <w:sz w:val="21"/>
                <w:szCs w:val="21"/>
              </w:rPr>
              <w:t>，搅拌半径</w:t>
            </w:r>
            <w:r>
              <w:rPr>
                <w:kern w:val="0"/>
                <w:sz w:val="21"/>
                <w:szCs w:val="21"/>
              </w:rPr>
              <w:t>R</w:t>
            </w:r>
            <w:r>
              <w:rPr>
                <w:rFonts w:hint="eastAsia"/>
                <w:kern w:val="0"/>
                <w:sz w:val="21"/>
                <w:szCs w:val="21"/>
              </w:rPr>
              <w:t>＝</w:t>
            </w:r>
            <w:r>
              <w:rPr>
                <w:kern w:val="0"/>
                <w:sz w:val="21"/>
                <w:szCs w:val="21"/>
              </w:rPr>
              <w:t>900</w:t>
            </w:r>
            <w:r>
              <w:rPr>
                <w:rFonts w:hint="eastAsia"/>
                <w:kern w:val="0"/>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5</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26"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21</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污泥回流泵</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sz w:val="21"/>
                <w:szCs w:val="21"/>
              </w:rPr>
              <w:t>Q=960m</w:t>
            </w:r>
            <w:r>
              <w:rPr>
                <w:sz w:val="21"/>
                <w:szCs w:val="21"/>
                <w:vertAlign w:val="superscript"/>
              </w:rPr>
              <w:t>3</w:t>
            </w:r>
            <w:r>
              <w:rPr>
                <w:sz w:val="21"/>
                <w:szCs w:val="21"/>
              </w:rPr>
              <w:t>/h</w:t>
            </w:r>
            <w:r>
              <w:rPr>
                <w:rFonts w:hint="eastAsia"/>
                <w:sz w:val="21"/>
                <w:szCs w:val="21"/>
              </w:rPr>
              <w:t>，</w:t>
            </w:r>
            <w:r>
              <w:rPr>
                <w:sz w:val="21"/>
                <w:szCs w:val="21"/>
              </w:rPr>
              <w:t>H=</w:t>
            </w:r>
            <w:r>
              <w:rPr>
                <w:rFonts w:hint="eastAsia"/>
                <w:sz w:val="21"/>
                <w:szCs w:val="21"/>
              </w:rPr>
              <w:t>7</w:t>
            </w:r>
            <w:r>
              <w:rPr>
                <w:sz w:val="21"/>
                <w:szCs w:val="21"/>
              </w:rPr>
              <w:t>m</w:t>
            </w:r>
            <w:r>
              <w:rPr>
                <w:rFonts w:hint="eastAsia"/>
                <w:sz w:val="21"/>
                <w:szCs w:val="21"/>
              </w:rPr>
              <w:t>，</w:t>
            </w:r>
            <w:r>
              <w:rPr>
                <w:sz w:val="21"/>
                <w:szCs w:val="21"/>
              </w:rPr>
              <w:t>N</w:t>
            </w:r>
            <w:r>
              <w:rPr>
                <w:rFonts w:hint="eastAsia"/>
                <w:sz w:val="21"/>
                <w:szCs w:val="21"/>
              </w:rPr>
              <w:t>＝37</w:t>
            </w:r>
            <w:r>
              <w:rPr>
                <w:sz w:val="21"/>
                <w:szCs w:val="21"/>
              </w:rPr>
              <w:t>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22</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微孔曝气器</w:t>
            </w:r>
          </w:p>
        </w:tc>
        <w:tc>
          <w:tcPr>
            <w:tcW w:w="2079"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Φ</w:t>
            </w:r>
            <w:r>
              <w:rPr>
                <w:kern w:val="0"/>
                <w:sz w:val="21"/>
                <w:szCs w:val="21"/>
              </w:rPr>
              <w:t>215,</w:t>
            </w:r>
            <w:r>
              <w:rPr>
                <w:rFonts w:hint="eastAsia"/>
                <w:kern w:val="0"/>
                <w:sz w:val="21"/>
                <w:szCs w:val="21"/>
              </w:rPr>
              <w:t>单个供气量2.</w:t>
            </w:r>
            <w:r>
              <w:rPr>
                <w:kern w:val="0"/>
                <w:sz w:val="21"/>
                <w:szCs w:val="21"/>
              </w:rPr>
              <w:t>5m</w:t>
            </w:r>
            <w:r>
              <w:rPr>
                <w:kern w:val="0"/>
                <w:sz w:val="21"/>
                <w:szCs w:val="21"/>
                <w:vertAlign w:val="superscript"/>
              </w:rPr>
              <w:t>3</w:t>
            </w:r>
            <w:r>
              <w:rPr>
                <w:kern w:val="0"/>
                <w:sz w:val="21"/>
                <w:szCs w:val="21"/>
              </w:rPr>
              <w:t>/h</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96</w:t>
            </w:r>
            <w:r>
              <w:rPr>
                <w:kern w:val="0"/>
                <w:sz w:val="21"/>
                <w:szCs w:val="21"/>
              </w:rPr>
              <w:t>00</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23</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离心风机</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sz w:val="21"/>
                <w:szCs w:val="21"/>
              </w:rPr>
              <w:t>Q</w:t>
            </w:r>
            <w:r>
              <w:rPr>
                <w:rFonts w:hint="eastAsia"/>
                <w:sz w:val="21"/>
                <w:szCs w:val="21"/>
              </w:rPr>
              <w:t>＝</w:t>
            </w:r>
            <w:r>
              <w:rPr>
                <w:sz w:val="21"/>
                <w:szCs w:val="21"/>
              </w:rPr>
              <w:t>73.1m</w:t>
            </w:r>
            <w:r>
              <w:rPr>
                <w:sz w:val="21"/>
                <w:szCs w:val="21"/>
                <w:vertAlign w:val="superscript"/>
              </w:rPr>
              <w:t>3</w:t>
            </w:r>
            <w:r>
              <w:rPr>
                <w:sz w:val="21"/>
                <w:szCs w:val="21"/>
              </w:rPr>
              <w:t>/min</w:t>
            </w:r>
            <w:r>
              <w:rPr>
                <w:rFonts w:hint="eastAsia"/>
                <w:sz w:val="21"/>
                <w:szCs w:val="21"/>
              </w:rPr>
              <w:t>，</w:t>
            </w:r>
            <w:r>
              <w:rPr>
                <w:sz w:val="21"/>
                <w:szCs w:val="21"/>
              </w:rPr>
              <w:t>H</w:t>
            </w:r>
            <w:r>
              <w:rPr>
                <w:rFonts w:hint="eastAsia"/>
                <w:sz w:val="21"/>
                <w:szCs w:val="21"/>
              </w:rPr>
              <w:t>＝</w:t>
            </w:r>
            <w:r>
              <w:rPr>
                <w:sz w:val="21"/>
                <w:szCs w:val="21"/>
              </w:rPr>
              <w:t>6m</w:t>
            </w:r>
            <w:r>
              <w:rPr>
                <w:rFonts w:hint="eastAsia"/>
                <w:sz w:val="21"/>
                <w:szCs w:val="21"/>
              </w:rPr>
              <w:t>，</w:t>
            </w:r>
            <w:r>
              <w:rPr>
                <w:sz w:val="21"/>
                <w:szCs w:val="21"/>
              </w:rPr>
              <w:t>N</w:t>
            </w:r>
            <w:r>
              <w:rPr>
                <w:rFonts w:hint="eastAsia"/>
                <w:sz w:val="21"/>
                <w:szCs w:val="21"/>
              </w:rPr>
              <w:t>＝</w:t>
            </w:r>
            <w:r>
              <w:rPr>
                <w:sz w:val="21"/>
                <w:szCs w:val="21"/>
              </w:rPr>
              <w:t>110kW</w:t>
            </w:r>
            <w:r>
              <w:rPr>
                <w:kern w:val="0"/>
                <w:sz w:val="21"/>
                <w:szCs w:val="21"/>
              </w:rPr>
              <w:t xml:space="preserve"> </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5</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24</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污泥泵</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sz w:val="21"/>
                <w:szCs w:val="21"/>
              </w:rPr>
              <w:t>Q=400m</w:t>
            </w:r>
            <w:r>
              <w:rPr>
                <w:sz w:val="21"/>
                <w:szCs w:val="21"/>
                <w:vertAlign w:val="superscript"/>
              </w:rPr>
              <w:t>3</w:t>
            </w:r>
            <w:r>
              <w:rPr>
                <w:sz w:val="21"/>
                <w:szCs w:val="21"/>
              </w:rPr>
              <w:t>/h</w:t>
            </w:r>
            <w:r>
              <w:rPr>
                <w:rFonts w:hint="eastAsia"/>
                <w:sz w:val="21"/>
                <w:szCs w:val="21"/>
              </w:rPr>
              <w:t>，</w:t>
            </w:r>
            <w:r>
              <w:rPr>
                <w:sz w:val="21"/>
                <w:szCs w:val="21"/>
              </w:rPr>
              <w:t>H=1</w:t>
            </w:r>
            <w:r>
              <w:rPr>
                <w:rFonts w:hint="eastAsia"/>
                <w:sz w:val="21"/>
                <w:szCs w:val="21"/>
              </w:rPr>
              <w:t>0</w:t>
            </w:r>
            <w:r>
              <w:rPr>
                <w:sz w:val="21"/>
                <w:szCs w:val="21"/>
              </w:rPr>
              <w:t>m</w:t>
            </w:r>
            <w:r>
              <w:rPr>
                <w:rFonts w:hint="eastAsia"/>
                <w:sz w:val="21"/>
                <w:szCs w:val="21"/>
              </w:rPr>
              <w:t>，</w:t>
            </w:r>
            <w:r>
              <w:rPr>
                <w:sz w:val="21"/>
                <w:szCs w:val="21"/>
              </w:rPr>
              <w:t>N</w:t>
            </w:r>
            <w:r>
              <w:rPr>
                <w:rFonts w:hint="eastAsia"/>
                <w:sz w:val="21"/>
                <w:szCs w:val="21"/>
              </w:rPr>
              <w:t>＝22</w:t>
            </w:r>
            <w:r>
              <w:rPr>
                <w:sz w:val="21"/>
                <w:szCs w:val="21"/>
              </w:rPr>
              <w:t>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25</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半桥式刮吸泥机</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Φ</w:t>
            </w:r>
            <w:r>
              <w:rPr>
                <w:sz w:val="21"/>
                <w:szCs w:val="21"/>
              </w:rPr>
              <w:t>4</w:t>
            </w:r>
            <w:r>
              <w:rPr>
                <w:rFonts w:hint="eastAsia"/>
                <w:sz w:val="21"/>
                <w:szCs w:val="21"/>
              </w:rPr>
              <w:t>2</w:t>
            </w:r>
            <w:r>
              <w:rPr>
                <w:sz w:val="21"/>
                <w:szCs w:val="21"/>
              </w:rPr>
              <w:t>m</w:t>
            </w:r>
            <w:r>
              <w:rPr>
                <w:rFonts w:hint="eastAsia"/>
                <w:sz w:val="21"/>
                <w:szCs w:val="21"/>
              </w:rPr>
              <w:t>，</w:t>
            </w:r>
            <w:r>
              <w:rPr>
                <w:sz w:val="21"/>
                <w:szCs w:val="21"/>
              </w:rPr>
              <w:t xml:space="preserve"> v=1.6m/min</w:t>
            </w:r>
            <w:r>
              <w:rPr>
                <w:rFonts w:hint="eastAsia"/>
                <w:sz w:val="21"/>
                <w:szCs w:val="21"/>
              </w:rPr>
              <w:t>，</w:t>
            </w:r>
            <w:r>
              <w:rPr>
                <w:sz w:val="21"/>
                <w:szCs w:val="21"/>
              </w:rPr>
              <w:t>N</w:t>
            </w:r>
            <w:r>
              <w:rPr>
                <w:rFonts w:hint="eastAsia"/>
                <w:sz w:val="21"/>
                <w:szCs w:val="21"/>
              </w:rPr>
              <w:t>＝</w:t>
            </w:r>
            <w:r>
              <w:rPr>
                <w:sz w:val="21"/>
                <w:szCs w:val="21"/>
              </w:rPr>
              <w:t>0.75kW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26</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闸门、启闭机</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27</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液位控制开关</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28</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电磁流量计</w:t>
            </w:r>
          </w:p>
        </w:tc>
        <w:tc>
          <w:tcPr>
            <w:tcW w:w="2079"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量程</w:t>
            </w:r>
            <w:r>
              <w:rPr>
                <w:kern w:val="0"/>
                <w:sz w:val="21"/>
                <w:szCs w:val="21"/>
              </w:rPr>
              <w:t>0-2500 m</w:t>
            </w:r>
            <w:r>
              <w:rPr>
                <w:kern w:val="0"/>
                <w:sz w:val="21"/>
                <w:szCs w:val="21"/>
                <w:vertAlign w:val="superscript"/>
              </w:rPr>
              <w:t>3</w:t>
            </w:r>
            <w:r>
              <w:rPr>
                <w:kern w:val="0"/>
                <w:sz w:val="21"/>
                <w:szCs w:val="21"/>
              </w:rPr>
              <w:t>/h</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588"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29</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全桥式刮吸泥机</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rFonts w:hint="eastAsia"/>
                <w:sz w:val="21"/>
                <w:szCs w:val="21"/>
              </w:rPr>
              <w:t>Φ16</w:t>
            </w:r>
            <w:r>
              <w:rPr>
                <w:sz w:val="21"/>
                <w:szCs w:val="21"/>
              </w:rPr>
              <w:t>m</w:t>
            </w:r>
            <w:r>
              <w:rPr>
                <w:rFonts w:hint="eastAsia"/>
                <w:sz w:val="21"/>
                <w:szCs w:val="21"/>
              </w:rPr>
              <w:t>，周边线速度</w:t>
            </w:r>
            <w:r>
              <w:rPr>
                <w:sz w:val="21"/>
                <w:szCs w:val="21"/>
              </w:rPr>
              <w:t>v=1.6m/min</w:t>
            </w:r>
            <w:r>
              <w:rPr>
                <w:rFonts w:hint="eastAsia"/>
                <w:sz w:val="21"/>
                <w:szCs w:val="21"/>
              </w:rPr>
              <w:t>，</w:t>
            </w:r>
            <w:r>
              <w:rPr>
                <w:sz w:val="21"/>
                <w:szCs w:val="21"/>
              </w:rPr>
              <w:t>N</w:t>
            </w:r>
            <w:r>
              <w:rPr>
                <w:rFonts w:hint="eastAsia"/>
                <w:sz w:val="21"/>
                <w:szCs w:val="21"/>
              </w:rPr>
              <w:t>＝</w:t>
            </w:r>
            <w:r>
              <w:rPr>
                <w:sz w:val="21"/>
                <w:szCs w:val="21"/>
              </w:rPr>
              <w:t>0.75kW</w:t>
            </w:r>
            <w:r>
              <w:rPr>
                <w:rFonts w:hint="eastAsia"/>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84"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30</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污泥泵</w:t>
            </w:r>
          </w:p>
        </w:tc>
        <w:tc>
          <w:tcPr>
            <w:tcW w:w="2079" w:type="pct"/>
            <w:shd w:val="clear" w:color="auto" w:fill="auto"/>
            <w:vAlign w:val="center"/>
          </w:tcPr>
          <w:p>
            <w:pPr>
              <w:widowControl/>
              <w:spacing w:line="240" w:lineRule="auto"/>
              <w:ind w:firstLine="0" w:firstLineChars="0"/>
              <w:jc w:val="center"/>
              <w:rPr>
                <w:kern w:val="0"/>
                <w:sz w:val="21"/>
                <w:szCs w:val="21"/>
              </w:rPr>
            </w:pPr>
            <w:r>
              <w:rPr>
                <w:kern w:val="0"/>
                <w:sz w:val="21"/>
                <w:szCs w:val="21"/>
              </w:rPr>
              <w:t>Q</w:t>
            </w:r>
            <w:r>
              <w:rPr>
                <w:rFonts w:hint="eastAsia"/>
                <w:kern w:val="0"/>
                <w:sz w:val="21"/>
                <w:szCs w:val="21"/>
              </w:rPr>
              <w:t>＝</w:t>
            </w:r>
            <w:r>
              <w:rPr>
                <w:kern w:val="0"/>
                <w:sz w:val="21"/>
                <w:szCs w:val="21"/>
              </w:rPr>
              <w:t>200 m</w:t>
            </w:r>
            <w:r>
              <w:rPr>
                <w:kern w:val="0"/>
                <w:sz w:val="21"/>
                <w:szCs w:val="21"/>
                <w:vertAlign w:val="superscript"/>
              </w:rPr>
              <w:t>3</w:t>
            </w:r>
            <w:r>
              <w:rPr>
                <w:kern w:val="0"/>
                <w:sz w:val="21"/>
                <w:szCs w:val="21"/>
              </w:rPr>
              <w:t>/h</w:t>
            </w:r>
            <w:r>
              <w:rPr>
                <w:rFonts w:hint="eastAsia"/>
                <w:kern w:val="0"/>
                <w:sz w:val="21"/>
                <w:szCs w:val="21"/>
              </w:rPr>
              <w:t>，</w:t>
            </w:r>
            <w:r>
              <w:rPr>
                <w:kern w:val="0"/>
                <w:sz w:val="21"/>
                <w:szCs w:val="21"/>
              </w:rPr>
              <w:t>H</w:t>
            </w:r>
            <w:r>
              <w:rPr>
                <w:rFonts w:hint="eastAsia"/>
                <w:kern w:val="0"/>
                <w:sz w:val="21"/>
                <w:szCs w:val="21"/>
              </w:rPr>
              <w:t>＝</w:t>
            </w:r>
            <w:r>
              <w:rPr>
                <w:kern w:val="0"/>
                <w:sz w:val="21"/>
                <w:szCs w:val="21"/>
              </w:rPr>
              <w:t>15m</w:t>
            </w:r>
            <w:r>
              <w:rPr>
                <w:rFonts w:hint="eastAsia"/>
                <w:kern w:val="0"/>
                <w:sz w:val="21"/>
                <w:szCs w:val="21"/>
              </w:rPr>
              <w:t>，</w:t>
            </w:r>
            <w:r>
              <w:rPr>
                <w:kern w:val="0"/>
                <w:sz w:val="21"/>
                <w:szCs w:val="21"/>
              </w:rPr>
              <w:t>N</w:t>
            </w:r>
            <w:r>
              <w:rPr>
                <w:rFonts w:hint="eastAsia"/>
                <w:kern w:val="0"/>
                <w:sz w:val="21"/>
                <w:szCs w:val="21"/>
              </w:rPr>
              <w:t>＝</w:t>
            </w:r>
            <w:r>
              <w:rPr>
                <w:kern w:val="0"/>
                <w:sz w:val="21"/>
                <w:szCs w:val="21"/>
              </w:rPr>
              <w:t>18.5kW</w:t>
            </w:r>
            <w:r>
              <w:rPr>
                <w:rFonts w:hint="eastAsia"/>
                <w:kern w:val="0"/>
                <w:sz w:val="21"/>
                <w:szCs w:val="21"/>
              </w:rPr>
              <w:t>。</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31</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紫外消毒器</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r>
              <w:rPr>
                <w:rFonts w:hint="eastAsia"/>
                <w:kern w:val="0"/>
                <w:sz w:val="21"/>
                <w:szCs w:val="21"/>
              </w:rPr>
              <w:t>UV</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8"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32</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污泥压滤机装置</w:t>
            </w:r>
          </w:p>
        </w:tc>
        <w:tc>
          <w:tcPr>
            <w:tcW w:w="2079" w:type="pct"/>
            <w:shd w:val="clear" w:color="auto" w:fill="auto"/>
            <w:vAlign w:val="center"/>
          </w:tcPr>
          <w:p>
            <w:pPr>
              <w:adjustRightInd w:val="0"/>
              <w:snapToGrid w:val="0"/>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33</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污泥泵</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34</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污泥传送机</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35</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流量计</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36</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在线DO仪</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6</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37</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在线pH计</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28"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38</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在线COD、氨氮测定仪</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39</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在线流量测定仪</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3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40</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轴流风机</w:t>
            </w:r>
          </w:p>
        </w:tc>
        <w:tc>
          <w:tcPr>
            <w:tcW w:w="2079"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0.37kW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9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41</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变频器</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42</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备用发电机</w:t>
            </w:r>
          </w:p>
        </w:tc>
        <w:tc>
          <w:tcPr>
            <w:tcW w:w="2079"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180kW</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kern w:val="0"/>
                <w:sz w:val="21"/>
                <w:szCs w:val="21"/>
              </w:rPr>
              <w:t>43</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管道阀门</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3</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44</w:t>
            </w:r>
          </w:p>
        </w:tc>
        <w:tc>
          <w:tcPr>
            <w:tcW w:w="1048"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电缆电气控制</w:t>
            </w:r>
          </w:p>
        </w:tc>
        <w:tc>
          <w:tcPr>
            <w:tcW w:w="2079" w:type="pct"/>
            <w:shd w:val="clear" w:color="auto" w:fill="auto"/>
            <w:vAlign w:val="center"/>
          </w:tcPr>
          <w:p>
            <w:pPr>
              <w:widowControl/>
              <w:spacing w:line="240" w:lineRule="auto"/>
              <w:ind w:firstLine="0" w:firstLineChars="0"/>
              <w:jc w:val="center"/>
              <w:rPr>
                <w:kern w:val="0"/>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5000" w:type="pct"/>
            <w:gridSpan w:val="6"/>
            <w:shd w:val="clear" w:color="auto" w:fill="auto"/>
            <w:vAlign w:val="center"/>
          </w:tcPr>
          <w:p>
            <w:pPr>
              <w:adjustRightInd w:val="0"/>
              <w:snapToGrid w:val="0"/>
              <w:spacing w:line="240" w:lineRule="auto"/>
              <w:ind w:firstLine="6746" w:firstLineChars="3200"/>
              <w:rPr>
                <w:b/>
                <w:bCs/>
                <w:kern w:val="0"/>
                <w:sz w:val="21"/>
                <w:szCs w:val="21"/>
              </w:rPr>
            </w:pPr>
            <w:r>
              <w:rPr>
                <w:b/>
                <w:bCs/>
                <w:sz w:val="21"/>
                <w:szCs w:val="21"/>
              </w:rPr>
              <w:t>中途泵站</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sz w:val="21"/>
                <w:szCs w:val="21"/>
              </w:rPr>
              <w:t>1</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sz w:val="21"/>
                <w:szCs w:val="21"/>
              </w:rPr>
              <w:t>潜污泵</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sz w:val="21"/>
                <w:szCs w:val="21"/>
              </w:rPr>
              <w:t>Q=</w:t>
            </w:r>
            <w:r>
              <w:rPr>
                <w:rFonts w:hint="eastAsia"/>
                <w:sz w:val="21"/>
                <w:szCs w:val="21"/>
              </w:rPr>
              <w:t>48</w:t>
            </w:r>
            <w:r>
              <w:rPr>
                <w:sz w:val="21"/>
                <w:szCs w:val="21"/>
              </w:rPr>
              <w:t>0m</w:t>
            </w:r>
            <w:r>
              <w:rPr>
                <w:sz w:val="21"/>
                <w:szCs w:val="21"/>
                <w:vertAlign w:val="superscript"/>
              </w:rPr>
              <w:t>3</w:t>
            </w:r>
            <w:r>
              <w:rPr>
                <w:sz w:val="21"/>
                <w:szCs w:val="21"/>
              </w:rPr>
              <w:t>/h,H=1</w:t>
            </w:r>
            <w:r>
              <w:rPr>
                <w:rFonts w:hint="eastAsia"/>
                <w:sz w:val="21"/>
                <w:szCs w:val="21"/>
              </w:rPr>
              <w:t>8</w:t>
            </w:r>
            <w:r>
              <w:rPr>
                <w:sz w:val="21"/>
                <w:szCs w:val="21"/>
              </w:rPr>
              <w:t>m</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sz w:val="21"/>
                <w:szCs w:val="21"/>
              </w:rPr>
              <w:t>2</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sz w:val="21"/>
                <w:szCs w:val="21"/>
              </w:rPr>
              <w:t>回转式</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sz w:val="21"/>
                <w:szCs w:val="21"/>
              </w:rPr>
              <w:t>B=1200mm,b=25mm</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sz w:val="21"/>
                <w:szCs w:val="21"/>
              </w:rPr>
              <w:t>3</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sz w:val="21"/>
                <w:szCs w:val="21"/>
              </w:rPr>
              <w:t>无轴螺旋输送机</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sz w:val="21"/>
                <w:szCs w:val="21"/>
              </w:rPr>
              <w:t>W=1.2m</w:t>
            </w:r>
            <w:r>
              <w:rPr>
                <w:sz w:val="21"/>
                <w:szCs w:val="21"/>
                <w:vertAlign w:val="superscript"/>
              </w:rPr>
              <w:t>3</w:t>
            </w:r>
            <w:r>
              <w:rPr>
                <w:sz w:val="21"/>
                <w:szCs w:val="21"/>
              </w:rPr>
              <w:t>/h,L=5400mm</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sz w:val="21"/>
                <w:szCs w:val="21"/>
              </w:rPr>
              <w:t>4</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sz w:val="21"/>
                <w:szCs w:val="21"/>
              </w:rPr>
              <w:t>螺旋压榨机</w:t>
            </w:r>
          </w:p>
        </w:tc>
        <w:tc>
          <w:tcPr>
            <w:tcW w:w="2079" w:type="pct"/>
            <w:shd w:val="clear" w:color="auto" w:fill="auto"/>
            <w:vAlign w:val="center"/>
          </w:tcPr>
          <w:p>
            <w:pPr>
              <w:adjustRightInd w:val="0"/>
              <w:snapToGrid w:val="0"/>
              <w:spacing w:line="240" w:lineRule="auto"/>
              <w:ind w:firstLine="0" w:firstLineChars="0"/>
              <w:jc w:val="center"/>
              <w:rPr>
                <w:sz w:val="21"/>
                <w:szCs w:val="21"/>
              </w:rPr>
            </w:pPr>
            <w:r>
              <w:rPr>
                <w:sz w:val="21"/>
                <w:szCs w:val="21"/>
              </w:rPr>
              <w:t>W=1.2m</w:t>
            </w:r>
            <w:r>
              <w:rPr>
                <w:sz w:val="21"/>
                <w:szCs w:val="21"/>
                <w:vertAlign w:val="superscript"/>
              </w:rPr>
              <w:t>3</w:t>
            </w:r>
            <w:r>
              <w:rPr>
                <w:sz w:val="21"/>
                <w:szCs w:val="21"/>
              </w:rPr>
              <w:t>/h</w:t>
            </w: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5000" w:type="pct"/>
            <w:gridSpan w:val="6"/>
            <w:shd w:val="clear" w:color="auto" w:fill="auto"/>
            <w:vAlign w:val="center"/>
          </w:tcPr>
          <w:p>
            <w:pPr>
              <w:widowControl/>
              <w:spacing w:line="240" w:lineRule="auto"/>
              <w:ind w:firstLine="0" w:firstLineChars="0"/>
              <w:jc w:val="center"/>
              <w:rPr>
                <w:b/>
                <w:bCs/>
                <w:kern w:val="0"/>
                <w:sz w:val="21"/>
                <w:szCs w:val="21"/>
              </w:rPr>
            </w:pPr>
            <w:r>
              <w:rPr>
                <w:rFonts w:hint="eastAsia"/>
                <w:b/>
                <w:bCs/>
                <w:kern w:val="0"/>
                <w:sz w:val="21"/>
                <w:szCs w:val="21"/>
              </w:rPr>
              <w:t>提升改造新增设备</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排泥泵</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5</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调节池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2</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潜水推流器</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6</w:t>
            </w:r>
          </w:p>
        </w:tc>
        <w:tc>
          <w:tcPr>
            <w:tcW w:w="460" w:type="pct"/>
            <w:vMerge w:val="restar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A段好氧池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3</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混合液回流泵</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8</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4</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ORP仪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5</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DO仪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6</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搅拌机</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8</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7</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填料</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vertAlign w:val="superscript"/>
              </w:rPr>
            </w:pPr>
            <w:r>
              <w:rPr>
                <w:rFonts w:hint="eastAsia"/>
                <w:smallCaps w:val="0"/>
                <w:kern w:val="0"/>
                <w:sz w:val="21"/>
                <w:szCs w:val="21"/>
              </w:rPr>
              <w:t>m</w:t>
            </w:r>
            <w:r>
              <w:rPr>
                <w:rFonts w:hint="eastAsia"/>
                <w:smallCaps w:val="0"/>
                <w:kern w:val="0"/>
                <w:sz w:val="21"/>
                <w:szCs w:val="21"/>
                <w:vertAlign w:val="superscript"/>
              </w:rPr>
              <w:t>2</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2250</w:t>
            </w:r>
          </w:p>
        </w:tc>
        <w:tc>
          <w:tcPr>
            <w:tcW w:w="460" w:type="pct"/>
            <w:vMerge w:val="restar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高效生物滤池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8</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曝气系统</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2930</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9</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ORP仪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10</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DO仪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12</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碳源投加装置</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12</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反冲洗水泵</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5</w:t>
            </w:r>
          </w:p>
        </w:tc>
        <w:tc>
          <w:tcPr>
            <w:tcW w:w="460" w:type="pct"/>
            <w:vMerge w:val="continue"/>
            <w:shd w:val="clear" w:color="auto" w:fill="auto"/>
            <w:vAlign w:val="center"/>
          </w:tcPr>
          <w:p>
            <w:pPr>
              <w:widowControl/>
              <w:spacing w:line="240" w:lineRule="auto"/>
              <w:ind w:firstLine="0" w:firstLineChars="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13</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风机</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3</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（2用1备）</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14</w:t>
            </w:r>
          </w:p>
        </w:tc>
        <w:tc>
          <w:tcPr>
            <w:tcW w:w="1048"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碳源投加装置</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UASB</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15</w:t>
            </w:r>
          </w:p>
        </w:tc>
        <w:tc>
          <w:tcPr>
            <w:tcW w:w="1048" w:type="pct"/>
            <w:shd w:val="clear" w:color="auto" w:fill="auto"/>
            <w:vAlign w:val="center"/>
          </w:tcPr>
          <w:p>
            <w:pPr>
              <w:adjustRightInd w:val="0"/>
              <w:snapToGrid w:val="0"/>
              <w:spacing w:line="240" w:lineRule="auto"/>
              <w:ind w:firstLine="0" w:firstLineChars="0"/>
              <w:rPr>
                <w:sz w:val="21"/>
                <w:szCs w:val="21"/>
              </w:rPr>
            </w:pPr>
            <w:r>
              <w:rPr>
                <w:rFonts w:hint="eastAsia"/>
                <w:sz w:val="21"/>
                <w:szCs w:val="21"/>
              </w:rPr>
              <w:t>环保型符合氧化剂储罐</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个</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加药库房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16</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COD在线监测仪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格栅井</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17</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COD在线监测仪</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套</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流量计井</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18</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气动隔膜泵</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4</w:t>
            </w:r>
          </w:p>
        </w:tc>
        <w:tc>
          <w:tcPr>
            <w:tcW w:w="46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储泥池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19</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隔膜式高压板框机</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2</w:t>
            </w:r>
          </w:p>
        </w:tc>
        <w:tc>
          <w:tcPr>
            <w:tcW w:w="460" w:type="pct"/>
            <w:shd w:val="clear" w:color="auto" w:fill="auto"/>
            <w:vAlign w:val="center"/>
          </w:tcPr>
          <w:p>
            <w:pPr>
              <w:widowControl/>
              <w:spacing w:line="240" w:lineRule="auto"/>
              <w:ind w:firstLine="0" w:firstLineChars="0"/>
              <w:rPr>
                <w:kern w:val="0"/>
                <w:sz w:val="21"/>
                <w:szCs w:val="21"/>
              </w:rPr>
            </w:pPr>
            <w:r>
              <w:rPr>
                <w:rFonts w:hint="eastAsia"/>
                <w:kern w:val="0"/>
                <w:sz w:val="21"/>
                <w:szCs w:val="21"/>
              </w:rPr>
              <w:t>污泥脱水机房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20</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机械叉车</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vMerge w:val="restart"/>
            <w:shd w:val="clear" w:color="auto" w:fill="auto"/>
            <w:vAlign w:val="center"/>
          </w:tcPr>
          <w:p>
            <w:pPr>
              <w:widowControl/>
              <w:spacing w:line="240" w:lineRule="auto"/>
              <w:ind w:firstLine="0" w:firstLineChars="0"/>
              <w:rPr>
                <w:kern w:val="0"/>
                <w:sz w:val="21"/>
                <w:szCs w:val="21"/>
              </w:rPr>
            </w:pPr>
            <w:r>
              <w:rPr>
                <w:rFonts w:hint="eastAsia"/>
                <w:kern w:val="0"/>
                <w:sz w:val="21"/>
                <w:szCs w:val="21"/>
              </w:rPr>
              <w:t>污泥库房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szCs w:val="21"/>
              </w:rPr>
            </w:pPr>
            <w:r>
              <w:rPr>
                <w:rFonts w:hint="eastAsia"/>
                <w:sz w:val="21"/>
                <w:szCs w:val="21"/>
              </w:rPr>
              <w:t>21</w:t>
            </w:r>
          </w:p>
        </w:tc>
        <w:tc>
          <w:tcPr>
            <w:tcW w:w="1048" w:type="pct"/>
            <w:shd w:val="clear" w:color="auto" w:fill="auto"/>
            <w:vAlign w:val="center"/>
          </w:tcPr>
          <w:p>
            <w:pPr>
              <w:adjustRightInd w:val="0"/>
              <w:snapToGrid w:val="0"/>
              <w:spacing w:line="240" w:lineRule="auto"/>
              <w:ind w:firstLine="420"/>
              <w:rPr>
                <w:sz w:val="21"/>
                <w:szCs w:val="21"/>
              </w:rPr>
            </w:pPr>
            <w:r>
              <w:rPr>
                <w:rFonts w:hint="eastAsia"/>
                <w:sz w:val="21"/>
                <w:szCs w:val="21"/>
              </w:rPr>
              <w:t>电动葫芦</w:t>
            </w:r>
          </w:p>
        </w:tc>
        <w:tc>
          <w:tcPr>
            <w:tcW w:w="2079" w:type="pct"/>
            <w:shd w:val="clear" w:color="auto" w:fill="auto"/>
            <w:vAlign w:val="center"/>
          </w:tcPr>
          <w:p>
            <w:pPr>
              <w:adjustRightInd w:val="0"/>
              <w:snapToGrid w:val="0"/>
              <w:spacing w:line="240" w:lineRule="auto"/>
              <w:ind w:firstLine="0" w:firstLineChars="0"/>
              <w:jc w:val="center"/>
              <w:rPr>
                <w:sz w:val="21"/>
                <w:szCs w:val="21"/>
              </w:rPr>
            </w:pPr>
          </w:p>
        </w:tc>
        <w:tc>
          <w:tcPr>
            <w:tcW w:w="516"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台</w:t>
            </w:r>
          </w:p>
        </w:tc>
        <w:tc>
          <w:tcPr>
            <w:tcW w:w="450" w:type="pct"/>
            <w:shd w:val="clear" w:color="auto" w:fill="auto"/>
            <w:vAlign w:val="center"/>
          </w:tcPr>
          <w:p>
            <w:pPr>
              <w:widowControl/>
              <w:spacing w:line="240" w:lineRule="auto"/>
              <w:ind w:firstLine="0" w:firstLineChars="0"/>
              <w:jc w:val="center"/>
              <w:rPr>
                <w:kern w:val="0"/>
                <w:sz w:val="21"/>
                <w:szCs w:val="21"/>
              </w:rPr>
            </w:pPr>
            <w:r>
              <w:rPr>
                <w:rFonts w:hint="eastAsia"/>
                <w:kern w:val="0"/>
                <w:sz w:val="21"/>
                <w:szCs w:val="21"/>
              </w:rPr>
              <w:t>1</w:t>
            </w:r>
          </w:p>
        </w:tc>
        <w:tc>
          <w:tcPr>
            <w:tcW w:w="460" w:type="pct"/>
            <w:vMerge w:val="continue"/>
            <w:shd w:val="clear" w:color="auto" w:fill="auto"/>
            <w:vAlign w:val="center"/>
          </w:tcPr>
          <w:p>
            <w:pPr>
              <w:widowControl/>
              <w:spacing w:line="240" w:lineRule="auto"/>
              <w:ind w:firstLine="0" w:firstLineChars="0"/>
              <w:rPr>
                <w:b/>
                <w:bCs/>
                <w:kern w:val="0"/>
                <w:sz w:val="21"/>
                <w:szCs w:val="21"/>
              </w:rPr>
            </w:pPr>
          </w:p>
        </w:tc>
      </w:tr>
    </w:tbl>
    <w:p>
      <w:pPr>
        <w:pStyle w:val="19"/>
        <w:tabs>
          <w:tab w:val="center" w:pos="4153"/>
          <w:tab w:val="left" w:pos="6845"/>
        </w:tabs>
        <w:spacing w:line="360" w:lineRule="auto"/>
        <w:jc w:val="both"/>
        <w:rPr>
          <w:b/>
          <w:bCs/>
        </w:rPr>
        <w:sectPr>
          <w:pgSz w:w="16838" w:h="11906" w:orient="landscape"/>
          <w:pgMar w:top="1800" w:right="1440" w:bottom="1800" w:left="1440" w:header="851" w:footer="992" w:gutter="0"/>
          <w:cols w:space="425" w:num="1"/>
          <w:docGrid w:type="lines" w:linePitch="312" w:charSpace="0"/>
        </w:sectPr>
      </w:pPr>
      <w:r>
        <w:rPr>
          <w:rFonts w:hint="eastAsia"/>
          <w:b/>
          <w:bCs/>
        </w:rPr>
        <w:t xml:space="preserve"> </w:t>
      </w:r>
    </w:p>
    <w:p>
      <w:pPr>
        <w:pStyle w:val="19"/>
        <w:tabs>
          <w:tab w:val="center" w:pos="4153"/>
          <w:tab w:val="left" w:pos="6845"/>
        </w:tabs>
        <w:spacing w:line="360" w:lineRule="auto"/>
        <w:ind w:firstLine="482" w:firstLineChars="200"/>
        <w:jc w:val="both"/>
        <w:rPr>
          <w:b/>
          <w:bCs/>
        </w:rPr>
      </w:pPr>
      <w:r>
        <w:rPr>
          <w:rFonts w:hint="eastAsia"/>
          <w:b/>
          <w:bCs/>
        </w:rPr>
        <w:t>3.1.3主要原辅料及理化性质</w:t>
      </w:r>
    </w:p>
    <w:p>
      <w:pPr>
        <w:pStyle w:val="19"/>
        <w:tabs>
          <w:tab w:val="center" w:pos="4153"/>
          <w:tab w:val="left" w:pos="6845"/>
        </w:tabs>
        <w:spacing w:line="360" w:lineRule="auto"/>
        <w:ind w:firstLine="480" w:firstLineChars="200"/>
        <w:jc w:val="both"/>
      </w:pPr>
      <w:r>
        <w:rPr>
          <w:rFonts w:hint="eastAsia"/>
        </w:rPr>
        <w:t>本项目工业园污水处理厂生产过程中使用的主要原辅料用量及理化性质情况详细见表</w:t>
      </w:r>
    </w:p>
    <w:p>
      <w:pPr>
        <w:pStyle w:val="19"/>
        <w:tabs>
          <w:tab w:val="center" w:pos="4153"/>
          <w:tab w:val="left" w:pos="6845"/>
        </w:tabs>
        <w:spacing w:line="360" w:lineRule="auto"/>
      </w:pPr>
      <w:r>
        <w:rPr>
          <w:rFonts w:hint="eastAsia"/>
          <w:b/>
          <w:bCs/>
        </w:rPr>
        <w:t>表3-4 原辅料年用量及存储量一览表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46"/>
        <w:gridCol w:w="1946"/>
        <w:gridCol w:w="1946"/>
        <w:gridCol w:w="1948"/>
        <w:gridCol w:w="19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b/>
                <w:bCs/>
                <w:sz w:val="21"/>
                <w:szCs w:val="21"/>
              </w:rPr>
            </w:pPr>
            <w:r>
              <w:rPr>
                <w:rFonts w:hint="eastAsia"/>
                <w:b/>
                <w:bCs/>
                <w:sz w:val="21"/>
                <w:szCs w:val="21"/>
              </w:rPr>
              <w:t>序号</w:t>
            </w:r>
          </w:p>
        </w:tc>
        <w:tc>
          <w:tcPr>
            <w:tcW w:w="999" w:type="pct"/>
          </w:tcPr>
          <w:p>
            <w:pPr>
              <w:pStyle w:val="19"/>
              <w:tabs>
                <w:tab w:val="center" w:pos="4153"/>
                <w:tab w:val="left" w:pos="6845"/>
              </w:tabs>
              <w:rPr>
                <w:b/>
                <w:bCs/>
                <w:sz w:val="21"/>
                <w:szCs w:val="21"/>
              </w:rPr>
            </w:pPr>
            <w:r>
              <w:rPr>
                <w:rFonts w:hint="eastAsia"/>
                <w:b/>
                <w:bCs/>
                <w:sz w:val="21"/>
                <w:szCs w:val="21"/>
              </w:rPr>
              <w:t>名称</w:t>
            </w:r>
          </w:p>
        </w:tc>
        <w:tc>
          <w:tcPr>
            <w:tcW w:w="999" w:type="pct"/>
          </w:tcPr>
          <w:p>
            <w:pPr>
              <w:pStyle w:val="19"/>
              <w:tabs>
                <w:tab w:val="center" w:pos="4153"/>
                <w:tab w:val="left" w:pos="6845"/>
              </w:tabs>
              <w:rPr>
                <w:rFonts w:ascii="Times New Roman" w:hAnsi="Times New Roman" w:cs="Times New Roman"/>
                <w:b/>
                <w:bCs/>
                <w:smallCaps w:val="0"/>
                <w:sz w:val="21"/>
                <w:szCs w:val="21"/>
              </w:rPr>
            </w:pPr>
            <w:r>
              <w:rPr>
                <w:rFonts w:ascii="Times New Roman" w:hAnsi="Times New Roman" w:cs="Times New Roman"/>
                <w:b/>
                <w:bCs/>
                <w:smallCaps w:val="0"/>
                <w:sz w:val="21"/>
                <w:szCs w:val="21"/>
              </w:rPr>
              <w:t>年投加量（t/a）</w:t>
            </w:r>
          </w:p>
        </w:tc>
        <w:tc>
          <w:tcPr>
            <w:tcW w:w="1000" w:type="pct"/>
          </w:tcPr>
          <w:p>
            <w:pPr>
              <w:pStyle w:val="19"/>
              <w:tabs>
                <w:tab w:val="center" w:pos="4153"/>
                <w:tab w:val="left" w:pos="6845"/>
              </w:tabs>
              <w:rPr>
                <w:rFonts w:ascii="Times New Roman" w:hAnsi="Times New Roman" w:cs="Times New Roman"/>
                <w:b/>
                <w:bCs/>
                <w:smallCaps w:val="0"/>
                <w:sz w:val="21"/>
                <w:szCs w:val="21"/>
              </w:rPr>
            </w:pPr>
            <w:r>
              <w:rPr>
                <w:rFonts w:ascii="Times New Roman" w:hAnsi="Times New Roman" w:cs="Times New Roman"/>
                <w:b/>
                <w:bCs/>
                <w:smallCaps w:val="0"/>
                <w:sz w:val="21"/>
                <w:szCs w:val="21"/>
              </w:rPr>
              <w:t>最大存储量(t)</w:t>
            </w:r>
          </w:p>
        </w:tc>
        <w:tc>
          <w:tcPr>
            <w:tcW w:w="1000" w:type="pct"/>
          </w:tcPr>
          <w:p>
            <w:pPr>
              <w:pStyle w:val="19"/>
              <w:tabs>
                <w:tab w:val="center" w:pos="4153"/>
                <w:tab w:val="left" w:pos="6845"/>
              </w:tabs>
              <w:rPr>
                <w:b/>
                <w:bCs/>
                <w:sz w:val="21"/>
                <w:szCs w:val="21"/>
              </w:rPr>
            </w:pPr>
            <w:r>
              <w:rPr>
                <w:rFonts w:hint="eastAsia"/>
                <w:b/>
                <w:bCs/>
                <w:sz w:val="21"/>
                <w:szCs w:val="21"/>
              </w:rPr>
              <w:t xml:space="preserve">备注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1</w:t>
            </w:r>
          </w:p>
        </w:tc>
        <w:tc>
          <w:tcPr>
            <w:tcW w:w="999" w:type="pct"/>
          </w:tcPr>
          <w:p>
            <w:pPr>
              <w:pStyle w:val="19"/>
              <w:tabs>
                <w:tab w:val="center" w:pos="4153"/>
                <w:tab w:val="left" w:pos="6845"/>
              </w:tabs>
              <w:rPr>
                <w:smallCaps w:val="0"/>
                <w:sz w:val="21"/>
                <w:szCs w:val="21"/>
              </w:rPr>
            </w:pPr>
            <w:r>
              <w:rPr>
                <w:rFonts w:hint="eastAsia"/>
                <w:smallCaps w:val="0"/>
                <w:sz w:val="21"/>
                <w:szCs w:val="21"/>
              </w:rPr>
              <w:t>氢氧化钠</w:t>
            </w:r>
          </w:p>
        </w:tc>
        <w:tc>
          <w:tcPr>
            <w:tcW w:w="999" w:type="pct"/>
          </w:tcPr>
          <w:p>
            <w:pPr>
              <w:pStyle w:val="19"/>
              <w:tabs>
                <w:tab w:val="center" w:pos="4153"/>
                <w:tab w:val="left" w:pos="6845"/>
              </w:tabs>
              <w:rPr>
                <w:smallCaps w:val="0"/>
                <w:sz w:val="21"/>
                <w:szCs w:val="21"/>
              </w:rPr>
            </w:pPr>
            <w:r>
              <w:rPr>
                <w:rFonts w:hint="eastAsia"/>
                <w:smallCaps w:val="0"/>
                <w:sz w:val="21"/>
                <w:szCs w:val="21"/>
              </w:rPr>
              <w:t>11411.11</w:t>
            </w:r>
          </w:p>
        </w:tc>
        <w:tc>
          <w:tcPr>
            <w:tcW w:w="1000" w:type="pct"/>
          </w:tcPr>
          <w:p>
            <w:pPr>
              <w:pStyle w:val="19"/>
              <w:tabs>
                <w:tab w:val="center" w:pos="4153"/>
                <w:tab w:val="left" w:pos="6845"/>
              </w:tabs>
              <w:rPr>
                <w:smallCaps w:val="0"/>
                <w:sz w:val="21"/>
                <w:szCs w:val="21"/>
              </w:rPr>
            </w:pPr>
            <w:r>
              <w:rPr>
                <w:rFonts w:hint="eastAsia"/>
                <w:smallCaps w:val="0"/>
                <w:sz w:val="21"/>
                <w:szCs w:val="21"/>
              </w:rPr>
              <w:t>15</w:t>
            </w:r>
          </w:p>
        </w:tc>
        <w:tc>
          <w:tcPr>
            <w:tcW w:w="1000" w:type="pct"/>
          </w:tcPr>
          <w:p>
            <w:pPr>
              <w:pStyle w:val="19"/>
              <w:tabs>
                <w:tab w:val="center" w:pos="4153"/>
                <w:tab w:val="left" w:pos="6845"/>
              </w:tabs>
              <w:rPr>
                <w:smallCaps w:val="0"/>
                <w:sz w:val="21"/>
                <w:szCs w:val="21"/>
              </w:rPr>
            </w:pPr>
            <w:r>
              <w:rPr>
                <w:rFonts w:hint="eastAsia"/>
                <w:smallCaps w:val="0"/>
                <w:sz w:val="21"/>
                <w:szCs w:val="21"/>
              </w:rPr>
              <w:t>7.3kg/吨废水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2</w:t>
            </w:r>
          </w:p>
        </w:tc>
        <w:tc>
          <w:tcPr>
            <w:tcW w:w="999" w:type="pct"/>
          </w:tcPr>
          <w:p>
            <w:pPr>
              <w:pStyle w:val="19"/>
              <w:tabs>
                <w:tab w:val="center" w:pos="4153"/>
                <w:tab w:val="left" w:pos="6845"/>
              </w:tabs>
              <w:rPr>
                <w:smallCaps w:val="0"/>
                <w:sz w:val="21"/>
                <w:szCs w:val="21"/>
              </w:rPr>
            </w:pPr>
            <w:r>
              <w:rPr>
                <w:rFonts w:hint="eastAsia"/>
                <w:smallCaps w:val="0"/>
                <w:sz w:val="21"/>
                <w:szCs w:val="21"/>
              </w:rPr>
              <w:t>葡萄糖</w:t>
            </w:r>
          </w:p>
        </w:tc>
        <w:tc>
          <w:tcPr>
            <w:tcW w:w="999" w:type="pct"/>
          </w:tcPr>
          <w:p>
            <w:pPr>
              <w:pStyle w:val="19"/>
              <w:tabs>
                <w:tab w:val="center" w:pos="4153"/>
                <w:tab w:val="left" w:pos="6845"/>
              </w:tabs>
              <w:rPr>
                <w:smallCaps w:val="0"/>
                <w:sz w:val="21"/>
                <w:szCs w:val="21"/>
              </w:rPr>
            </w:pPr>
            <w:r>
              <w:rPr>
                <w:rFonts w:hint="eastAsia"/>
                <w:smallCaps w:val="0"/>
                <w:sz w:val="21"/>
                <w:szCs w:val="21"/>
              </w:rPr>
              <w:t>4341.67</w:t>
            </w:r>
          </w:p>
        </w:tc>
        <w:tc>
          <w:tcPr>
            <w:tcW w:w="1000" w:type="pct"/>
          </w:tcPr>
          <w:p>
            <w:pPr>
              <w:pStyle w:val="19"/>
              <w:tabs>
                <w:tab w:val="center" w:pos="4153"/>
                <w:tab w:val="left" w:pos="6845"/>
              </w:tabs>
              <w:rPr>
                <w:smallCaps w:val="0"/>
                <w:sz w:val="21"/>
                <w:szCs w:val="21"/>
              </w:rPr>
            </w:pPr>
            <w:r>
              <w:rPr>
                <w:rFonts w:hint="eastAsia"/>
                <w:smallCaps w:val="0"/>
                <w:sz w:val="21"/>
                <w:szCs w:val="21"/>
              </w:rPr>
              <w:t>20</w:t>
            </w:r>
          </w:p>
        </w:tc>
        <w:tc>
          <w:tcPr>
            <w:tcW w:w="1000" w:type="pct"/>
          </w:tcPr>
          <w:p>
            <w:pPr>
              <w:pStyle w:val="19"/>
              <w:tabs>
                <w:tab w:val="center" w:pos="4153"/>
                <w:tab w:val="left" w:pos="6845"/>
              </w:tabs>
              <w:rPr>
                <w:smallCaps w:val="0"/>
                <w:sz w:val="21"/>
                <w:szCs w:val="21"/>
              </w:rPr>
            </w:pPr>
            <w:r>
              <w:rPr>
                <w:rFonts w:hint="eastAsia"/>
                <w:smallCaps w:val="0"/>
                <w:sz w:val="21"/>
                <w:szCs w:val="21"/>
              </w:rPr>
              <w:t>2.7kg/吨废水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3</w:t>
            </w:r>
          </w:p>
        </w:tc>
        <w:tc>
          <w:tcPr>
            <w:tcW w:w="999" w:type="pct"/>
          </w:tcPr>
          <w:p>
            <w:pPr>
              <w:pStyle w:val="19"/>
              <w:tabs>
                <w:tab w:val="center" w:pos="4153"/>
                <w:tab w:val="left" w:pos="6845"/>
              </w:tabs>
              <w:rPr>
                <w:smallCaps w:val="0"/>
                <w:sz w:val="21"/>
                <w:szCs w:val="21"/>
              </w:rPr>
            </w:pPr>
            <w:r>
              <w:rPr>
                <w:rFonts w:hint="eastAsia"/>
                <w:smallCaps w:val="0"/>
                <w:sz w:val="21"/>
                <w:szCs w:val="21"/>
              </w:rPr>
              <w:t>硫酸</w:t>
            </w:r>
          </w:p>
        </w:tc>
        <w:tc>
          <w:tcPr>
            <w:tcW w:w="999" w:type="pct"/>
          </w:tcPr>
          <w:p>
            <w:pPr>
              <w:pStyle w:val="19"/>
              <w:tabs>
                <w:tab w:val="center" w:pos="4153"/>
                <w:tab w:val="left" w:pos="6845"/>
              </w:tabs>
              <w:rPr>
                <w:smallCaps w:val="0"/>
                <w:sz w:val="21"/>
                <w:szCs w:val="21"/>
              </w:rPr>
            </w:pPr>
            <w:r>
              <w:rPr>
                <w:rFonts w:hint="eastAsia"/>
                <w:smallCaps w:val="0"/>
                <w:sz w:val="21"/>
                <w:szCs w:val="21"/>
              </w:rPr>
              <w:t>13064.44</w:t>
            </w:r>
          </w:p>
        </w:tc>
        <w:tc>
          <w:tcPr>
            <w:tcW w:w="1000" w:type="pct"/>
          </w:tcPr>
          <w:p>
            <w:pPr>
              <w:pStyle w:val="19"/>
              <w:tabs>
                <w:tab w:val="center" w:pos="4153"/>
                <w:tab w:val="left" w:pos="6845"/>
              </w:tabs>
              <w:rPr>
                <w:smallCaps w:val="0"/>
                <w:sz w:val="21"/>
                <w:szCs w:val="21"/>
              </w:rPr>
            </w:pPr>
            <w:r>
              <w:rPr>
                <w:rFonts w:hint="eastAsia"/>
                <w:smallCaps w:val="0"/>
                <w:sz w:val="21"/>
                <w:szCs w:val="21"/>
              </w:rPr>
              <w:t>30</w:t>
            </w:r>
          </w:p>
        </w:tc>
        <w:tc>
          <w:tcPr>
            <w:tcW w:w="1000" w:type="pct"/>
          </w:tcPr>
          <w:p>
            <w:pPr>
              <w:pStyle w:val="19"/>
              <w:tabs>
                <w:tab w:val="center" w:pos="4153"/>
                <w:tab w:val="left" w:pos="6845"/>
              </w:tabs>
              <w:rPr>
                <w:smallCaps w:val="0"/>
                <w:sz w:val="21"/>
                <w:szCs w:val="21"/>
              </w:rPr>
            </w:pPr>
            <w:r>
              <w:rPr>
                <w:rFonts w:hint="eastAsia"/>
                <w:smallCaps w:val="0"/>
                <w:sz w:val="21"/>
                <w:szCs w:val="21"/>
              </w:rPr>
              <w:t>8.3kg/吨废水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4</w:t>
            </w:r>
          </w:p>
        </w:tc>
        <w:tc>
          <w:tcPr>
            <w:tcW w:w="999" w:type="pct"/>
          </w:tcPr>
          <w:p>
            <w:pPr>
              <w:pStyle w:val="19"/>
              <w:tabs>
                <w:tab w:val="center" w:pos="4153"/>
                <w:tab w:val="left" w:pos="6845"/>
              </w:tabs>
              <w:rPr>
                <w:smallCaps w:val="0"/>
                <w:sz w:val="21"/>
                <w:szCs w:val="21"/>
              </w:rPr>
            </w:pPr>
            <w:r>
              <w:rPr>
                <w:rFonts w:hint="eastAsia"/>
                <w:smallCaps w:val="0"/>
                <w:sz w:val="21"/>
                <w:szCs w:val="21"/>
              </w:rPr>
              <w:t>双氧水</w:t>
            </w:r>
          </w:p>
        </w:tc>
        <w:tc>
          <w:tcPr>
            <w:tcW w:w="999" w:type="pct"/>
          </w:tcPr>
          <w:p>
            <w:pPr>
              <w:pStyle w:val="19"/>
              <w:tabs>
                <w:tab w:val="center" w:pos="4153"/>
                <w:tab w:val="left" w:pos="6845"/>
              </w:tabs>
              <w:rPr>
                <w:smallCaps w:val="0"/>
                <w:sz w:val="21"/>
                <w:szCs w:val="21"/>
              </w:rPr>
            </w:pPr>
            <w:r>
              <w:rPr>
                <w:rFonts w:hint="eastAsia"/>
                <w:smallCaps w:val="0"/>
                <w:sz w:val="21"/>
                <w:szCs w:val="21"/>
              </w:rPr>
              <w:t>10335.56</w:t>
            </w:r>
          </w:p>
        </w:tc>
        <w:tc>
          <w:tcPr>
            <w:tcW w:w="1000" w:type="pct"/>
          </w:tcPr>
          <w:p>
            <w:pPr>
              <w:pStyle w:val="19"/>
              <w:tabs>
                <w:tab w:val="center" w:pos="4153"/>
                <w:tab w:val="left" w:pos="6845"/>
              </w:tabs>
              <w:rPr>
                <w:smallCaps w:val="0"/>
                <w:sz w:val="21"/>
                <w:szCs w:val="21"/>
              </w:rPr>
            </w:pPr>
            <w:r>
              <w:rPr>
                <w:rFonts w:hint="eastAsia"/>
                <w:smallCaps w:val="0"/>
                <w:sz w:val="21"/>
                <w:szCs w:val="21"/>
              </w:rPr>
              <w:t>20</w:t>
            </w:r>
          </w:p>
        </w:tc>
        <w:tc>
          <w:tcPr>
            <w:tcW w:w="1000" w:type="pct"/>
          </w:tcPr>
          <w:p>
            <w:pPr>
              <w:pStyle w:val="19"/>
              <w:tabs>
                <w:tab w:val="center" w:pos="4153"/>
                <w:tab w:val="left" w:pos="6845"/>
              </w:tabs>
              <w:rPr>
                <w:smallCaps w:val="0"/>
                <w:sz w:val="21"/>
                <w:szCs w:val="21"/>
              </w:rPr>
            </w:pPr>
            <w:r>
              <w:rPr>
                <w:rFonts w:hint="eastAsia"/>
                <w:smallCaps w:val="0"/>
                <w:sz w:val="21"/>
                <w:szCs w:val="21"/>
              </w:rPr>
              <w:t>6.6kg/吨废水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5</w:t>
            </w:r>
          </w:p>
        </w:tc>
        <w:tc>
          <w:tcPr>
            <w:tcW w:w="999" w:type="pct"/>
          </w:tcPr>
          <w:p>
            <w:pPr>
              <w:pStyle w:val="19"/>
              <w:tabs>
                <w:tab w:val="center" w:pos="4153"/>
                <w:tab w:val="left" w:pos="6845"/>
              </w:tabs>
              <w:rPr>
                <w:smallCaps w:val="0"/>
                <w:sz w:val="21"/>
                <w:szCs w:val="21"/>
              </w:rPr>
            </w:pPr>
            <w:r>
              <w:rPr>
                <w:rFonts w:hint="eastAsia"/>
                <w:smallCaps w:val="0"/>
                <w:sz w:val="21"/>
                <w:szCs w:val="21"/>
              </w:rPr>
              <w:t>PAM</w:t>
            </w:r>
          </w:p>
        </w:tc>
        <w:tc>
          <w:tcPr>
            <w:tcW w:w="999" w:type="pct"/>
          </w:tcPr>
          <w:p>
            <w:pPr>
              <w:pStyle w:val="19"/>
              <w:tabs>
                <w:tab w:val="center" w:pos="4153"/>
                <w:tab w:val="left" w:pos="6845"/>
              </w:tabs>
              <w:rPr>
                <w:smallCaps w:val="0"/>
                <w:sz w:val="21"/>
                <w:szCs w:val="21"/>
              </w:rPr>
            </w:pPr>
            <w:r>
              <w:rPr>
                <w:rFonts w:hint="eastAsia"/>
                <w:smallCaps w:val="0"/>
                <w:sz w:val="21"/>
                <w:szCs w:val="21"/>
              </w:rPr>
              <w:t>302.8</w:t>
            </w:r>
          </w:p>
        </w:tc>
        <w:tc>
          <w:tcPr>
            <w:tcW w:w="1000" w:type="pct"/>
          </w:tcPr>
          <w:p>
            <w:pPr>
              <w:pStyle w:val="19"/>
              <w:tabs>
                <w:tab w:val="center" w:pos="4153"/>
                <w:tab w:val="left" w:pos="6845"/>
              </w:tabs>
              <w:rPr>
                <w:smallCaps w:val="0"/>
                <w:sz w:val="21"/>
                <w:szCs w:val="21"/>
              </w:rPr>
            </w:pPr>
            <w:r>
              <w:rPr>
                <w:rFonts w:hint="eastAsia"/>
                <w:smallCaps w:val="0"/>
                <w:sz w:val="21"/>
                <w:szCs w:val="21"/>
              </w:rPr>
              <w:t>10</w:t>
            </w:r>
          </w:p>
        </w:tc>
        <w:tc>
          <w:tcPr>
            <w:tcW w:w="1000" w:type="pct"/>
          </w:tcPr>
          <w:p>
            <w:pPr>
              <w:pStyle w:val="19"/>
              <w:tabs>
                <w:tab w:val="center" w:pos="4153"/>
                <w:tab w:val="left" w:pos="6845"/>
              </w:tabs>
              <w:rPr>
                <w:smallCaps w:val="0"/>
                <w:sz w:val="21"/>
                <w:szCs w:val="21"/>
              </w:rPr>
            </w:pPr>
            <w:r>
              <w:rPr>
                <w:rFonts w:hint="eastAsia"/>
                <w:smallCaps w:val="0"/>
                <w:sz w:val="21"/>
                <w:szCs w:val="21"/>
              </w:rPr>
              <w:t>0.2kg/吨废水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6</w:t>
            </w:r>
          </w:p>
        </w:tc>
        <w:tc>
          <w:tcPr>
            <w:tcW w:w="999" w:type="pct"/>
          </w:tcPr>
          <w:p>
            <w:pPr>
              <w:pStyle w:val="19"/>
              <w:tabs>
                <w:tab w:val="center" w:pos="4153"/>
                <w:tab w:val="left" w:pos="6845"/>
              </w:tabs>
              <w:rPr>
                <w:smallCaps w:val="0"/>
                <w:sz w:val="21"/>
                <w:szCs w:val="21"/>
              </w:rPr>
            </w:pPr>
            <w:r>
              <w:rPr>
                <w:rFonts w:hint="eastAsia"/>
                <w:smallCaps w:val="0"/>
                <w:sz w:val="21"/>
                <w:szCs w:val="21"/>
              </w:rPr>
              <w:t>PAC</w:t>
            </w:r>
          </w:p>
        </w:tc>
        <w:tc>
          <w:tcPr>
            <w:tcW w:w="999" w:type="pct"/>
          </w:tcPr>
          <w:p>
            <w:pPr>
              <w:pStyle w:val="19"/>
              <w:tabs>
                <w:tab w:val="center" w:pos="4153"/>
                <w:tab w:val="left" w:pos="6845"/>
              </w:tabs>
              <w:rPr>
                <w:smallCaps w:val="0"/>
                <w:sz w:val="21"/>
                <w:szCs w:val="21"/>
              </w:rPr>
            </w:pPr>
            <w:r>
              <w:rPr>
                <w:rFonts w:hint="eastAsia"/>
                <w:smallCaps w:val="0"/>
                <w:sz w:val="21"/>
                <w:szCs w:val="21"/>
              </w:rPr>
              <w:t>25</w:t>
            </w:r>
          </w:p>
        </w:tc>
        <w:tc>
          <w:tcPr>
            <w:tcW w:w="1000" w:type="pct"/>
          </w:tcPr>
          <w:p>
            <w:pPr>
              <w:pStyle w:val="19"/>
              <w:tabs>
                <w:tab w:val="center" w:pos="4153"/>
                <w:tab w:val="left" w:pos="6845"/>
              </w:tabs>
              <w:rPr>
                <w:smallCaps w:val="0"/>
                <w:sz w:val="21"/>
                <w:szCs w:val="21"/>
              </w:rPr>
            </w:pPr>
            <w:r>
              <w:rPr>
                <w:rFonts w:hint="eastAsia"/>
                <w:smallCaps w:val="0"/>
                <w:sz w:val="21"/>
                <w:szCs w:val="21"/>
              </w:rPr>
              <w:t>15</w:t>
            </w:r>
          </w:p>
        </w:tc>
        <w:tc>
          <w:tcPr>
            <w:tcW w:w="1000" w:type="pct"/>
          </w:tcPr>
          <w:p>
            <w:pPr>
              <w:pStyle w:val="19"/>
              <w:tabs>
                <w:tab w:val="center" w:pos="4153"/>
                <w:tab w:val="left" w:pos="6845"/>
              </w:tabs>
              <w:rPr>
                <w:smallCaps w:val="0"/>
                <w:sz w:val="21"/>
                <w:szCs w:val="21"/>
              </w:rPr>
            </w:pPr>
            <w:r>
              <w:rPr>
                <w:rFonts w:hint="eastAsia"/>
                <w:smallCaps w:val="0"/>
                <w:sz w:val="21"/>
                <w:szCs w:val="21"/>
              </w:rPr>
              <w:t>0.016kg/吨废水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7</w:t>
            </w:r>
          </w:p>
        </w:tc>
        <w:tc>
          <w:tcPr>
            <w:tcW w:w="999" w:type="pct"/>
          </w:tcPr>
          <w:p>
            <w:pPr>
              <w:pStyle w:val="19"/>
              <w:tabs>
                <w:tab w:val="center" w:pos="4153"/>
                <w:tab w:val="left" w:pos="6845"/>
              </w:tabs>
              <w:rPr>
                <w:smallCaps w:val="0"/>
                <w:sz w:val="21"/>
                <w:szCs w:val="21"/>
              </w:rPr>
            </w:pPr>
            <w:r>
              <w:rPr>
                <w:rFonts w:hint="eastAsia"/>
                <w:smallCaps w:val="0"/>
                <w:sz w:val="21"/>
                <w:szCs w:val="21"/>
              </w:rPr>
              <w:t>硫酸亚铁</w:t>
            </w:r>
          </w:p>
        </w:tc>
        <w:tc>
          <w:tcPr>
            <w:tcW w:w="999" w:type="pct"/>
          </w:tcPr>
          <w:p>
            <w:pPr>
              <w:pStyle w:val="19"/>
              <w:tabs>
                <w:tab w:val="center" w:pos="4153"/>
                <w:tab w:val="left" w:pos="6845"/>
              </w:tabs>
              <w:rPr>
                <w:smallCaps w:val="0"/>
                <w:sz w:val="21"/>
                <w:szCs w:val="21"/>
              </w:rPr>
            </w:pPr>
            <w:r>
              <w:rPr>
                <w:rFonts w:hint="eastAsia"/>
                <w:smallCaps w:val="0"/>
                <w:sz w:val="21"/>
                <w:szCs w:val="21"/>
              </w:rPr>
              <w:t>4641.67</w:t>
            </w:r>
          </w:p>
        </w:tc>
        <w:tc>
          <w:tcPr>
            <w:tcW w:w="1000" w:type="pct"/>
          </w:tcPr>
          <w:p>
            <w:pPr>
              <w:pStyle w:val="19"/>
              <w:tabs>
                <w:tab w:val="left" w:pos="6845"/>
              </w:tabs>
              <w:ind w:firstLine="630" w:firstLineChars="300"/>
              <w:jc w:val="both"/>
              <w:rPr>
                <w:smallCaps w:val="0"/>
                <w:sz w:val="21"/>
                <w:szCs w:val="21"/>
              </w:rPr>
            </w:pPr>
            <w:r>
              <w:rPr>
                <w:rFonts w:hint="eastAsia"/>
                <w:smallCaps w:val="0"/>
                <w:sz w:val="21"/>
                <w:szCs w:val="21"/>
              </w:rPr>
              <w:t>25</w:t>
            </w:r>
          </w:p>
        </w:tc>
        <w:tc>
          <w:tcPr>
            <w:tcW w:w="1000" w:type="pct"/>
          </w:tcPr>
          <w:p>
            <w:pPr>
              <w:pStyle w:val="19"/>
              <w:tabs>
                <w:tab w:val="center" w:pos="4153"/>
                <w:tab w:val="left" w:pos="6845"/>
              </w:tabs>
              <w:rPr>
                <w:smallCaps w:val="0"/>
                <w:sz w:val="21"/>
                <w:szCs w:val="21"/>
              </w:rPr>
            </w:pPr>
            <w:r>
              <w:rPr>
                <w:rFonts w:hint="eastAsia"/>
                <w:smallCaps w:val="0"/>
                <w:sz w:val="21"/>
                <w:szCs w:val="21"/>
              </w:rPr>
              <w:t>3.0kg/吨废水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8</w:t>
            </w:r>
          </w:p>
        </w:tc>
        <w:tc>
          <w:tcPr>
            <w:tcW w:w="999" w:type="pct"/>
          </w:tcPr>
          <w:p>
            <w:pPr>
              <w:pStyle w:val="19"/>
              <w:tabs>
                <w:tab w:val="center" w:pos="4153"/>
                <w:tab w:val="left" w:pos="6845"/>
              </w:tabs>
              <w:rPr>
                <w:smallCaps w:val="0"/>
                <w:sz w:val="21"/>
                <w:szCs w:val="21"/>
              </w:rPr>
            </w:pPr>
            <w:r>
              <w:rPr>
                <w:rFonts w:hint="eastAsia"/>
                <w:smallCaps w:val="0"/>
                <w:sz w:val="21"/>
                <w:szCs w:val="21"/>
              </w:rPr>
              <w:t>氢氧化钙</w:t>
            </w:r>
          </w:p>
        </w:tc>
        <w:tc>
          <w:tcPr>
            <w:tcW w:w="999" w:type="pct"/>
          </w:tcPr>
          <w:p>
            <w:pPr>
              <w:pStyle w:val="19"/>
              <w:tabs>
                <w:tab w:val="center" w:pos="4153"/>
                <w:tab w:val="left" w:pos="6845"/>
              </w:tabs>
              <w:rPr>
                <w:smallCaps w:val="0"/>
                <w:sz w:val="21"/>
                <w:szCs w:val="21"/>
              </w:rPr>
            </w:pPr>
            <w:r>
              <w:rPr>
                <w:rFonts w:hint="eastAsia"/>
                <w:smallCaps w:val="0"/>
                <w:sz w:val="21"/>
                <w:szCs w:val="21"/>
              </w:rPr>
              <w:t>11672.22</w:t>
            </w:r>
          </w:p>
        </w:tc>
        <w:tc>
          <w:tcPr>
            <w:tcW w:w="1000" w:type="pct"/>
          </w:tcPr>
          <w:p>
            <w:pPr>
              <w:pStyle w:val="19"/>
              <w:tabs>
                <w:tab w:val="center" w:pos="4153"/>
                <w:tab w:val="left" w:pos="6845"/>
              </w:tabs>
              <w:rPr>
                <w:smallCaps w:val="0"/>
                <w:sz w:val="21"/>
                <w:szCs w:val="21"/>
              </w:rPr>
            </w:pPr>
            <w:r>
              <w:rPr>
                <w:rFonts w:hint="eastAsia"/>
                <w:smallCaps w:val="0"/>
                <w:sz w:val="21"/>
                <w:szCs w:val="21"/>
              </w:rPr>
              <w:t>10</w:t>
            </w:r>
          </w:p>
        </w:tc>
        <w:tc>
          <w:tcPr>
            <w:tcW w:w="1000" w:type="pct"/>
          </w:tcPr>
          <w:p>
            <w:pPr>
              <w:pStyle w:val="19"/>
              <w:tabs>
                <w:tab w:val="center" w:pos="4153"/>
                <w:tab w:val="left" w:pos="6845"/>
              </w:tabs>
              <w:rPr>
                <w:smallCaps w:val="0"/>
                <w:sz w:val="21"/>
                <w:szCs w:val="21"/>
              </w:rPr>
            </w:pPr>
            <w:r>
              <w:rPr>
                <w:rFonts w:hint="eastAsia"/>
                <w:smallCaps w:val="0"/>
                <w:sz w:val="21"/>
                <w:szCs w:val="21"/>
              </w:rPr>
              <w:t>7.5kg/吨废水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19"/>
              <w:tabs>
                <w:tab w:val="center" w:pos="4153"/>
                <w:tab w:val="left" w:pos="6845"/>
              </w:tabs>
              <w:rPr>
                <w:smallCaps w:val="0"/>
                <w:sz w:val="21"/>
                <w:szCs w:val="21"/>
              </w:rPr>
            </w:pPr>
            <w:r>
              <w:rPr>
                <w:rFonts w:hint="eastAsia"/>
                <w:smallCaps w:val="0"/>
                <w:sz w:val="21"/>
                <w:szCs w:val="21"/>
              </w:rPr>
              <w:t>9</w:t>
            </w:r>
          </w:p>
        </w:tc>
        <w:tc>
          <w:tcPr>
            <w:tcW w:w="999" w:type="pct"/>
          </w:tcPr>
          <w:p>
            <w:pPr>
              <w:pStyle w:val="19"/>
              <w:tabs>
                <w:tab w:val="center" w:pos="4153"/>
                <w:tab w:val="left" w:pos="6845"/>
              </w:tabs>
              <w:rPr>
                <w:smallCaps w:val="0"/>
                <w:sz w:val="21"/>
                <w:szCs w:val="21"/>
              </w:rPr>
            </w:pPr>
            <w:r>
              <w:rPr>
                <w:rFonts w:hint="eastAsia"/>
                <w:smallCaps w:val="0"/>
                <w:sz w:val="21"/>
                <w:szCs w:val="21"/>
              </w:rPr>
              <w:t>次氯酸钠</w:t>
            </w:r>
          </w:p>
        </w:tc>
        <w:tc>
          <w:tcPr>
            <w:tcW w:w="999" w:type="pct"/>
          </w:tcPr>
          <w:p>
            <w:pPr>
              <w:pStyle w:val="19"/>
              <w:tabs>
                <w:tab w:val="center" w:pos="4153"/>
                <w:tab w:val="left" w:pos="6845"/>
              </w:tabs>
              <w:rPr>
                <w:smallCaps w:val="0"/>
                <w:sz w:val="21"/>
                <w:szCs w:val="21"/>
              </w:rPr>
            </w:pPr>
            <w:r>
              <w:rPr>
                <w:rFonts w:hint="eastAsia"/>
                <w:smallCaps w:val="0"/>
                <w:sz w:val="21"/>
                <w:szCs w:val="21"/>
              </w:rPr>
              <w:t>322.22</w:t>
            </w:r>
          </w:p>
        </w:tc>
        <w:tc>
          <w:tcPr>
            <w:tcW w:w="1000" w:type="pct"/>
          </w:tcPr>
          <w:p>
            <w:pPr>
              <w:pStyle w:val="19"/>
              <w:tabs>
                <w:tab w:val="center" w:pos="4153"/>
                <w:tab w:val="left" w:pos="6845"/>
              </w:tabs>
              <w:rPr>
                <w:smallCaps w:val="0"/>
                <w:sz w:val="21"/>
                <w:szCs w:val="21"/>
              </w:rPr>
            </w:pPr>
            <w:r>
              <w:rPr>
                <w:rFonts w:hint="eastAsia"/>
                <w:smallCaps w:val="0"/>
                <w:sz w:val="21"/>
                <w:szCs w:val="21"/>
              </w:rPr>
              <w:t>30</w:t>
            </w:r>
          </w:p>
        </w:tc>
        <w:tc>
          <w:tcPr>
            <w:tcW w:w="1000" w:type="pct"/>
          </w:tcPr>
          <w:p>
            <w:pPr>
              <w:pStyle w:val="19"/>
              <w:tabs>
                <w:tab w:val="center" w:pos="4153"/>
                <w:tab w:val="left" w:pos="6845"/>
              </w:tabs>
              <w:rPr>
                <w:smallCaps w:val="0"/>
                <w:sz w:val="21"/>
                <w:szCs w:val="21"/>
              </w:rPr>
            </w:pPr>
            <w:r>
              <w:rPr>
                <w:rFonts w:hint="eastAsia"/>
                <w:smallCaps w:val="0"/>
                <w:sz w:val="21"/>
                <w:szCs w:val="21"/>
              </w:rPr>
              <w:t>0.2kg/吨废水</w:t>
            </w:r>
          </w:p>
        </w:tc>
      </w:tr>
    </w:tbl>
    <w:p>
      <w:pPr>
        <w:pStyle w:val="19"/>
        <w:tabs>
          <w:tab w:val="center" w:pos="4153"/>
          <w:tab w:val="left" w:pos="6845"/>
        </w:tabs>
        <w:spacing w:line="360" w:lineRule="auto"/>
        <w:jc w:val="both"/>
      </w:pPr>
      <w:r>
        <w:rPr>
          <w:rFonts w:hint="eastAsia"/>
        </w:rPr>
        <w:t xml:space="preserve">             </w:t>
      </w:r>
    </w:p>
    <w:p>
      <w:pPr>
        <w:pStyle w:val="19"/>
        <w:tabs>
          <w:tab w:val="center" w:pos="4153"/>
          <w:tab w:val="left" w:pos="6845"/>
        </w:tabs>
        <w:spacing w:line="360" w:lineRule="auto"/>
        <w:rPr>
          <w:b/>
          <w:bCs/>
        </w:rPr>
      </w:pPr>
      <w:r>
        <w:rPr>
          <w:rFonts w:hint="eastAsia"/>
          <w:b/>
          <w:bCs/>
        </w:rPr>
        <w:t>表3-5 PAC药剂理化性质和危险特性表</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1"/>
        <w:gridCol w:w="6000"/>
        <w:gridCol w:w="3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restart"/>
          </w:tcPr>
          <w:p>
            <w:pPr>
              <w:pStyle w:val="19"/>
              <w:tabs>
                <w:tab w:val="center" w:pos="4153"/>
                <w:tab w:val="left" w:pos="6845"/>
              </w:tabs>
              <w:jc w:val="both"/>
              <w:rPr>
                <w:sz w:val="21"/>
                <w:szCs w:val="21"/>
              </w:rPr>
            </w:pPr>
            <w:r>
              <w:rPr>
                <w:rFonts w:hint="eastAsia"/>
                <w:sz w:val="21"/>
                <w:szCs w:val="21"/>
              </w:rPr>
              <w:t>标识</w:t>
            </w:r>
          </w:p>
        </w:tc>
        <w:tc>
          <w:tcPr>
            <w:tcW w:w="4747" w:type="pct"/>
            <w:gridSpan w:val="2"/>
          </w:tcPr>
          <w:p>
            <w:pPr>
              <w:pStyle w:val="19"/>
              <w:tabs>
                <w:tab w:val="left" w:pos="6845"/>
              </w:tabs>
              <w:jc w:val="both"/>
              <w:rPr>
                <w:sz w:val="21"/>
                <w:szCs w:val="21"/>
              </w:rPr>
            </w:pPr>
            <w:r>
              <w:rPr>
                <w:sz w:val="21"/>
                <w:szCs w:val="21"/>
              </w:rPr>
              <w:t>中文名：聚合氯化铝（简称聚氯化铝）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sz w:val="21"/>
                <w:szCs w:val="21"/>
              </w:rPr>
            </w:pPr>
          </w:p>
        </w:tc>
        <w:tc>
          <w:tcPr>
            <w:tcW w:w="3080" w:type="pct"/>
          </w:tcPr>
          <w:p>
            <w:pPr>
              <w:pStyle w:val="19"/>
              <w:tabs>
                <w:tab w:val="center" w:pos="4153"/>
                <w:tab w:val="left" w:pos="6845"/>
              </w:tabs>
              <w:ind w:firstLine="840" w:firstLineChars="400"/>
              <w:jc w:val="both"/>
              <w:rPr>
                <w:sz w:val="21"/>
                <w:szCs w:val="21"/>
              </w:rPr>
            </w:pPr>
            <w:r>
              <w:rPr>
                <w:smallCaps w:val="0"/>
                <w:sz w:val="21"/>
                <w:szCs w:val="21"/>
              </w:rPr>
              <w:t>英文名：Poly aluminum Chloride</w:t>
            </w:r>
          </w:p>
        </w:tc>
        <w:tc>
          <w:tcPr>
            <w:tcW w:w="1667" w:type="pct"/>
          </w:tcPr>
          <w:p>
            <w:pPr>
              <w:pStyle w:val="19"/>
              <w:tabs>
                <w:tab w:val="center" w:pos="4153"/>
                <w:tab w:val="left" w:pos="6845"/>
              </w:tabs>
              <w:ind w:firstLine="630" w:firstLineChars="300"/>
              <w:jc w:val="both"/>
              <w:rPr>
                <w:sz w:val="21"/>
                <w:szCs w:val="21"/>
              </w:rPr>
            </w:pPr>
            <w:r>
              <w:rPr>
                <w:sz w:val="21"/>
                <w:szCs w:val="21"/>
              </w:rPr>
              <w:t>代号：PAC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sz w:val="21"/>
                <w:szCs w:val="21"/>
              </w:rPr>
            </w:pPr>
          </w:p>
        </w:tc>
        <w:tc>
          <w:tcPr>
            <w:tcW w:w="3080" w:type="pct"/>
          </w:tcPr>
          <w:p>
            <w:pPr>
              <w:pStyle w:val="19"/>
              <w:tabs>
                <w:tab w:val="center" w:pos="4153"/>
                <w:tab w:val="left" w:pos="6845"/>
              </w:tabs>
              <w:ind w:firstLine="840" w:firstLineChars="400"/>
              <w:jc w:val="both"/>
              <w:rPr>
                <w:sz w:val="21"/>
                <w:szCs w:val="21"/>
              </w:rPr>
            </w:pPr>
            <w:r>
              <w:rPr>
                <w:rFonts w:ascii="Times New Roman" w:hAnsi="Times New Roman" w:cs="Times New Roman"/>
                <w:smallCaps w:val="0"/>
                <w:sz w:val="21"/>
                <w:szCs w:val="21"/>
              </w:rPr>
              <w:t>分子式：AL</w:t>
            </w:r>
            <w:r>
              <w:rPr>
                <w:rFonts w:ascii="Times New Roman" w:hAnsi="Times New Roman" w:cs="Times New Roman"/>
                <w:smallCaps w:val="0"/>
                <w:sz w:val="21"/>
                <w:szCs w:val="21"/>
                <w:vertAlign w:val="subscript"/>
              </w:rPr>
              <w:t>2</w:t>
            </w:r>
            <w:r>
              <w:rPr>
                <w:rFonts w:ascii="Times New Roman" w:hAnsi="Times New Roman" w:cs="Times New Roman"/>
                <w:smallCaps w:val="0"/>
                <w:sz w:val="21"/>
                <w:szCs w:val="21"/>
              </w:rPr>
              <w:t>Cl（OH）</w:t>
            </w:r>
            <w:r>
              <w:rPr>
                <w:rFonts w:ascii="Times New Roman" w:hAnsi="Times New Roman" w:cs="Times New Roman"/>
                <w:smallCaps w:val="0"/>
                <w:sz w:val="21"/>
                <w:szCs w:val="21"/>
                <w:vertAlign w:val="subscript"/>
              </w:rPr>
              <w:t>5</w:t>
            </w:r>
          </w:p>
        </w:tc>
        <w:tc>
          <w:tcPr>
            <w:tcW w:w="1667" w:type="pct"/>
          </w:tcPr>
          <w:p>
            <w:pPr>
              <w:pStyle w:val="19"/>
              <w:tabs>
                <w:tab w:val="center" w:pos="4153"/>
                <w:tab w:val="left" w:pos="6845"/>
              </w:tabs>
              <w:ind w:firstLine="630" w:firstLineChars="300"/>
              <w:jc w:val="both"/>
              <w:rPr>
                <w:sz w:val="21"/>
                <w:szCs w:val="21"/>
              </w:rPr>
            </w:pPr>
            <w:r>
              <w:rPr>
                <w:sz w:val="21"/>
                <w:szCs w:val="21"/>
              </w:rPr>
              <w:t>分子量：174.45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z w:val="21"/>
                <w:szCs w:val="21"/>
              </w:rPr>
            </w:pPr>
            <w:r>
              <w:rPr>
                <w:rFonts w:hint="eastAsia"/>
                <w:sz w:val="21"/>
                <w:szCs w:val="21"/>
              </w:rPr>
              <w:t>理</w:t>
            </w:r>
          </w:p>
          <w:p>
            <w:pPr>
              <w:pStyle w:val="19"/>
              <w:tabs>
                <w:tab w:val="center" w:pos="4153"/>
                <w:tab w:val="left" w:pos="6845"/>
              </w:tabs>
              <w:jc w:val="both"/>
              <w:rPr>
                <w:sz w:val="21"/>
                <w:szCs w:val="21"/>
              </w:rPr>
            </w:pPr>
            <w:r>
              <w:rPr>
                <w:rFonts w:hint="eastAsia"/>
                <w:sz w:val="21"/>
                <w:szCs w:val="21"/>
              </w:rPr>
              <w:t>化</w:t>
            </w:r>
          </w:p>
          <w:p>
            <w:pPr>
              <w:pStyle w:val="19"/>
              <w:tabs>
                <w:tab w:val="center" w:pos="4153"/>
                <w:tab w:val="left" w:pos="6845"/>
              </w:tabs>
              <w:jc w:val="both"/>
              <w:rPr>
                <w:sz w:val="21"/>
                <w:szCs w:val="21"/>
              </w:rPr>
            </w:pPr>
            <w:r>
              <w:rPr>
                <w:rFonts w:hint="eastAsia"/>
                <w:sz w:val="21"/>
                <w:szCs w:val="21"/>
              </w:rPr>
              <w:t>性</w:t>
            </w:r>
          </w:p>
          <w:p>
            <w:pPr>
              <w:pStyle w:val="19"/>
              <w:tabs>
                <w:tab w:val="center" w:pos="4153"/>
                <w:tab w:val="left" w:pos="6845"/>
              </w:tabs>
              <w:jc w:val="both"/>
              <w:rPr>
                <w:sz w:val="21"/>
                <w:szCs w:val="21"/>
              </w:rPr>
            </w:pPr>
            <w:r>
              <w:rPr>
                <w:rFonts w:hint="eastAsia"/>
                <w:sz w:val="21"/>
                <w:szCs w:val="21"/>
              </w:rPr>
              <w:t>质</w:t>
            </w:r>
          </w:p>
        </w:tc>
        <w:tc>
          <w:tcPr>
            <w:tcW w:w="4747" w:type="pct"/>
            <w:gridSpan w:val="2"/>
          </w:tcPr>
          <w:p>
            <w:pPr>
              <w:pStyle w:val="19"/>
              <w:tabs>
                <w:tab w:val="center" w:pos="4153"/>
                <w:tab w:val="left" w:pos="6845"/>
              </w:tabs>
              <w:spacing w:line="280" w:lineRule="exact"/>
              <w:jc w:val="both"/>
              <w:rPr>
                <w:sz w:val="21"/>
                <w:szCs w:val="21"/>
              </w:rPr>
            </w:pPr>
            <w:r>
              <w:rPr>
                <w:sz w:val="21"/>
                <w:szCs w:val="21"/>
              </w:rPr>
              <w:t>颜色呈黄色或淡黄色、深褐色、深灰色树脂状固体，有较强的架桥吸附性能，在水解过程中，伴随发生凝聚，吸附和沉淀等物理化学过程。聚合氯化铝与传统无机混凝剂的根本区别在于传统无机混凝剂为低分子结晶盐，而聚合氯化铝的结构由形态多变的多元羟基络合物组成，絮凝沉淀速度快，适用 pH值范围宽，对管道设备无腐蚀性，净水效果明显，能有效去除水中色质 SS、COD、BOD 及砷、汞等重金属离子。该药剂广泛用于饮用水、工业用水及污水处理领域。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z w:val="21"/>
                <w:szCs w:val="21"/>
              </w:rPr>
            </w:pPr>
            <w:r>
              <w:rPr>
                <w:sz w:val="21"/>
                <w:szCs w:val="21"/>
              </w:rPr>
              <w:t>物</w:t>
            </w:r>
          </w:p>
          <w:p>
            <w:pPr>
              <w:pStyle w:val="19"/>
              <w:tabs>
                <w:tab w:val="center" w:pos="4153"/>
                <w:tab w:val="left" w:pos="6845"/>
              </w:tabs>
              <w:jc w:val="both"/>
              <w:rPr>
                <w:sz w:val="21"/>
                <w:szCs w:val="21"/>
              </w:rPr>
            </w:pPr>
            <w:r>
              <w:rPr>
                <w:sz w:val="21"/>
                <w:szCs w:val="21"/>
              </w:rPr>
              <w:t>理</w:t>
            </w:r>
          </w:p>
          <w:p>
            <w:pPr>
              <w:pStyle w:val="19"/>
              <w:tabs>
                <w:tab w:val="center" w:pos="4153"/>
                <w:tab w:val="left" w:pos="6845"/>
              </w:tabs>
              <w:jc w:val="both"/>
              <w:rPr>
                <w:sz w:val="21"/>
                <w:szCs w:val="21"/>
              </w:rPr>
            </w:pPr>
            <w:r>
              <w:rPr>
                <w:sz w:val="21"/>
                <w:szCs w:val="21"/>
              </w:rPr>
              <w:t>性</w:t>
            </w:r>
          </w:p>
          <w:p>
            <w:pPr>
              <w:pStyle w:val="19"/>
              <w:tabs>
                <w:tab w:val="center" w:pos="4153"/>
                <w:tab w:val="left" w:pos="6845"/>
              </w:tabs>
              <w:jc w:val="both"/>
              <w:rPr>
                <w:sz w:val="21"/>
                <w:szCs w:val="21"/>
              </w:rPr>
            </w:pPr>
            <w:r>
              <w:rPr>
                <w:sz w:val="21"/>
                <w:szCs w:val="21"/>
              </w:rPr>
              <w:t>质</w:t>
            </w:r>
          </w:p>
        </w:tc>
        <w:tc>
          <w:tcPr>
            <w:tcW w:w="4747" w:type="pct"/>
            <w:gridSpan w:val="2"/>
          </w:tcPr>
          <w:p>
            <w:pPr>
              <w:pStyle w:val="19"/>
              <w:tabs>
                <w:tab w:val="center" w:pos="4153"/>
                <w:tab w:val="left" w:pos="6845"/>
              </w:tabs>
              <w:spacing w:line="280" w:lineRule="exact"/>
              <w:jc w:val="both"/>
              <w:rPr>
                <w:sz w:val="21"/>
                <w:szCs w:val="21"/>
              </w:rPr>
            </w:pPr>
            <w:r>
              <w:rPr>
                <w:rFonts w:hint="eastAsia"/>
                <w:sz w:val="21"/>
                <w:szCs w:val="21"/>
              </w:rPr>
              <w:t>聚合氯化铝具有吸附、凝聚、沉淀等性能，其稳定性差，有腐蚀性，如不慎溅到皮肤上要立即用水冲洗干净。生产人员要穿工作服，戴口罩、手套，穿长筒胶靴。聚合氯化铝具有喷雾干燥稳定性好，适应水域宽，水解速度快，吸附能力强，形成巩花大，质密沉淀快，出水浊度低，脱水性能好等优点。用喷雾干燥产品可保证安全性，减少水事故，对居民饮用水非常安全可靠。因此，聚合氯化铝又被简称为高效聚合氯化铝、高效 PAC 或高效级喷雾干燥聚合氯化铝。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52" w:type="pct"/>
          </w:tcPr>
          <w:p>
            <w:pPr>
              <w:pStyle w:val="19"/>
              <w:tabs>
                <w:tab w:val="center" w:pos="4153"/>
                <w:tab w:val="left" w:pos="6845"/>
              </w:tabs>
              <w:jc w:val="both"/>
              <w:rPr>
                <w:sz w:val="21"/>
                <w:szCs w:val="21"/>
              </w:rPr>
            </w:pPr>
            <w:r>
              <w:rPr>
                <w:sz w:val="21"/>
                <w:szCs w:val="21"/>
              </w:rPr>
              <w:t>化</w:t>
            </w:r>
          </w:p>
          <w:p>
            <w:pPr>
              <w:pStyle w:val="19"/>
              <w:tabs>
                <w:tab w:val="center" w:pos="4153"/>
                <w:tab w:val="left" w:pos="6845"/>
              </w:tabs>
              <w:jc w:val="both"/>
              <w:rPr>
                <w:sz w:val="21"/>
                <w:szCs w:val="21"/>
              </w:rPr>
            </w:pPr>
            <w:r>
              <w:rPr>
                <w:sz w:val="21"/>
                <w:szCs w:val="21"/>
              </w:rPr>
              <w:t>学</w:t>
            </w:r>
          </w:p>
          <w:p>
            <w:pPr>
              <w:pStyle w:val="19"/>
              <w:tabs>
                <w:tab w:val="center" w:pos="4153"/>
                <w:tab w:val="left" w:pos="6845"/>
              </w:tabs>
              <w:jc w:val="both"/>
              <w:rPr>
                <w:sz w:val="21"/>
                <w:szCs w:val="21"/>
              </w:rPr>
            </w:pPr>
            <w:r>
              <w:rPr>
                <w:sz w:val="21"/>
                <w:szCs w:val="21"/>
              </w:rPr>
              <w:t>性</w:t>
            </w:r>
          </w:p>
          <w:p>
            <w:pPr>
              <w:pStyle w:val="19"/>
              <w:tabs>
                <w:tab w:val="center" w:pos="4153"/>
                <w:tab w:val="left" w:pos="6845"/>
              </w:tabs>
              <w:jc w:val="both"/>
              <w:rPr>
                <w:sz w:val="21"/>
                <w:szCs w:val="21"/>
              </w:rPr>
            </w:pPr>
            <w:r>
              <w:rPr>
                <w:sz w:val="21"/>
                <w:szCs w:val="21"/>
              </w:rPr>
              <w:t>质</w:t>
            </w:r>
          </w:p>
        </w:tc>
        <w:tc>
          <w:tcPr>
            <w:tcW w:w="4747" w:type="pct"/>
            <w:gridSpan w:val="2"/>
          </w:tcPr>
          <w:p>
            <w:pPr>
              <w:pStyle w:val="19"/>
              <w:tabs>
                <w:tab w:val="center" w:pos="4153"/>
                <w:tab w:val="left" w:pos="6845"/>
              </w:tabs>
              <w:spacing w:line="280" w:lineRule="exact"/>
              <w:jc w:val="both"/>
              <w:rPr>
                <w:sz w:val="21"/>
                <w:szCs w:val="21"/>
              </w:rPr>
            </w:pPr>
            <w:r>
              <w:rPr>
                <w:rFonts w:hint="eastAsia"/>
                <w:sz w:val="21"/>
                <w:szCs w:val="21"/>
              </w:rPr>
              <w:t>聚合氯化铝的盐基度是聚铝中相对重要的指标，特别是针对饮用水级别的聚铝产品。提高聚氯化铝产品的盐基度，可大幅度提高生产和使用的经济效益。盐基度从65%提高到 92%，生产原料成本可降低 20%，使用成本可降低 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z w:val="21"/>
                <w:szCs w:val="21"/>
              </w:rPr>
            </w:pPr>
            <w:r>
              <w:rPr>
                <w:sz w:val="21"/>
                <w:szCs w:val="21"/>
              </w:rPr>
              <w:t>健</w:t>
            </w:r>
          </w:p>
          <w:p>
            <w:pPr>
              <w:pStyle w:val="19"/>
              <w:tabs>
                <w:tab w:val="center" w:pos="4153"/>
                <w:tab w:val="left" w:pos="6845"/>
              </w:tabs>
              <w:jc w:val="both"/>
              <w:rPr>
                <w:sz w:val="21"/>
                <w:szCs w:val="21"/>
              </w:rPr>
            </w:pPr>
            <w:r>
              <w:rPr>
                <w:sz w:val="21"/>
                <w:szCs w:val="21"/>
              </w:rPr>
              <w:t>康</w:t>
            </w:r>
          </w:p>
          <w:p>
            <w:pPr>
              <w:pStyle w:val="19"/>
              <w:tabs>
                <w:tab w:val="center" w:pos="4153"/>
                <w:tab w:val="left" w:pos="6845"/>
              </w:tabs>
              <w:jc w:val="both"/>
              <w:rPr>
                <w:sz w:val="21"/>
                <w:szCs w:val="21"/>
              </w:rPr>
            </w:pPr>
            <w:r>
              <w:rPr>
                <w:sz w:val="21"/>
                <w:szCs w:val="21"/>
              </w:rPr>
              <w:t>危</w:t>
            </w:r>
          </w:p>
          <w:p>
            <w:pPr>
              <w:pStyle w:val="19"/>
              <w:tabs>
                <w:tab w:val="center" w:pos="4153"/>
                <w:tab w:val="left" w:pos="6845"/>
              </w:tabs>
              <w:jc w:val="both"/>
              <w:rPr>
                <w:sz w:val="21"/>
                <w:szCs w:val="21"/>
              </w:rPr>
            </w:pPr>
            <w:r>
              <w:rPr>
                <w:sz w:val="21"/>
                <w:szCs w:val="21"/>
              </w:rPr>
              <w:t>害</w:t>
            </w:r>
          </w:p>
        </w:tc>
        <w:tc>
          <w:tcPr>
            <w:tcW w:w="4747" w:type="pct"/>
            <w:gridSpan w:val="2"/>
          </w:tcPr>
          <w:p>
            <w:pPr>
              <w:pStyle w:val="19"/>
              <w:tabs>
                <w:tab w:val="center" w:pos="4153"/>
                <w:tab w:val="left" w:pos="6845"/>
              </w:tabs>
              <w:spacing w:line="280" w:lineRule="exact"/>
              <w:jc w:val="both"/>
              <w:rPr>
                <w:sz w:val="21"/>
                <w:szCs w:val="21"/>
              </w:rPr>
            </w:pPr>
            <w:r>
              <w:rPr>
                <w:rFonts w:hint="eastAsia"/>
                <w:sz w:val="21"/>
                <w:szCs w:val="21"/>
              </w:rPr>
              <w:t>聚合氯化铝对皮肤、粘膜有刺激作用，吸入高浓度可引起支气管炎，个别人可引起支气管哮喘，误服量大时，可引起口腔溃烂、胃炎、胃出血和粘膜坏死。慢性影响：长期接触可引起头痛、头晕、食欲减退、咳嗽、鼻塞、胸痛等症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z w:val="21"/>
                <w:szCs w:val="21"/>
              </w:rPr>
            </w:pPr>
            <w:r>
              <w:rPr>
                <w:sz w:val="21"/>
                <w:szCs w:val="21"/>
              </w:rPr>
              <w:t>燃</w:t>
            </w:r>
          </w:p>
          <w:p>
            <w:pPr>
              <w:pStyle w:val="19"/>
              <w:tabs>
                <w:tab w:val="center" w:pos="4153"/>
                <w:tab w:val="left" w:pos="6845"/>
              </w:tabs>
              <w:jc w:val="both"/>
              <w:rPr>
                <w:sz w:val="21"/>
                <w:szCs w:val="21"/>
              </w:rPr>
            </w:pPr>
            <w:r>
              <w:rPr>
                <w:sz w:val="21"/>
                <w:szCs w:val="21"/>
              </w:rPr>
              <w:t>烧</w:t>
            </w:r>
          </w:p>
          <w:p>
            <w:pPr>
              <w:pStyle w:val="19"/>
              <w:tabs>
                <w:tab w:val="center" w:pos="4153"/>
                <w:tab w:val="left" w:pos="6845"/>
              </w:tabs>
              <w:jc w:val="both"/>
              <w:rPr>
                <w:sz w:val="21"/>
                <w:szCs w:val="21"/>
              </w:rPr>
            </w:pPr>
            <w:r>
              <w:rPr>
                <w:sz w:val="21"/>
                <w:szCs w:val="21"/>
              </w:rPr>
              <w:t>爆</w:t>
            </w:r>
          </w:p>
          <w:p>
            <w:pPr>
              <w:pStyle w:val="19"/>
              <w:tabs>
                <w:tab w:val="center" w:pos="4153"/>
                <w:tab w:val="left" w:pos="6845"/>
              </w:tabs>
              <w:jc w:val="both"/>
              <w:rPr>
                <w:sz w:val="21"/>
                <w:szCs w:val="21"/>
              </w:rPr>
            </w:pPr>
            <w:r>
              <w:rPr>
                <w:sz w:val="21"/>
                <w:szCs w:val="21"/>
              </w:rPr>
              <w:t>炸</w:t>
            </w:r>
          </w:p>
          <w:p>
            <w:pPr>
              <w:pStyle w:val="19"/>
              <w:tabs>
                <w:tab w:val="center" w:pos="4153"/>
                <w:tab w:val="left" w:pos="6845"/>
              </w:tabs>
              <w:jc w:val="both"/>
              <w:rPr>
                <w:sz w:val="21"/>
                <w:szCs w:val="21"/>
              </w:rPr>
            </w:pPr>
            <w:r>
              <w:rPr>
                <w:sz w:val="21"/>
                <w:szCs w:val="21"/>
              </w:rPr>
              <w:t>危</w:t>
            </w:r>
          </w:p>
          <w:p>
            <w:pPr>
              <w:pStyle w:val="19"/>
              <w:tabs>
                <w:tab w:val="center" w:pos="4153"/>
                <w:tab w:val="left" w:pos="6845"/>
              </w:tabs>
              <w:jc w:val="both"/>
              <w:rPr>
                <w:sz w:val="21"/>
                <w:szCs w:val="21"/>
              </w:rPr>
            </w:pPr>
            <w:r>
              <w:rPr>
                <w:sz w:val="21"/>
                <w:szCs w:val="21"/>
              </w:rPr>
              <w:t>险</w:t>
            </w:r>
          </w:p>
          <w:p>
            <w:pPr>
              <w:pStyle w:val="19"/>
              <w:tabs>
                <w:tab w:val="center" w:pos="4153"/>
                <w:tab w:val="left" w:pos="6845"/>
              </w:tabs>
              <w:jc w:val="both"/>
              <w:rPr>
                <w:sz w:val="21"/>
                <w:szCs w:val="21"/>
              </w:rPr>
            </w:pPr>
            <w:r>
              <w:rPr>
                <w:sz w:val="21"/>
                <w:szCs w:val="21"/>
              </w:rPr>
              <w:t>性</w:t>
            </w:r>
          </w:p>
        </w:tc>
        <w:tc>
          <w:tcPr>
            <w:tcW w:w="4747" w:type="pct"/>
            <w:gridSpan w:val="2"/>
          </w:tcPr>
          <w:tbl>
            <w:tblPr>
              <w:tblStyle w:val="22"/>
              <w:tblW w:w="78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1969"/>
              <w:gridCol w:w="1969"/>
              <w:gridCol w:w="19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燃烧性</w:t>
                  </w:r>
                </w:p>
              </w:tc>
              <w:tc>
                <w:tcPr>
                  <w:tcW w:w="1969" w:type="dxa"/>
                </w:tcPr>
                <w:p>
                  <w:pPr>
                    <w:pStyle w:val="19"/>
                    <w:tabs>
                      <w:tab w:val="center" w:pos="4153"/>
                      <w:tab w:val="left" w:pos="6845"/>
                    </w:tabs>
                    <w:jc w:val="both"/>
                    <w:rPr>
                      <w:sz w:val="21"/>
                      <w:szCs w:val="21"/>
                    </w:rPr>
                  </w:pPr>
                  <w:r>
                    <w:rPr>
                      <w:rFonts w:hint="eastAsia"/>
                      <w:sz w:val="21"/>
                      <w:szCs w:val="21"/>
                    </w:rPr>
                    <w:t>不燃</w:t>
                  </w:r>
                </w:p>
              </w:tc>
              <w:tc>
                <w:tcPr>
                  <w:tcW w:w="1969" w:type="dxa"/>
                </w:tcPr>
                <w:p>
                  <w:pPr>
                    <w:pStyle w:val="19"/>
                    <w:tabs>
                      <w:tab w:val="center" w:pos="4153"/>
                      <w:tab w:val="left" w:pos="6845"/>
                    </w:tabs>
                    <w:jc w:val="both"/>
                    <w:rPr>
                      <w:sz w:val="21"/>
                      <w:szCs w:val="21"/>
                    </w:rPr>
                  </w:pPr>
                  <w:r>
                    <w:rPr>
                      <w:rFonts w:hint="eastAsia"/>
                      <w:sz w:val="21"/>
                      <w:szCs w:val="21"/>
                    </w:rPr>
                    <w:t>燃烧分解物</w:t>
                  </w:r>
                </w:p>
              </w:tc>
              <w:tc>
                <w:tcPr>
                  <w:tcW w:w="1969" w:type="dxa"/>
                </w:tcPr>
                <w:p>
                  <w:pPr>
                    <w:pStyle w:val="19"/>
                    <w:tabs>
                      <w:tab w:val="center" w:pos="4153"/>
                      <w:tab w:val="left" w:pos="6845"/>
                    </w:tabs>
                    <w:jc w:val="both"/>
                    <w:rPr>
                      <w:sz w:val="21"/>
                      <w:szCs w:val="21"/>
                    </w:rPr>
                  </w:pPr>
                  <w:r>
                    <w:rPr>
                      <w:rFonts w:hint="eastAsia"/>
                      <w:sz w:val="21"/>
                      <w:szCs w:val="21"/>
                    </w:rPr>
                    <w:t>氯化氢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熔点（°C）</w:t>
                  </w:r>
                </w:p>
              </w:tc>
              <w:tc>
                <w:tcPr>
                  <w:tcW w:w="1969" w:type="dxa"/>
                </w:tcPr>
                <w:p>
                  <w:pPr>
                    <w:pStyle w:val="19"/>
                    <w:tabs>
                      <w:tab w:val="center" w:pos="4153"/>
                      <w:tab w:val="left" w:pos="6845"/>
                    </w:tabs>
                    <w:jc w:val="both"/>
                    <w:rPr>
                      <w:sz w:val="21"/>
                      <w:szCs w:val="21"/>
                    </w:rPr>
                  </w:pPr>
                  <w:r>
                    <w:rPr>
                      <w:rFonts w:hint="eastAsia"/>
                      <w:sz w:val="21"/>
                      <w:szCs w:val="21"/>
                    </w:rPr>
                    <w:t>190</w:t>
                  </w:r>
                </w:p>
              </w:tc>
              <w:tc>
                <w:tcPr>
                  <w:tcW w:w="1969" w:type="dxa"/>
                </w:tcPr>
                <w:p>
                  <w:pPr>
                    <w:pStyle w:val="19"/>
                    <w:tabs>
                      <w:tab w:val="left" w:pos="6845"/>
                    </w:tabs>
                    <w:jc w:val="both"/>
                    <w:rPr>
                      <w:sz w:val="21"/>
                      <w:szCs w:val="21"/>
                    </w:rPr>
                  </w:pPr>
                  <w:r>
                    <w:rPr>
                      <w:rFonts w:hint="eastAsia"/>
                      <w:sz w:val="21"/>
                      <w:szCs w:val="21"/>
                    </w:rPr>
                    <w:t>相对密度（水=1）</w:t>
                  </w:r>
                </w:p>
              </w:tc>
              <w:tc>
                <w:tcPr>
                  <w:tcW w:w="1969" w:type="dxa"/>
                </w:tcPr>
                <w:p>
                  <w:pPr>
                    <w:pStyle w:val="19"/>
                    <w:tabs>
                      <w:tab w:val="center" w:pos="4153"/>
                      <w:tab w:val="left" w:pos="6845"/>
                    </w:tabs>
                    <w:jc w:val="both"/>
                    <w:rPr>
                      <w:sz w:val="21"/>
                      <w:szCs w:val="21"/>
                    </w:rPr>
                  </w:pPr>
                  <w:r>
                    <w:rPr>
                      <w:rFonts w:hint="eastAsia"/>
                      <w:sz w:val="21"/>
                      <w:szCs w:val="21"/>
                    </w:rPr>
                    <w:t>2.44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饱和蒸气压（</w:t>
                  </w:r>
                  <w:r>
                    <w:rPr>
                      <w:rFonts w:hint="eastAsia"/>
                      <w:smallCaps w:val="0"/>
                      <w:sz w:val="21"/>
                      <w:szCs w:val="21"/>
                    </w:rPr>
                    <w:t>kpa</w:t>
                  </w:r>
                  <w:r>
                    <w:rPr>
                      <w:rFonts w:hint="eastAsia"/>
                      <w:sz w:val="21"/>
                      <w:szCs w:val="21"/>
                    </w:rPr>
                    <w:t>）</w:t>
                  </w:r>
                </w:p>
              </w:tc>
              <w:tc>
                <w:tcPr>
                  <w:tcW w:w="1969" w:type="dxa"/>
                </w:tcPr>
                <w:p>
                  <w:pPr>
                    <w:pStyle w:val="19"/>
                    <w:tabs>
                      <w:tab w:val="center" w:pos="4153"/>
                      <w:tab w:val="left" w:pos="6845"/>
                    </w:tabs>
                    <w:jc w:val="both"/>
                    <w:rPr>
                      <w:sz w:val="21"/>
                      <w:szCs w:val="21"/>
                    </w:rPr>
                  </w:pPr>
                  <w:r>
                    <w:rPr>
                      <w:rFonts w:hint="eastAsia"/>
                      <w:sz w:val="21"/>
                      <w:szCs w:val="21"/>
                    </w:rPr>
                    <w:t>0.13</w:t>
                  </w:r>
                </w:p>
              </w:tc>
              <w:tc>
                <w:tcPr>
                  <w:tcW w:w="1969" w:type="dxa"/>
                </w:tcPr>
                <w:p>
                  <w:pPr>
                    <w:pStyle w:val="19"/>
                    <w:tabs>
                      <w:tab w:val="center" w:pos="4153"/>
                      <w:tab w:val="left" w:pos="6845"/>
                    </w:tabs>
                    <w:jc w:val="both"/>
                    <w:rPr>
                      <w:sz w:val="21"/>
                      <w:szCs w:val="21"/>
                    </w:rPr>
                  </w:pPr>
                  <w:r>
                    <w:rPr>
                      <w:rFonts w:hint="eastAsia"/>
                      <w:sz w:val="21"/>
                      <w:szCs w:val="21"/>
                    </w:rPr>
                    <w:t>溶解性</w:t>
                  </w:r>
                </w:p>
              </w:tc>
              <w:tc>
                <w:tcPr>
                  <w:tcW w:w="1969" w:type="dxa"/>
                </w:tcPr>
                <w:p>
                  <w:pPr>
                    <w:pStyle w:val="19"/>
                    <w:tabs>
                      <w:tab w:val="center" w:pos="4153"/>
                      <w:tab w:val="left" w:pos="6845"/>
                    </w:tabs>
                    <w:jc w:val="both"/>
                    <w:rPr>
                      <w:sz w:val="21"/>
                      <w:szCs w:val="21"/>
                    </w:rPr>
                  </w:pPr>
                  <w:r>
                    <w:rPr>
                      <w:rFonts w:hint="eastAsia"/>
                      <w:sz w:val="21"/>
                      <w:szCs w:val="21"/>
                    </w:rPr>
                    <w:t>易溶于水、醇、氯仿、四氯化碳、微溶于苯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危险特性</w:t>
                  </w:r>
                </w:p>
              </w:tc>
              <w:tc>
                <w:tcPr>
                  <w:tcW w:w="5907" w:type="dxa"/>
                  <w:gridSpan w:val="3"/>
                </w:tcPr>
                <w:p>
                  <w:pPr>
                    <w:pStyle w:val="19"/>
                    <w:tabs>
                      <w:tab w:val="left" w:pos="1213"/>
                      <w:tab w:val="left" w:pos="6845"/>
                    </w:tabs>
                    <w:jc w:val="both"/>
                    <w:rPr>
                      <w:sz w:val="21"/>
                      <w:szCs w:val="21"/>
                    </w:rPr>
                  </w:pPr>
                  <w:r>
                    <w:rPr>
                      <w:rFonts w:hint="eastAsia"/>
                      <w:sz w:val="21"/>
                      <w:szCs w:val="21"/>
                    </w:rPr>
                    <w:tab/>
                  </w:r>
                  <w:r>
                    <w:rPr>
                      <w:rFonts w:hint="eastAsia"/>
                      <w:sz w:val="21"/>
                      <w:szCs w:val="21"/>
                    </w:rPr>
                    <w:t>具有腐蚀效应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禁配物</w:t>
                  </w:r>
                </w:p>
              </w:tc>
              <w:tc>
                <w:tcPr>
                  <w:tcW w:w="5907" w:type="dxa"/>
                  <w:gridSpan w:val="3"/>
                </w:tcPr>
                <w:p>
                  <w:pPr>
                    <w:pStyle w:val="19"/>
                    <w:tabs>
                      <w:tab w:val="left" w:pos="1213"/>
                      <w:tab w:val="left" w:pos="6845"/>
                    </w:tabs>
                    <w:jc w:val="both"/>
                    <w:rPr>
                      <w:sz w:val="21"/>
                      <w:szCs w:val="21"/>
                    </w:rPr>
                  </w:pPr>
                  <w:r>
                    <w:rPr>
                      <w:rFonts w:hint="eastAsia"/>
                      <w:sz w:val="21"/>
                      <w:szCs w:val="21"/>
                    </w:rPr>
                    <w:t>易燃或可燃物、碱类、水、醇类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其他有害作用</w:t>
                  </w:r>
                </w:p>
              </w:tc>
              <w:tc>
                <w:tcPr>
                  <w:tcW w:w="5907" w:type="dxa"/>
                  <w:gridSpan w:val="3"/>
                </w:tcPr>
                <w:p>
                  <w:pPr>
                    <w:pStyle w:val="19"/>
                    <w:tabs>
                      <w:tab w:val="left" w:pos="1213"/>
                      <w:tab w:val="left" w:pos="6845"/>
                    </w:tabs>
                    <w:jc w:val="both"/>
                    <w:rPr>
                      <w:sz w:val="21"/>
                      <w:szCs w:val="21"/>
                    </w:rPr>
                  </w:pPr>
                  <w:r>
                    <w:rPr>
                      <w:rFonts w:hint="eastAsia"/>
                      <w:sz w:val="21"/>
                      <w:szCs w:val="21"/>
                    </w:rPr>
                    <w:t>对环境有危害、应特别注意对水体和土壤的污染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废弃处置方法</w:t>
                  </w:r>
                </w:p>
              </w:tc>
              <w:tc>
                <w:tcPr>
                  <w:tcW w:w="5907" w:type="dxa"/>
                  <w:gridSpan w:val="3"/>
                </w:tcPr>
                <w:p>
                  <w:pPr>
                    <w:pStyle w:val="19"/>
                    <w:tabs>
                      <w:tab w:val="left" w:pos="1213"/>
                      <w:tab w:val="left" w:pos="6845"/>
                    </w:tabs>
                    <w:jc w:val="both"/>
                    <w:rPr>
                      <w:sz w:val="21"/>
                      <w:szCs w:val="21"/>
                    </w:rPr>
                  </w:pPr>
                  <w:r>
                    <w:rPr>
                      <w:rFonts w:hint="eastAsia"/>
                      <w:sz w:val="21"/>
                      <w:szCs w:val="21"/>
                    </w:rPr>
                    <w:t>处置前应参阅国家和地方有关规定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包装方法</w:t>
                  </w:r>
                </w:p>
              </w:tc>
              <w:tc>
                <w:tcPr>
                  <w:tcW w:w="5907" w:type="dxa"/>
                  <w:gridSpan w:val="3"/>
                </w:tcPr>
                <w:p>
                  <w:pPr>
                    <w:pStyle w:val="19"/>
                    <w:tabs>
                      <w:tab w:val="left" w:pos="1213"/>
                      <w:tab w:val="left" w:pos="6845"/>
                    </w:tabs>
                    <w:jc w:val="both"/>
                    <w:rPr>
                      <w:sz w:val="21"/>
                      <w:szCs w:val="21"/>
                    </w:rPr>
                  </w:pPr>
                  <w:r>
                    <w:rPr>
                      <w:rFonts w:hint="eastAsia"/>
                      <w:sz w:val="21"/>
                      <w:szCs w:val="21"/>
                    </w:rPr>
                    <w:t>编织袋包装，每包25</w:t>
                  </w:r>
                  <w:r>
                    <w:rPr>
                      <w:rFonts w:hint="eastAsia"/>
                      <w:smallCaps w:val="0"/>
                      <w:sz w:val="21"/>
                      <w:szCs w:val="21"/>
                    </w:rPr>
                    <w:t>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运输注意事项</w:t>
                  </w:r>
                </w:p>
              </w:tc>
              <w:tc>
                <w:tcPr>
                  <w:tcW w:w="5907" w:type="dxa"/>
                  <w:gridSpan w:val="3"/>
                </w:tcPr>
                <w:p>
                  <w:pPr>
                    <w:pStyle w:val="19"/>
                    <w:tabs>
                      <w:tab w:val="left" w:pos="1213"/>
                      <w:tab w:val="left" w:pos="6845"/>
                    </w:tabs>
                    <w:jc w:val="both"/>
                    <w:rPr>
                      <w:sz w:val="21"/>
                      <w:szCs w:val="21"/>
                    </w:rPr>
                  </w:pPr>
                  <w:r>
                    <w:rPr>
                      <w:rFonts w:hint="eastAsia"/>
                      <w:sz w:val="21"/>
                      <w:szCs w:val="21"/>
                    </w:rPr>
                    <w:t>起运时包装要完整，转载应稳妥。运输过程中要确保容器不泄露、不倒塌、不坠落、不损坏，严禁与易燃物或可燃物、碱类、醇类、食用化学品等混装混运；运输途中应防爆晒、防雨淋。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灭火方法</w:t>
                  </w:r>
                </w:p>
              </w:tc>
              <w:tc>
                <w:tcPr>
                  <w:tcW w:w="5907" w:type="dxa"/>
                  <w:gridSpan w:val="3"/>
                </w:tcPr>
                <w:p>
                  <w:pPr>
                    <w:pStyle w:val="19"/>
                    <w:tabs>
                      <w:tab w:val="left" w:pos="1213"/>
                      <w:tab w:val="left" w:pos="6845"/>
                    </w:tabs>
                    <w:jc w:val="both"/>
                    <w:rPr>
                      <w:sz w:val="21"/>
                      <w:szCs w:val="21"/>
                    </w:rPr>
                  </w:pPr>
                  <w:r>
                    <w:rPr>
                      <w:rFonts w:hint="eastAsia"/>
                      <w:sz w:val="21"/>
                      <w:szCs w:val="21"/>
                    </w:rPr>
                    <w:t>消防人员必须穿戴全身耐酸碱消防服。灭火剂：干燥砂土。</w:t>
                  </w:r>
                </w:p>
              </w:tc>
            </w:tr>
          </w:tbl>
          <w:p>
            <w:pPr>
              <w:pStyle w:val="19"/>
              <w:tabs>
                <w:tab w:val="center" w:pos="4153"/>
                <w:tab w:val="left" w:pos="6845"/>
              </w:tabs>
              <w:jc w:val="both"/>
              <w:rPr>
                <w:sz w:val="21"/>
                <w:szCs w:val="21"/>
              </w:rPr>
            </w:pPr>
          </w:p>
        </w:tc>
      </w:tr>
    </w:tbl>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r>
        <w:rPr>
          <w:b/>
          <w:bCs/>
        </w:rPr>
        <w:t>表 3-6 次氯酸钠理化性质和危险特性表</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2"/>
        <w:gridCol w:w="1097"/>
        <w:gridCol w:w="1512"/>
        <w:gridCol w:w="1064"/>
        <w:gridCol w:w="1993"/>
        <w:gridCol w:w="3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vMerge w:val="restart"/>
          </w:tcPr>
          <w:p>
            <w:pPr>
              <w:pStyle w:val="19"/>
              <w:tabs>
                <w:tab w:val="center" w:pos="4153"/>
                <w:tab w:val="left" w:pos="6845"/>
              </w:tabs>
              <w:jc w:val="both"/>
              <w:rPr>
                <w:sz w:val="21"/>
                <w:szCs w:val="21"/>
              </w:rPr>
            </w:pPr>
            <w:r>
              <w:rPr>
                <w:rFonts w:hint="eastAsia"/>
                <w:sz w:val="21"/>
                <w:szCs w:val="21"/>
              </w:rPr>
              <w:t>标识</w:t>
            </w:r>
          </w:p>
        </w:tc>
        <w:tc>
          <w:tcPr>
            <w:tcW w:w="4582" w:type="pct"/>
            <w:gridSpan w:val="5"/>
          </w:tcPr>
          <w:p>
            <w:pPr>
              <w:pStyle w:val="19"/>
              <w:tabs>
                <w:tab w:val="center" w:pos="4153"/>
                <w:tab w:val="left" w:pos="6845"/>
              </w:tabs>
              <w:jc w:val="both"/>
              <w:rPr>
                <w:sz w:val="21"/>
                <w:szCs w:val="21"/>
              </w:rPr>
            </w:pPr>
            <w:r>
              <w:rPr>
                <w:sz w:val="21"/>
                <w:szCs w:val="21"/>
              </w:rPr>
              <w:t>中文名：次氯酸钠[含有效氯＞5%]；漂白水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vMerge w:val="continue"/>
          </w:tcPr>
          <w:p>
            <w:pPr>
              <w:pStyle w:val="19"/>
              <w:tabs>
                <w:tab w:val="center" w:pos="4153"/>
                <w:tab w:val="left" w:pos="6845"/>
              </w:tabs>
              <w:jc w:val="both"/>
              <w:rPr>
                <w:sz w:val="21"/>
                <w:szCs w:val="21"/>
              </w:rPr>
            </w:pPr>
          </w:p>
        </w:tc>
        <w:tc>
          <w:tcPr>
            <w:tcW w:w="2908" w:type="pct"/>
            <w:gridSpan w:val="4"/>
          </w:tcPr>
          <w:p>
            <w:pPr>
              <w:pStyle w:val="19"/>
              <w:tabs>
                <w:tab w:val="center" w:pos="4153"/>
                <w:tab w:val="left" w:pos="6845"/>
              </w:tabs>
              <w:jc w:val="both"/>
              <w:rPr>
                <w:sz w:val="21"/>
                <w:szCs w:val="21"/>
              </w:rPr>
            </w:pPr>
            <w:r>
              <w:rPr>
                <w:smallCaps w:val="0"/>
                <w:sz w:val="21"/>
                <w:szCs w:val="21"/>
              </w:rPr>
              <w:t>英文名：siuodm hypochlorite</w:t>
            </w:r>
          </w:p>
        </w:tc>
        <w:tc>
          <w:tcPr>
            <w:tcW w:w="1673" w:type="pct"/>
          </w:tcPr>
          <w:p>
            <w:pPr>
              <w:pStyle w:val="19"/>
              <w:tabs>
                <w:tab w:val="center" w:pos="4153"/>
                <w:tab w:val="left" w:pos="6845"/>
              </w:tabs>
              <w:jc w:val="both"/>
              <w:rPr>
                <w:sz w:val="21"/>
                <w:szCs w:val="21"/>
              </w:rPr>
            </w:pPr>
            <w:r>
              <w:rPr>
                <w:sz w:val="21"/>
                <w:szCs w:val="21"/>
              </w:rPr>
              <w:t>CAS 号：7681-52-9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vMerge w:val="continue"/>
          </w:tcPr>
          <w:p>
            <w:pPr>
              <w:pStyle w:val="19"/>
              <w:tabs>
                <w:tab w:val="center" w:pos="4153"/>
                <w:tab w:val="left" w:pos="6845"/>
              </w:tabs>
              <w:jc w:val="both"/>
              <w:rPr>
                <w:sz w:val="21"/>
                <w:szCs w:val="21"/>
              </w:rPr>
            </w:pPr>
          </w:p>
        </w:tc>
        <w:tc>
          <w:tcPr>
            <w:tcW w:w="2908" w:type="pct"/>
            <w:gridSpan w:val="4"/>
          </w:tcPr>
          <w:p>
            <w:pPr>
              <w:pStyle w:val="19"/>
              <w:tabs>
                <w:tab w:val="center" w:pos="4153"/>
                <w:tab w:val="left" w:pos="6845"/>
              </w:tabs>
              <w:jc w:val="both"/>
              <w:rPr>
                <w:sz w:val="21"/>
                <w:szCs w:val="21"/>
              </w:rPr>
            </w:pPr>
            <w:r>
              <w:rPr>
                <w:smallCaps w:val="0"/>
                <w:sz w:val="21"/>
                <w:szCs w:val="21"/>
              </w:rPr>
              <w:t>分子式：NaClO</w:t>
            </w:r>
          </w:p>
        </w:tc>
        <w:tc>
          <w:tcPr>
            <w:tcW w:w="1673" w:type="pct"/>
          </w:tcPr>
          <w:p>
            <w:pPr>
              <w:pStyle w:val="19"/>
              <w:tabs>
                <w:tab w:val="center" w:pos="4153"/>
                <w:tab w:val="left" w:pos="6845"/>
              </w:tabs>
              <w:jc w:val="both"/>
              <w:rPr>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17" w:type="pct"/>
          </w:tcPr>
          <w:p>
            <w:pPr>
              <w:pStyle w:val="19"/>
              <w:tabs>
                <w:tab w:val="center" w:pos="4153"/>
                <w:tab w:val="left" w:pos="6845"/>
              </w:tabs>
              <w:jc w:val="both"/>
              <w:rPr>
                <w:sz w:val="21"/>
                <w:szCs w:val="21"/>
              </w:rPr>
            </w:pPr>
            <w:r>
              <w:rPr>
                <w:rFonts w:hint="eastAsia"/>
                <w:sz w:val="21"/>
                <w:szCs w:val="21"/>
              </w:rPr>
              <w:t>理化性质</w:t>
            </w:r>
          </w:p>
        </w:tc>
        <w:tc>
          <w:tcPr>
            <w:tcW w:w="4582" w:type="pct"/>
            <w:gridSpan w:val="5"/>
          </w:tcPr>
          <w:p>
            <w:pPr>
              <w:pStyle w:val="19"/>
              <w:tabs>
                <w:tab w:val="center" w:pos="4153"/>
                <w:tab w:val="left" w:pos="6845"/>
              </w:tabs>
              <w:jc w:val="both"/>
              <w:rPr>
                <w:sz w:val="21"/>
                <w:szCs w:val="21"/>
              </w:rPr>
            </w:pPr>
            <w:r>
              <w:rPr>
                <w:sz w:val="21"/>
                <w:szCs w:val="21"/>
              </w:rPr>
              <w:t>颜色呈微黄色，有似氯气的气味，溶于水。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vMerge w:val="restart"/>
          </w:tcPr>
          <w:p>
            <w:pPr>
              <w:pStyle w:val="19"/>
              <w:tabs>
                <w:tab w:val="center" w:pos="4153"/>
                <w:tab w:val="left" w:pos="6845"/>
              </w:tabs>
              <w:jc w:val="both"/>
              <w:rPr>
                <w:sz w:val="21"/>
                <w:szCs w:val="21"/>
              </w:rPr>
            </w:pPr>
            <w:r>
              <w:rPr>
                <w:rFonts w:hint="eastAsia"/>
                <w:sz w:val="21"/>
                <w:szCs w:val="21"/>
              </w:rPr>
              <w:t>健康危害</w:t>
            </w:r>
          </w:p>
        </w:tc>
        <w:tc>
          <w:tcPr>
            <w:tcW w:w="563" w:type="pct"/>
          </w:tcPr>
          <w:p>
            <w:pPr>
              <w:pStyle w:val="19"/>
              <w:tabs>
                <w:tab w:val="center" w:pos="4153"/>
                <w:tab w:val="left" w:pos="6845"/>
              </w:tabs>
              <w:jc w:val="both"/>
              <w:rPr>
                <w:sz w:val="21"/>
                <w:szCs w:val="21"/>
              </w:rPr>
            </w:pPr>
            <w:r>
              <w:rPr>
                <w:rFonts w:hint="eastAsia"/>
                <w:sz w:val="21"/>
                <w:szCs w:val="21"/>
              </w:rPr>
              <w:t>毒性</w:t>
            </w:r>
          </w:p>
        </w:tc>
        <w:tc>
          <w:tcPr>
            <w:tcW w:w="776" w:type="pct"/>
          </w:tcPr>
          <w:p>
            <w:pPr>
              <w:pStyle w:val="19"/>
              <w:tabs>
                <w:tab w:val="center" w:pos="4153"/>
                <w:tab w:val="left" w:pos="6845"/>
              </w:tabs>
              <w:jc w:val="both"/>
              <w:rPr>
                <w:sz w:val="21"/>
                <w:szCs w:val="21"/>
              </w:rPr>
            </w:pPr>
            <w:r>
              <w:rPr>
                <w:sz w:val="21"/>
                <w:szCs w:val="21"/>
              </w:rPr>
              <w:t>LD</w:t>
            </w:r>
            <w:r>
              <w:rPr>
                <w:sz w:val="21"/>
                <w:szCs w:val="21"/>
                <w:vertAlign w:val="subscript"/>
              </w:rPr>
              <w:t>50</w:t>
            </w:r>
          </w:p>
        </w:tc>
        <w:tc>
          <w:tcPr>
            <w:tcW w:w="546" w:type="pct"/>
          </w:tcPr>
          <w:p>
            <w:pPr>
              <w:pStyle w:val="19"/>
              <w:tabs>
                <w:tab w:val="center" w:pos="4153"/>
                <w:tab w:val="left" w:pos="6845"/>
              </w:tabs>
              <w:jc w:val="both"/>
              <w:rPr>
                <w:sz w:val="21"/>
                <w:szCs w:val="21"/>
              </w:rPr>
            </w:pPr>
            <w:r>
              <w:rPr>
                <w:sz w:val="21"/>
                <w:szCs w:val="21"/>
              </w:rPr>
              <w:t>健康危害</w:t>
            </w:r>
          </w:p>
        </w:tc>
        <w:tc>
          <w:tcPr>
            <w:tcW w:w="2696" w:type="pct"/>
            <w:gridSpan w:val="2"/>
          </w:tcPr>
          <w:p>
            <w:pPr>
              <w:pStyle w:val="19"/>
              <w:tabs>
                <w:tab w:val="center" w:pos="4153"/>
                <w:tab w:val="left" w:pos="6845"/>
              </w:tabs>
              <w:jc w:val="both"/>
              <w:rPr>
                <w:sz w:val="21"/>
                <w:szCs w:val="21"/>
              </w:rPr>
            </w:pPr>
            <w:r>
              <w:rPr>
                <w:sz w:val="21"/>
                <w:szCs w:val="21"/>
              </w:rPr>
              <w:t>次氯酸钠放出的游离氯可引起中毒，亦可引起皮肤病；已知本品有致敏作用。用次氯酸钠漂白液洗手的人，手掌大量出汗，指甲变薄，头发脱落。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vMerge w:val="continue"/>
          </w:tcPr>
          <w:p>
            <w:pPr>
              <w:pStyle w:val="19"/>
              <w:tabs>
                <w:tab w:val="center" w:pos="4153"/>
                <w:tab w:val="left" w:pos="6845"/>
              </w:tabs>
              <w:jc w:val="both"/>
              <w:rPr>
                <w:sz w:val="21"/>
                <w:szCs w:val="21"/>
              </w:rPr>
            </w:pPr>
          </w:p>
        </w:tc>
        <w:tc>
          <w:tcPr>
            <w:tcW w:w="563" w:type="pct"/>
          </w:tcPr>
          <w:p>
            <w:pPr>
              <w:pStyle w:val="19"/>
              <w:tabs>
                <w:tab w:val="center" w:pos="4153"/>
                <w:tab w:val="left" w:pos="6845"/>
              </w:tabs>
              <w:jc w:val="both"/>
              <w:rPr>
                <w:sz w:val="21"/>
                <w:szCs w:val="21"/>
              </w:rPr>
            </w:pPr>
            <w:r>
              <w:rPr>
                <w:rFonts w:hint="eastAsia"/>
                <w:sz w:val="21"/>
                <w:szCs w:val="21"/>
              </w:rPr>
              <w:t>急救方法</w:t>
            </w:r>
          </w:p>
        </w:tc>
        <w:tc>
          <w:tcPr>
            <w:tcW w:w="4018" w:type="pct"/>
            <w:gridSpan w:val="4"/>
          </w:tcPr>
          <w:p>
            <w:pPr>
              <w:pStyle w:val="19"/>
              <w:tabs>
                <w:tab w:val="center" w:pos="4153"/>
                <w:tab w:val="left" w:pos="6845"/>
              </w:tabs>
              <w:spacing w:line="280" w:lineRule="exact"/>
              <w:jc w:val="both"/>
              <w:rPr>
                <w:sz w:val="21"/>
                <w:szCs w:val="21"/>
              </w:rPr>
            </w:pPr>
            <w:r>
              <w:rPr>
                <w:sz w:val="21"/>
                <w:szCs w:val="21"/>
              </w:rPr>
              <w:t>皮肤接触：脱去被污染的衣着，用大量流动清水冲洗。眼睛接触：</w:t>
            </w:r>
          </w:p>
          <w:p>
            <w:pPr>
              <w:pStyle w:val="19"/>
              <w:tabs>
                <w:tab w:val="center" w:pos="4153"/>
                <w:tab w:val="left" w:pos="6845"/>
              </w:tabs>
              <w:spacing w:line="280" w:lineRule="exact"/>
              <w:jc w:val="both"/>
              <w:rPr>
                <w:sz w:val="21"/>
                <w:szCs w:val="21"/>
              </w:rPr>
            </w:pPr>
            <w:r>
              <w:rPr>
                <w:sz w:val="21"/>
                <w:szCs w:val="21"/>
              </w:rPr>
              <w:t>提起眼脸，用流动清水或生理盐水冲洗，就医。吸入：迅速脱离现场至空气新鲜处，保持呼吸道畅通，如呼吸困难，给输氧；如呼吸停止，立即进行人工呼吸，就医。食入：饮足量温水，催吐、就医。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 w:type="pct"/>
          </w:tcPr>
          <w:p>
            <w:pPr>
              <w:pStyle w:val="19"/>
              <w:tabs>
                <w:tab w:val="center" w:pos="4153"/>
                <w:tab w:val="left" w:pos="6845"/>
              </w:tabs>
              <w:jc w:val="both"/>
              <w:rPr>
                <w:sz w:val="21"/>
                <w:szCs w:val="21"/>
              </w:rPr>
            </w:pPr>
            <w:r>
              <w:rPr>
                <w:sz w:val="21"/>
                <w:szCs w:val="21"/>
              </w:rPr>
              <w:t>燃</w:t>
            </w:r>
          </w:p>
          <w:p>
            <w:pPr>
              <w:pStyle w:val="19"/>
              <w:tabs>
                <w:tab w:val="center" w:pos="4153"/>
                <w:tab w:val="left" w:pos="6845"/>
              </w:tabs>
              <w:jc w:val="both"/>
              <w:rPr>
                <w:sz w:val="21"/>
                <w:szCs w:val="21"/>
              </w:rPr>
            </w:pPr>
            <w:r>
              <w:rPr>
                <w:sz w:val="21"/>
                <w:szCs w:val="21"/>
              </w:rPr>
              <w:t>烧</w:t>
            </w:r>
          </w:p>
          <w:p>
            <w:pPr>
              <w:pStyle w:val="19"/>
              <w:tabs>
                <w:tab w:val="center" w:pos="4153"/>
                <w:tab w:val="left" w:pos="6845"/>
              </w:tabs>
              <w:jc w:val="both"/>
              <w:rPr>
                <w:sz w:val="21"/>
                <w:szCs w:val="21"/>
              </w:rPr>
            </w:pPr>
            <w:r>
              <w:rPr>
                <w:sz w:val="21"/>
                <w:szCs w:val="21"/>
              </w:rPr>
              <w:t>爆</w:t>
            </w:r>
          </w:p>
          <w:p>
            <w:pPr>
              <w:pStyle w:val="19"/>
              <w:tabs>
                <w:tab w:val="center" w:pos="4153"/>
                <w:tab w:val="left" w:pos="6845"/>
              </w:tabs>
              <w:jc w:val="both"/>
              <w:rPr>
                <w:sz w:val="21"/>
                <w:szCs w:val="21"/>
              </w:rPr>
            </w:pPr>
            <w:r>
              <w:rPr>
                <w:sz w:val="21"/>
                <w:szCs w:val="21"/>
              </w:rPr>
              <w:t>炸</w:t>
            </w:r>
          </w:p>
          <w:p>
            <w:pPr>
              <w:pStyle w:val="19"/>
              <w:tabs>
                <w:tab w:val="center" w:pos="4153"/>
                <w:tab w:val="left" w:pos="6845"/>
              </w:tabs>
              <w:jc w:val="both"/>
              <w:rPr>
                <w:sz w:val="21"/>
                <w:szCs w:val="21"/>
              </w:rPr>
            </w:pPr>
            <w:r>
              <w:rPr>
                <w:sz w:val="21"/>
                <w:szCs w:val="21"/>
              </w:rPr>
              <w:t>危</w:t>
            </w:r>
          </w:p>
          <w:p>
            <w:pPr>
              <w:pStyle w:val="19"/>
              <w:tabs>
                <w:tab w:val="center" w:pos="4153"/>
                <w:tab w:val="left" w:pos="6845"/>
              </w:tabs>
              <w:jc w:val="both"/>
              <w:rPr>
                <w:sz w:val="21"/>
                <w:szCs w:val="21"/>
              </w:rPr>
            </w:pPr>
            <w:r>
              <w:rPr>
                <w:sz w:val="21"/>
                <w:szCs w:val="21"/>
              </w:rPr>
              <w:t>险</w:t>
            </w:r>
          </w:p>
          <w:p>
            <w:pPr>
              <w:pStyle w:val="19"/>
              <w:tabs>
                <w:tab w:val="center" w:pos="4153"/>
                <w:tab w:val="left" w:pos="6845"/>
              </w:tabs>
              <w:jc w:val="both"/>
              <w:rPr>
                <w:sz w:val="21"/>
                <w:szCs w:val="21"/>
              </w:rPr>
            </w:pPr>
            <w:r>
              <w:rPr>
                <w:sz w:val="21"/>
                <w:szCs w:val="21"/>
              </w:rPr>
              <w:t>性</w:t>
            </w:r>
          </w:p>
        </w:tc>
        <w:tc>
          <w:tcPr>
            <w:tcW w:w="4582" w:type="pct"/>
            <w:gridSpan w:val="5"/>
          </w:tcPr>
          <w:tbl>
            <w:tblPr>
              <w:tblStyle w:val="22"/>
              <w:tblW w:w="78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1969"/>
              <w:gridCol w:w="1969"/>
              <w:gridCol w:w="19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燃烧性</w:t>
                  </w:r>
                </w:p>
              </w:tc>
              <w:tc>
                <w:tcPr>
                  <w:tcW w:w="1969" w:type="dxa"/>
                </w:tcPr>
                <w:p>
                  <w:pPr>
                    <w:pStyle w:val="19"/>
                    <w:tabs>
                      <w:tab w:val="center" w:pos="4153"/>
                      <w:tab w:val="left" w:pos="6845"/>
                    </w:tabs>
                    <w:jc w:val="both"/>
                    <w:rPr>
                      <w:sz w:val="21"/>
                      <w:szCs w:val="21"/>
                    </w:rPr>
                  </w:pPr>
                  <w:r>
                    <w:rPr>
                      <w:rFonts w:hint="eastAsia"/>
                      <w:sz w:val="21"/>
                      <w:szCs w:val="21"/>
                    </w:rPr>
                    <w:t>不燃</w:t>
                  </w:r>
                </w:p>
              </w:tc>
              <w:tc>
                <w:tcPr>
                  <w:tcW w:w="1969" w:type="dxa"/>
                </w:tcPr>
                <w:p>
                  <w:pPr>
                    <w:pStyle w:val="19"/>
                    <w:tabs>
                      <w:tab w:val="center" w:pos="4153"/>
                      <w:tab w:val="left" w:pos="6845"/>
                    </w:tabs>
                    <w:jc w:val="both"/>
                    <w:rPr>
                      <w:sz w:val="21"/>
                      <w:szCs w:val="21"/>
                    </w:rPr>
                  </w:pPr>
                  <w:r>
                    <w:rPr>
                      <w:rFonts w:hint="eastAsia"/>
                      <w:sz w:val="21"/>
                      <w:szCs w:val="21"/>
                    </w:rPr>
                    <w:t>燃烧分解物</w:t>
                  </w:r>
                </w:p>
              </w:tc>
              <w:tc>
                <w:tcPr>
                  <w:tcW w:w="1969" w:type="dxa"/>
                </w:tcPr>
                <w:p>
                  <w:pPr>
                    <w:pStyle w:val="19"/>
                    <w:tabs>
                      <w:tab w:val="center" w:pos="4153"/>
                      <w:tab w:val="left" w:pos="6845"/>
                    </w:tabs>
                    <w:jc w:val="both"/>
                    <w:rPr>
                      <w:sz w:val="21"/>
                      <w:szCs w:val="21"/>
                    </w:rPr>
                  </w:pPr>
                  <w:r>
                    <w:rPr>
                      <w:rFonts w:hint="eastAsia"/>
                      <w:sz w:val="21"/>
                      <w:szCs w:val="21"/>
                    </w:rPr>
                    <w:t>氯化物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熔点（°C）</w:t>
                  </w:r>
                </w:p>
              </w:tc>
              <w:tc>
                <w:tcPr>
                  <w:tcW w:w="1969" w:type="dxa"/>
                </w:tcPr>
                <w:p>
                  <w:pPr>
                    <w:pStyle w:val="19"/>
                    <w:tabs>
                      <w:tab w:val="center" w:pos="4153"/>
                      <w:tab w:val="left" w:pos="6845"/>
                    </w:tabs>
                    <w:jc w:val="both"/>
                    <w:rPr>
                      <w:sz w:val="21"/>
                      <w:szCs w:val="21"/>
                    </w:rPr>
                  </w:pPr>
                  <w:r>
                    <w:rPr>
                      <w:rFonts w:hint="eastAsia"/>
                      <w:sz w:val="21"/>
                      <w:szCs w:val="21"/>
                    </w:rPr>
                    <w:t>/</w:t>
                  </w:r>
                </w:p>
              </w:tc>
              <w:tc>
                <w:tcPr>
                  <w:tcW w:w="1969" w:type="dxa"/>
                </w:tcPr>
                <w:p>
                  <w:pPr>
                    <w:pStyle w:val="19"/>
                    <w:tabs>
                      <w:tab w:val="left" w:pos="6845"/>
                    </w:tabs>
                    <w:jc w:val="both"/>
                    <w:rPr>
                      <w:sz w:val="21"/>
                      <w:szCs w:val="21"/>
                    </w:rPr>
                  </w:pPr>
                  <w:r>
                    <w:rPr>
                      <w:rFonts w:hint="eastAsia"/>
                      <w:sz w:val="21"/>
                      <w:szCs w:val="21"/>
                    </w:rPr>
                    <w:t>相对密度（水=1）</w:t>
                  </w:r>
                </w:p>
              </w:tc>
              <w:tc>
                <w:tcPr>
                  <w:tcW w:w="1969" w:type="dxa"/>
                </w:tcPr>
                <w:p>
                  <w:pPr>
                    <w:pStyle w:val="19"/>
                    <w:tabs>
                      <w:tab w:val="center" w:pos="4153"/>
                      <w:tab w:val="left" w:pos="6845"/>
                    </w:tabs>
                    <w:jc w:val="both"/>
                    <w:rPr>
                      <w:sz w:val="21"/>
                      <w:szCs w:val="21"/>
                    </w:rPr>
                  </w:pP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饱和蒸气压（</w:t>
                  </w:r>
                  <w:r>
                    <w:rPr>
                      <w:rFonts w:hint="eastAsia"/>
                      <w:smallCaps w:val="0"/>
                      <w:sz w:val="21"/>
                      <w:szCs w:val="21"/>
                    </w:rPr>
                    <w:t>kpa</w:t>
                  </w:r>
                  <w:r>
                    <w:rPr>
                      <w:rFonts w:hint="eastAsia"/>
                      <w:sz w:val="21"/>
                      <w:szCs w:val="21"/>
                    </w:rPr>
                    <w:t>）</w:t>
                  </w:r>
                </w:p>
              </w:tc>
              <w:tc>
                <w:tcPr>
                  <w:tcW w:w="1969" w:type="dxa"/>
                </w:tcPr>
                <w:p>
                  <w:pPr>
                    <w:pStyle w:val="19"/>
                    <w:tabs>
                      <w:tab w:val="center" w:pos="4153"/>
                      <w:tab w:val="left" w:pos="6845"/>
                    </w:tabs>
                    <w:jc w:val="both"/>
                    <w:rPr>
                      <w:sz w:val="21"/>
                      <w:szCs w:val="21"/>
                    </w:rPr>
                  </w:pPr>
                  <w:r>
                    <w:rPr>
                      <w:rFonts w:hint="eastAsia"/>
                      <w:sz w:val="21"/>
                      <w:szCs w:val="21"/>
                    </w:rPr>
                    <w:t>/</w:t>
                  </w:r>
                </w:p>
              </w:tc>
              <w:tc>
                <w:tcPr>
                  <w:tcW w:w="1969" w:type="dxa"/>
                </w:tcPr>
                <w:p>
                  <w:pPr>
                    <w:pStyle w:val="19"/>
                    <w:tabs>
                      <w:tab w:val="center" w:pos="4153"/>
                      <w:tab w:val="left" w:pos="6845"/>
                    </w:tabs>
                    <w:jc w:val="both"/>
                    <w:rPr>
                      <w:sz w:val="21"/>
                      <w:szCs w:val="21"/>
                    </w:rPr>
                  </w:pPr>
                  <w:r>
                    <w:rPr>
                      <w:rFonts w:hint="eastAsia"/>
                      <w:sz w:val="21"/>
                      <w:szCs w:val="21"/>
                    </w:rPr>
                    <w:t>溶解性</w:t>
                  </w:r>
                </w:p>
              </w:tc>
              <w:tc>
                <w:tcPr>
                  <w:tcW w:w="1969" w:type="dxa"/>
                </w:tcPr>
                <w:p>
                  <w:pPr>
                    <w:pStyle w:val="19"/>
                    <w:tabs>
                      <w:tab w:val="center" w:pos="4153"/>
                      <w:tab w:val="left" w:pos="6845"/>
                    </w:tabs>
                    <w:jc w:val="both"/>
                    <w:rPr>
                      <w:sz w:val="21"/>
                      <w:szCs w:val="21"/>
                    </w:rPr>
                  </w:pPr>
                  <w:r>
                    <w:rPr>
                      <w:rFonts w:hint="eastAsia"/>
                      <w:sz w:val="21"/>
                      <w:szCs w:val="21"/>
                    </w:rPr>
                    <w:t>易溶于水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危险特性</w:t>
                  </w:r>
                </w:p>
              </w:tc>
              <w:tc>
                <w:tcPr>
                  <w:tcW w:w="5907" w:type="dxa"/>
                  <w:gridSpan w:val="3"/>
                </w:tcPr>
                <w:p>
                  <w:pPr>
                    <w:pStyle w:val="19"/>
                    <w:tabs>
                      <w:tab w:val="left" w:pos="1213"/>
                      <w:tab w:val="left" w:pos="6845"/>
                    </w:tabs>
                    <w:jc w:val="both"/>
                    <w:rPr>
                      <w:sz w:val="21"/>
                      <w:szCs w:val="21"/>
                    </w:rPr>
                  </w:pPr>
                  <w:r>
                    <w:rPr>
                      <w:rFonts w:hint="eastAsia"/>
                      <w:sz w:val="21"/>
                      <w:szCs w:val="21"/>
                    </w:rPr>
                    <w:t>与有机物、日光接触发出有毒的氯气。对大多数金属有轻微的</w:t>
                  </w:r>
                </w:p>
                <w:p>
                  <w:pPr>
                    <w:pStyle w:val="19"/>
                    <w:tabs>
                      <w:tab w:val="left" w:pos="1213"/>
                      <w:tab w:val="left" w:pos="6845"/>
                    </w:tabs>
                    <w:jc w:val="both"/>
                    <w:rPr>
                      <w:sz w:val="21"/>
                      <w:szCs w:val="21"/>
                    </w:rPr>
                  </w:pPr>
                  <w:r>
                    <w:rPr>
                      <w:rFonts w:hint="eastAsia"/>
                      <w:sz w:val="21"/>
                      <w:szCs w:val="21"/>
                    </w:rPr>
                    <w:t>腐蚀。与酸接触时散发具有刺激性和腐蚀性气体。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禁配物</w:t>
                  </w:r>
                </w:p>
              </w:tc>
              <w:tc>
                <w:tcPr>
                  <w:tcW w:w="5907" w:type="dxa"/>
                  <w:gridSpan w:val="3"/>
                </w:tcPr>
                <w:p>
                  <w:pPr>
                    <w:pStyle w:val="19"/>
                    <w:tabs>
                      <w:tab w:val="left" w:pos="1213"/>
                      <w:tab w:val="left" w:pos="6845"/>
                    </w:tabs>
                    <w:jc w:val="both"/>
                    <w:rPr>
                      <w:sz w:val="21"/>
                      <w:szCs w:val="21"/>
                    </w:rPr>
                  </w:pPr>
                  <w:r>
                    <w:rPr>
                      <w:rFonts w:hint="eastAsia"/>
                      <w:sz w:val="21"/>
                      <w:szCs w:val="21"/>
                    </w:rPr>
                    <w:t>还原剂、易燃或可燃物、自然物、酸类、碱类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废弃处置方法</w:t>
                  </w:r>
                </w:p>
              </w:tc>
              <w:tc>
                <w:tcPr>
                  <w:tcW w:w="5907" w:type="dxa"/>
                  <w:gridSpan w:val="3"/>
                </w:tcPr>
                <w:p>
                  <w:pPr>
                    <w:pStyle w:val="19"/>
                    <w:tabs>
                      <w:tab w:val="left" w:pos="1213"/>
                      <w:tab w:val="left" w:pos="6845"/>
                    </w:tabs>
                    <w:jc w:val="both"/>
                    <w:rPr>
                      <w:sz w:val="21"/>
                      <w:szCs w:val="21"/>
                    </w:rPr>
                  </w:pPr>
                  <w:r>
                    <w:rPr>
                      <w:rFonts w:hint="eastAsia"/>
                      <w:sz w:val="21"/>
                      <w:szCs w:val="21"/>
                    </w:rPr>
                    <w:t>处置前应参阅国家和地方有关规定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运输注意事项</w:t>
                  </w:r>
                </w:p>
              </w:tc>
              <w:tc>
                <w:tcPr>
                  <w:tcW w:w="5907" w:type="dxa"/>
                  <w:gridSpan w:val="3"/>
                </w:tcPr>
                <w:p>
                  <w:pPr>
                    <w:pStyle w:val="19"/>
                    <w:tabs>
                      <w:tab w:val="left" w:pos="1213"/>
                      <w:tab w:val="left" w:pos="6845"/>
                    </w:tabs>
                    <w:spacing w:line="280" w:lineRule="exact"/>
                    <w:jc w:val="both"/>
                    <w:rPr>
                      <w:sz w:val="21"/>
                      <w:szCs w:val="21"/>
                    </w:rPr>
                  </w:pPr>
                  <w:r>
                    <w:rPr>
                      <w:rFonts w:hint="eastAsia"/>
                      <w:sz w:val="21"/>
                      <w:szCs w:val="21"/>
                    </w:rPr>
                    <w:t>储运条件：储存于阴凉、干燥、通风的仓间内；远离火种、热</w:t>
                  </w:r>
                </w:p>
                <w:p>
                  <w:pPr>
                    <w:pStyle w:val="19"/>
                    <w:tabs>
                      <w:tab w:val="left" w:pos="1213"/>
                      <w:tab w:val="left" w:pos="6845"/>
                    </w:tabs>
                    <w:spacing w:line="280" w:lineRule="exact"/>
                    <w:jc w:val="both"/>
                    <w:rPr>
                      <w:sz w:val="21"/>
                      <w:szCs w:val="21"/>
                    </w:rPr>
                  </w:pPr>
                  <w:r>
                    <w:rPr>
                      <w:rFonts w:hint="eastAsia"/>
                      <w:sz w:val="21"/>
                      <w:szCs w:val="21"/>
                    </w:rPr>
                    <w:t>源，防止阳光直射。应与还原剂、易燃或可燃物、酸类、碱类</w:t>
                  </w:r>
                </w:p>
                <w:p>
                  <w:pPr>
                    <w:pStyle w:val="19"/>
                    <w:tabs>
                      <w:tab w:val="left" w:pos="1213"/>
                      <w:tab w:val="left" w:pos="6845"/>
                    </w:tabs>
                    <w:spacing w:line="280" w:lineRule="exact"/>
                    <w:jc w:val="both"/>
                    <w:rPr>
                      <w:sz w:val="21"/>
                      <w:szCs w:val="21"/>
                    </w:rPr>
                  </w:pPr>
                  <w:r>
                    <w:rPr>
                      <w:rFonts w:hint="eastAsia"/>
                      <w:sz w:val="21"/>
                      <w:szCs w:val="21"/>
                    </w:rPr>
                    <w:t>分开存放；分装和搬运应注意个人防护。搬运时应轻装轻卸，</w:t>
                  </w:r>
                </w:p>
                <w:p>
                  <w:pPr>
                    <w:pStyle w:val="19"/>
                    <w:tabs>
                      <w:tab w:val="left" w:pos="1213"/>
                      <w:tab w:val="left" w:pos="6845"/>
                    </w:tabs>
                    <w:spacing w:line="280" w:lineRule="exact"/>
                    <w:jc w:val="both"/>
                    <w:rPr>
                      <w:sz w:val="21"/>
                      <w:szCs w:val="21"/>
                    </w:rPr>
                  </w:pPr>
                  <w:r>
                    <w:rPr>
                      <w:rFonts w:hint="eastAsia"/>
                      <w:sz w:val="21"/>
                      <w:szCs w:val="21"/>
                    </w:rPr>
                    <w:t>防止包装和容器损坏。泄漏处理：迅速撤离泄漏污染区人员至</w:t>
                  </w:r>
                </w:p>
                <w:p>
                  <w:pPr>
                    <w:pStyle w:val="19"/>
                    <w:tabs>
                      <w:tab w:val="left" w:pos="1213"/>
                      <w:tab w:val="left" w:pos="6845"/>
                    </w:tabs>
                    <w:spacing w:line="280" w:lineRule="exact"/>
                    <w:jc w:val="both"/>
                    <w:rPr>
                      <w:sz w:val="21"/>
                      <w:szCs w:val="21"/>
                    </w:rPr>
                  </w:pPr>
                  <w:r>
                    <w:rPr>
                      <w:rFonts w:hint="eastAsia"/>
                      <w:sz w:val="21"/>
                      <w:szCs w:val="21"/>
                    </w:rPr>
                    <w:t>安全区，并进行隔离，严格限制出入。尽可能切断泄露源、排</w:t>
                  </w:r>
                </w:p>
                <w:p>
                  <w:pPr>
                    <w:pStyle w:val="19"/>
                    <w:tabs>
                      <w:tab w:val="left" w:pos="1213"/>
                      <w:tab w:val="left" w:pos="6845"/>
                    </w:tabs>
                    <w:spacing w:line="280" w:lineRule="exact"/>
                    <w:jc w:val="both"/>
                    <w:rPr>
                      <w:sz w:val="21"/>
                      <w:szCs w:val="21"/>
                    </w:rPr>
                  </w:pPr>
                  <w:r>
                    <w:rPr>
                      <w:rFonts w:hint="eastAsia"/>
                      <w:sz w:val="21"/>
                      <w:szCs w:val="21"/>
                    </w:rPr>
                    <w:t>洪沟等限制性空间。如出现大量泄漏，用泡沫覆盖，降低蒸汽</w:t>
                  </w:r>
                </w:p>
                <w:p>
                  <w:pPr>
                    <w:pStyle w:val="19"/>
                    <w:tabs>
                      <w:tab w:val="left" w:pos="1213"/>
                      <w:tab w:val="left" w:pos="6845"/>
                    </w:tabs>
                    <w:spacing w:line="280" w:lineRule="exact"/>
                    <w:jc w:val="both"/>
                    <w:rPr>
                      <w:sz w:val="21"/>
                      <w:szCs w:val="21"/>
                    </w:rPr>
                  </w:pPr>
                  <w:r>
                    <w:rPr>
                      <w:rFonts w:hint="eastAsia"/>
                      <w:sz w:val="21"/>
                      <w:szCs w:val="21"/>
                    </w:rPr>
                    <w:t>灾害，用泵转移至槽车或专用收集器内，回收或清运至危险废</w:t>
                  </w:r>
                </w:p>
                <w:p>
                  <w:pPr>
                    <w:pStyle w:val="19"/>
                    <w:tabs>
                      <w:tab w:val="left" w:pos="1213"/>
                      <w:tab w:val="left" w:pos="6845"/>
                    </w:tabs>
                    <w:spacing w:line="280" w:lineRule="exact"/>
                    <w:jc w:val="both"/>
                    <w:rPr>
                      <w:sz w:val="21"/>
                      <w:szCs w:val="21"/>
                    </w:rPr>
                  </w:pPr>
                  <w:r>
                    <w:rPr>
                      <w:rFonts w:hint="eastAsia"/>
                      <w:sz w:val="21"/>
                      <w:szCs w:val="21"/>
                    </w:rPr>
                    <w:t>物处理场所进行处置。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sz w:val="21"/>
                      <w:szCs w:val="21"/>
                    </w:rPr>
                  </w:pPr>
                  <w:r>
                    <w:rPr>
                      <w:rFonts w:hint="eastAsia"/>
                      <w:sz w:val="21"/>
                      <w:szCs w:val="21"/>
                    </w:rPr>
                    <w:t>灭火方法</w:t>
                  </w:r>
                </w:p>
              </w:tc>
              <w:tc>
                <w:tcPr>
                  <w:tcW w:w="5907" w:type="dxa"/>
                  <w:gridSpan w:val="3"/>
                </w:tcPr>
                <w:p>
                  <w:pPr>
                    <w:pStyle w:val="19"/>
                    <w:tabs>
                      <w:tab w:val="left" w:pos="1213"/>
                      <w:tab w:val="left" w:pos="6845"/>
                    </w:tabs>
                    <w:jc w:val="both"/>
                    <w:rPr>
                      <w:sz w:val="21"/>
                      <w:szCs w:val="21"/>
                    </w:rPr>
                  </w:pPr>
                  <w:r>
                    <w:rPr>
                      <w:rFonts w:hint="eastAsia"/>
                      <w:sz w:val="21"/>
                      <w:szCs w:val="21"/>
                    </w:rPr>
                    <w:t>用雾炮水、泡沫、二氧化碳、砂土灭火。</w:t>
                  </w:r>
                </w:p>
              </w:tc>
            </w:tr>
          </w:tbl>
          <w:p>
            <w:pPr>
              <w:pStyle w:val="19"/>
              <w:tabs>
                <w:tab w:val="center" w:pos="4153"/>
                <w:tab w:val="left" w:pos="6845"/>
              </w:tabs>
              <w:jc w:val="both"/>
              <w:rPr>
                <w:sz w:val="21"/>
                <w:szCs w:val="21"/>
              </w:rPr>
            </w:pPr>
          </w:p>
        </w:tc>
      </w:tr>
    </w:tbl>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r>
        <w:rPr>
          <w:b/>
          <w:bCs/>
        </w:rPr>
        <w:t>表 3-7 氢氧化钠理化性质和危险特性表</w:t>
      </w:r>
    </w:p>
    <w:p>
      <w:pPr>
        <w:pStyle w:val="19"/>
        <w:tabs>
          <w:tab w:val="center" w:pos="4153"/>
          <w:tab w:val="left" w:pos="6845"/>
        </w:tabs>
        <w:spacing w:line="360" w:lineRule="auto"/>
      </w:pPr>
      <w:r>
        <w:drawing>
          <wp:inline distT="0" distB="0" distL="114300" distR="114300">
            <wp:extent cx="5680710" cy="8260080"/>
            <wp:effectExtent l="0" t="0" r="381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cstate="print"/>
                    <a:stretch>
                      <a:fillRect/>
                    </a:stretch>
                  </pic:blipFill>
                  <pic:spPr>
                    <a:xfrm>
                      <a:off x="0" y="0"/>
                      <a:ext cx="5680710" cy="8260080"/>
                    </a:xfrm>
                    <a:prstGeom prst="rect">
                      <a:avLst/>
                    </a:prstGeom>
                    <a:noFill/>
                    <a:ln>
                      <a:noFill/>
                    </a:ln>
                  </pic:spPr>
                </pic:pic>
              </a:graphicData>
            </a:graphic>
          </wp:inline>
        </w:drawing>
      </w: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r>
        <w:rPr>
          <w:rFonts w:hint="eastAsia"/>
          <w:b/>
          <w:bCs/>
        </w:rPr>
        <w:t>表3-8  双氧水理化性质与危险特性</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1"/>
        <w:gridCol w:w="5486"/>
        <w:gridCol w:w="37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restart"/>
          </w:tcPr>
          <w:p>
            <w:pPr>
              <w:pStyle w:val="19"/>
              <w:tabs>
                <w:tab w:val="center" w:pos="4153"/>
                <w:tab w:val="left" w:pos="6845"/>
              </w:tabs>
              <w:jc w:val="both"/>
              <w:rPr>
                <w:smallCaps w:val="0"/>
                <w:color w:val="000000" w:themeColor="text1"/>
                <w:sz w:val="21"/>
                <w:szCs w:val="21"/>
              </w:rPr>
            </w:pPr>
            <w:r>
              <w:rPr>
                <w:rFonts w:hint="eastAsia"/>
                <w:smallCaps w:val="0"/>
                <w:color w:val="000000" w:themeColor="text1"/>
                <w:sz w:val="21"/>
                <w:szCs w:val="21"/>
              </w:rPr>
              <w:t>标识</w:t>
            </w:r>
          </w:p>
        </w:tc>
        <w:tc>
          <w:tcPr>
            <w:tcW w:w="4747" w:type="pct"/>
            <w:gridSpan w:val="2"/>
          </w:tcPr>
          <w:p>
            <w:pPr>
              <w:pStyle w:val="19"/>
              <w:tabs>
                <w:tab w:val="left" w:pos="6845"/>
              </w:tabs>
              <w:jc w:val="both"/>
              <w:rPr>
                <w:smallCaps w:val="0"/>
                <w:color w:val="000000" w:themeColor="text1"/>
                <w:sz w:val="21"/>
                <w:szCs w:val="21"/>
              </w:rPr>
            </w:pPr>
            <w:r>
              <w:rPr>
                <w:smallCaps w:val="0"/>
                <w:color w:val="000000" w:themeColor="text1"/>
                <w:sz w:val="21"/>
                <w:szCs w:val="21"/>
              </w:rPr>
              <w:t>中文名：</w:t>
            </w:r>
            <w:r>
              <w:rPr>
                <w:rFonts w:hint="eastAsia"/>
                <w:smallCaps w:val="0"/>
                <w:color w:val="000000" w:themeColor="text1"/>
                <w:sz w:val="21"/>
                <w:szCs w:val="21"/>
              </w:rPr>
              <w:t>过氧化氢</w:t>
            </w:r>
            <w:r>
              <w:rPr>
                <w:smallCaps w:val="0"/>
                <w:color w:val="000000" w:themeColor="text1"/>
                <w:sz w:val="21"/>
                <w:szCs w:val="21"/>
              </w:rPr>
              <w:t>（简称</w:t>
            </w:r>
            <w:r>
              <w:rPr>
                <w:rFonts w:hint="eastAsia"/>
                <w:smallCaps w:val="0"/>
                <w:color w:val="000000" w:themeColor="text1"/>
                <w:sz w:val="21"/>
                <w:szCs w:val="21"/>
              </w:rPr>
              <w:t>双氧水</w:t>
            </w:r>
            <w:r>
              <w:rPr>
                <w:smallCaps w:val="0"/>
                <w:color w:val="000000" w:themeColor="text1"/>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smallCaps w:val="0"/>
                <w:color w:val="000000" w:themeColor="text1"/>
                <w:sz w:val="21"/>
                <w:szCs w:val="21"/>
              </w:rPr>
            </w:pPr>
          </w:p>
        </w:tc>
        <w:tc>
          <w:tcPr>
            <w:tcW w:w="2816" w:type="pct"/>
          </w:tcPr>
          <w:p>
            <w:pPr>
              <w:widowControl/>
              <w:spacing w:line="240" w:lineRule="auto"/>
              <w:ind w:firstLine="420"/>
              <w:rPr>
                <w:smallCaps w:val="0"/>
                <w:color w:val="000000" w:themeColor="text1"/>
                <w:sz w:val="21"/>
                <w:szCs w:val="21"/>
              </w:rPr>
            </w:pPr>
            <w:r>
              <w:rPr>
                <w:smallCaps w:val="0"/>
                <w:color w:val="000000" w:themeColor="text1"/>
                <w:sz w:val="21"/>
                <w:szCs w:val="21"/>
              </w:rPr>
              <w:t>英文名：</w:t>
            </w:r>
            <w:r>
              <w:rPr>
                <w:smallCaps w:val="0"/>
                <w:color w:val="000000" w:themeColor="text1"/>
                <w:sz w:val="21"/>
                <w:szCs w:val="21"/>
                <w:shd w:val="clear" w:color="auto" w:fill="FFFFFF"/>
              </w:rPr>
              <w:t>hydrogen peroxide</w:t>
            </w:r>
          </w:p>
        </w:tc>
        <w:tc>
          <w:tcPr>
            <w:tcW w:w="1931" w:type="pct"/>
          </w:tcPr>
          <w:p>
            <w:pPr>
              <w:pStyle w:val="19"/>
              <w:tabs>
                <w:tab w:val="center" w:pos="4153"/>
                <w:tab w:val="left" w:pos="6845"/>
              </w:tabs>
              <w:ind w:firstLine="630" w:firstLineChars="300"/>
              <w:jc w:val="both"/>
              <w:rPr>
                <w:smallCaps w:val="0"/>
                <w:color w:val="000000" w:themeColor="text1"/>
                <w:sz w:val="21"/>
                <w:szCs w:val="21"/>
              </w:rPr>
            </w:pPr>
            <w:r>
              <w:rPr>
                <w:rFonts w:ascii="Times New Roman" w:hAnsi="Times New Roman" w:cs="Times New Roman"/>
                <w:smallCaps w:val="0"/>
                <w:color w:val="000000" w:themeColor="text1"/>
                <w:sz w:val="21"/>
                <w:szCs w:val="21"/>
              </w:rPr>
              <w:t>CAS号：</w:t>
            </w:r>
            <w:r>
              <w:fldChar w:fldCharType="begin"/>
            </w:r>
            <w:r>
              <w:instrText xml:space="preserve"> HYPERLINK "https://www.chemsrc.com/baike/584358.html" \t "https://www.chemsrc.com/searchResult/%25E5%258F%258C%25E6%25B0%25A7%25E6%25B0%25B4/_blank" </w:instrText>
            </w:r>
            <w:r>
              <w:fldChar w:fldCharType="separate"/>
            </w:r>
            <w:r>
              <w:rPr>
                <w:rStyle w:val="29"/>
                <w:rFonts w:ascii="Times New Roman" w:hAnsi="Times New Roman" w:eastAsia="Helvetica" w:cs="Times New Roman"/>
                <w:smallCaps w:val="0"/>
                <w:color w:val="000000" w:themeColor="text1"/>
                <w:sz w:val="21"/>
                <w:szCs w:val="21"/>
              </w:rPr>
              <w:t>7722-84-1</w:t>
            </w:r>
            <w:r>
              <w:rPr>
                <w:rStyle w:val="29"/>
                <w:rFonts w:ascii="Times New Roman" w:hAnsi="Times New Roman" w:eastAsia="Helvetica" w:cs="Times New Roman"/>
                <w:smallCaps w:val="0"/>
                <w:color w:val="000000" w:themeColor="text1"/>
                <w:sz w:val="21"/>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smallCaps w:val="0"/>
                <w:color w:val="000000" w:themeColor="text1"/>
                <w:sz w:val="21"/>
                <w:szCs w:val="21"/>
              </w:rPr>
            </w:pPr>
          </w:p>
        </w:tc>
        <w:tc>
          <w:tcPr>
            <w:tcW w:w="2816" w:type="pct"/>
          </w:tcPr>
          <w:p>
            <w:pPr>
              <w:widowControl/>
              <w:spacing w:line="240" w:lineRule="auto"/>
              <w:ind w:firstLine="420"/>
              <w:rPr>
                <w:smallCaps w:val="0"/>
                <w:color w:val="000000" w:themeColor="text1"/>
                <w:sz w:val="21"/>
                <w:szCs w:val="21"/>
              </w:rPr>
            </w:pPr>
            <w:r>
              <w:rPr>
                <w:rFonts w:cs="Times New Roman"/>
                <w:smallCaps w:val="0"/>
                <w:color w:val="000000" w:themeColor="text1"/>
                <w:sz w:val="21"/>
                <w:szCs w:val="21"/>
              </w:rPr>
              <w:t>分子式：</w:t>
            </w:r>
            <w:r>
              <w:rPr>
                <w:smallCaps w:val="0"/>
                <w:color w:val="000000" w:themeColor="text1"/>
                <w:sz w:val="21"/>
                <w:szCs w:val="21"/>
                <w:shd w:val="clear" w:color="auto" w:fill="FFFFFF"/>
              </w:rPr>
              <w:t xml:space="preserve">H₂O₂ </w:t>
            </w:r>
          </w:p>
        </w:tc>
        <w:tc>
          <w:tcPr>
            <w:tcW w:w="1931" w:type="pct"/>
          </w:tcPr>
          <w:p>
            <w:pPr>
              <w:pStyle w:val="19"/>
              <w:tabs>
                <w:tab w:val="center" w:pos="4153"/>
                <w:tab w:val="left" w:pos="6845"/>
              </w:tabs>
              <w:ind w:firstLine="630" w:firstLineChars="300"/>
              <w:jc w:val="both"/>
              <w:rPr>
                <w:smallCaps w:val="0"/>
                <w:color w:val="000000" w:themeColor="text1"/>
                <w:sz w:val="21"/>
                <w:szCs w:val="21"/>
              </w:rPr>
            </w:pPr>
            <w:r>
              <w:rPr>
                <w:smallCaps w:val="0"/>
                <w:color w:val="000000" w:themeColor="text1"/>
                <w:sz w:val="21"/>
                <w:szCs w:val="21"/>
              </w:rPr>
              <w:t>分子量：</w:t>
            </w:r>
            <w:r>
              <w:rPr>
                <w:rFonts w:hint="eastAsia"/>
                <w:smallCaps w:val="0"/>
                <w:color w:val="000000" w:themeColor="text1"/>
                <w:sz w:val="21"/>
                <w:szCs w:val="21"/>
              </w:rPr>
              <w:t>34.01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mallCaps w:val="0"/>
                <w:color w:val="000000" w:themeColor="text1"/>
                <w:sz w:val="21"/>
                <w:szCs w:val="21"/>
              </w:rPr>
            </w:pPr>
            <w:r>
              <w:rPr>
                <w:rFonts w:hint="eastAsia"/>
                <w:smallCaps w:val="0"/>
                <w:color w:val="000000" w:themeColor="text1"/>
                <w:sz w:val="21"/>
                <w:szCs w:val="21"/>
              </w:rPr>
              <w:t>物理性</w:t>
            </w:r>
          </w:p>
          <w:p>
            <w:pPr>
              <w:pStyle w:val="19"/>
              <w:tabs>
                <w:tab w:val="center" w:pos="4153"/>
                <w:tab w:val="left" w:pos="6845"/>
              </w:tabs>
              <w:jc w:val="both"/>
              <w:rPr>
                <w:smallCaps w:val="0"/>
                <w:color w:val="000000" w:themeColor="text1"/>
                <w:sz w:val="21"/>
                <w:szCs w:val="21"/>
              </w:rPr>
            </w:pPr>
            <w:r>
              <w:rPr>
                <w:rFonts w:hint="eastAsia"/>
                <w:smallCaps w:val="0"/>
                <w:color w:val="000000" w:themeColor="text1"/>
                <w:sz w:val="21"/>
                <w:szCs w:val="21"/>
              </w:rPr>
              <w:t>质</w:t>
            </w:r>
          </w:p>
        </w:tc>
        <w:tc>
          <w:tcPr>
            <w:tcW w:w="4747" w:type="pct"/>
            <w:gridSpan w:val="2"/>
          </w:tcPr>
          <w:p>
            <w:pPr>
              <w:widowControl/>
              <w:shd w:val="clear" w:color="auto" w:fill="FFFFFF"/>
              <w:spacing w:line="28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过氧化氢为蓝色黏稠状液体，溶于水、醇、</w:t>
            </w:r>
            <w:r>
              <w:fldChar w:fldCharType="begin"/>
            </w:r>
            <w:r>
              <w:instrText xml:space="preserve"> HYPERLINK "https://baike.baidu.com/item/%E4%B9%99%E9%86%9A"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乙醚</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，不溶于</w:t>
            </w:r>
            <w:r>
              <w:fldChar w:fldCharType="begin"/>
            </w:r>
            <w:r>
              <w:instrText xml:space="preserve"> HYPERLINK "https://baike.baidu.com/item/%E8%8B%AF"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苯</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w:t>
            </w:r>
            <w:r>
              <w:fldChar w:fldCharType="begin"/>
            </w:r>
            <w:r>
              <w:instrText xml:space="preserve"> HYPERLINK "https://baike.baidu.com/item/%E7%9F%B3%E6%B2%B9%E9%86%9A"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石油醚</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，水溶液为无色透明液体。熔点-0.43 °C，沸点150.2 °C，纯的过氧化氢其分子构型会改变，所以熔沸点也会发生变化。凝固点时固体密度为1.71g/cm³，</w:t>
            </w:r>
            <w:r>
              <w:fldChar w:fldCharType="begin"/>
            </w:r>
            <w:r>
              <w:instrText xml:space="preserve"> HYPERLINK "https://baike.baidu.com/item/%E5%AF%86%E5%BA%A6"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密度</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随温度升高而减小。它的缔合程度比H2O大，所以它的</w:t>
            </w:r>
            <w:r>
              <w:fldChar w:fldCharType="begin"/>
            </w:r>
            <w:r>
              <w:instrText xml:space="preserve"> HYPERLINK "https://baike.baidu.com/item/%E4%BB%8B%E7%94%B5%E5%B8%B8%E6%95%B0"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介电常数</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和沸点比水高。</w:t>
            </w:r>
          </w:p>
          <w:p>
            <w:pPr>
              <w:pStyle w:val="19"/>
              <w:tabs>
                <w:tab w:val="center" w:pos="4153"/>
                <w:tab w:val="left" w:pos="6845"/>
              </w:tabs>
              <w:spacing w:line="280" w:lineRule="exact"/>
              <w:jc w:val="both"/>
              <w:rPr>
                <w:smallCaps w:val="0"/>
                <w:color w:val="000000" w:themeColor="text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mallCaps w:val="0"/>
                <w:color w:val="000000" w:themeColor="text1"/>
                <w:sz w:val="21"/>
                <w:szCs w:val="21"/>
              </w:rPr>
            </w:pPr>
            <w:r>
              <w:rPr>
                <w:rFonts w:hint="eastAsia"/>
                <w:smallCaps w:val="0"/>
                <w:color w:val="000000" w:themeColor="text1"/>
                <w:sz w:val="21"/>
                <w:szCs w:val="21"/>
              </w:rPr>
              <w:t>危险特性</w:t>
            </w:r>
          </w:p>
        </w:tc>
        <w:tc>
          <w:tcPr>
            <w:tcW w:w="4747" w:type="pct"/>
            <w:gridSpan w:val="2"/>
          </w:tcPr>
          <w:p>
            <w:pPr>
              <w:widowControl/>
              <w:shd w:val="clear" w:color="auto" w:fill="FFFFFF"/>
              <w:spacing w:line="28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爆炸性强氧化剂。过氧化氢自身不燃，但能与可燃物反应放出大量热量和氧气而引起着火爆炸。过氧化氢在pH值为3.5～4.5时最稳定，在碱性溶液中极易分解，在遇强光，特别是短波射线照射时也能发生分解。当加热到100℃以上时，开始急剧分解。它与许多有机物如糖、淀粉、醇类、石油产品等形成</w:t>
            </w:r>
            <w:r>
              <w:fldChar w:fldCharType="begin"/>
            </w:r>
            <w:r>
              <w:instrText xml:space="preserve"> HYPERLINK "https://baike.baidu.com/item/%E7%88%86%E7%82%B8%E6%80%A7%E6%B7%B7%E5%90%88%E7%89%A9"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爆炸性混合物</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，在撞击、受热或电火花作用下能发生爆炸。过氧化氢与许多</w:t>
            </w:r>
            <w:r>
              <w:fldChar w:fldCharType="begin"/>
            </w:r>
            <w:r>
              <w:instrText xml:space="preserve"> HYPERLINK "https://baike.baidu.com/item/%E6%97%A0%E6%9C%BA%E5%8C%96%E5%90%88%E7%89%A9"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无机化合物</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或杂质接触后会迅速分解而导致爆炸，放出大量的热量、氧和水蒸气。大多数</w:t>
            </w:r>
            <w:r>
              <w:fldChar w:fldCharType="begin"/>
            </w:r>
            <w:r>
              <w:instrText xml:space="preserve"> HYPERLINK "https://baike.baidu.com/item/%E9%87%8D%E9%87%91%E5%B1%9E"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重金属</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如铜、银、铅、汞、锌、钴、镍、铬、锰等）及其氧化物和盐类都是活性催化剂，尘土、香烟灰、碳粉、铁锈等也能加速分解。浓度超过69%的过氧化氢，在具有适当的点火源或温度的密闭容器中，会产生气相爆炸。</w:t>
            </w:r>
          </w:p>
          <w:p>
            <w:pPr>
              <w:pStyle w:val="19"/>
              <w:tabs>
                <w:tab w:val="center" w:pos="4153"/>
                <w:tab w:val="left" w:pos="6845"/>
              </w:tabs>
              <w:spacing w:line="280" w:lineRule="exact"/>
              <w:jc w:val="both"/>
              <w:rPr>
                <w:smallCaps w:val="0"/>
                <w:color w:val="000000" w:themeColor="text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化</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学</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性</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质</w:t>
            </w:r>
          </w:p>
        </w:tc>
        <w:tc>
          <w:tcPr>
            <w:tcW w:w="4747" w:type="pct"/>
            <w:gridSpan w:val="2"/>
          </w:tcPr>
          <w:p>
            <w:pPr>
              <w:widowControl/>
              <w:shd w:val="clear" w:color="auto" w:fill="FFFFFF"/>
              <w:spacing w:line="280" w:lineRule="exact"/>
              <w:ind w:firstLine="42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过氧化氢具有很强的氧化性，是非常强的氧化剂。和氯气、高锰酸钾等强氧化剂反应被氧化生成氧气。在10%试样液10mL中，加</w:t>
            </w:r>
            <w:r>
              <w:fldChar w:fldCharType="begin"/>
            </w:r>
            <w:r>
              <w:instrText xml:space="preserve"> HYPERLINK "https://baike.baidu.com/item/%E7%A8%80%E7%A1%AB%E9%85%B8"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稀硫酸</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试液（TS-241）5mL和高锰酸钾试液（TS-193）1mL。应有气泡发生，且高锰酸钾的紫红色消失。对</w:t>
            </w:r>
            <w:r>
              <w:fldChar w:fldCharType="begin"/>
            </w:r>
            <w:r>
              <w:instrText xml:space="preserve"> HYPERLINK "https://baike.baidu.com/item/%E7%9F%B3%E8%95%8A/614568"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石蕊</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 xml:space="preserve">呈酸性，遇有机物易爆。 </w:t>
            </w:r>
            <w:bookmarkStart w:id="2" w:name="ref_[1]_123617"/>
            <w:r>
              <w:rPr>
                <w:rFonts w:ascii="宋体" w:hAnsi="宋体"/>
                <w:smallCaps w:val="0"/>
                <w:color w:val="000000" w:themeColor="text1"/>
                <w:kern w:val="0"/>
                <w:sz w:val="21"/>
                <w:szCs w:val="21"/>
                <w:shd w:val="clear" w:color="auto" w:fill="FFFFFF"/>
              </w:rPr>
              <w:t>遇</w:t>
            </w:r>
            <w:r>
              <w:fldChar w:fldCharType="begin"/>
            </w:r>
            <w:r>
              <w:instrText xml:space="preserve"> HYPERLINK "https://baike.baidu.com/item/%E6%9C%89%E6%9C%BA%E7%89%A9"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有机物</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、受热分解放出氧气和水，遇</w:t>
            </w:r>
            <w:r>
              <w:fldChar w:fldCharType="begin"/>
            </w:r>
            <w:r>
              <w:instrText xml:space="preserve"> HYPERLINK "https://baike.baidu.com/item/%E9%93%AC%E9%85%B8"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铬酸</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 xml:space="preserve">、高锰酸钾、金属、碳酸反应剧烈。 </w:t>
            </w:r>
            <w:bookmarkEnd w:id="2"/>
            <w:r>
              <w:rPr>
                <w:rFonts w:ascii="宋体" w:hAnsi="宋体"/>
                <w:smallCaps w:val="0"/>
                <w:color w:val="000000" w:themeColor="text1"/>
                <w:kern w:val="0"/>
                <w:sz w:val="21"/>
                <w:szCs w:val="21"/>
                <w:shd w:val="clear" w:color="auto" w:fill="FFFFFF"/>
              </w:rPr>
              <w:t>为了防止分解，可以加入微量的</w:t>
            </w:r>
            <w:r>
              <w:fldChar w:fldCharType="begin"/>
            </w:r>
            <w:r>
              <w:instrText xml:space="preserve"> HYPERLINK "https://baike.baidu.com/item/%E7%A8%B3%E5%AE%9A%E5%89%82"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稳定剂</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，如</w:t>
            </w:r>
            <w:r>
              <w:fldChar w:fldCharType="begin"/>
            </w:r>
            <w:r>
              <w:instrText xml:space="preserve"> HYPERLINK "https://baike.baidu.com/item/%E9%94%A1%E9%85%B8%E9%92%A0"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锡酸钠</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w:t>
            </w:r>
            <w:r>
              <w:fldChar w:fldCharType="begin"/>
            </w:r>
            <w:r>
              <w:instrText xml:space="preserve"> HYPERLINK "https://baike.baidu.com/item/%E7%84%A6%E7%A3%B7%E9%85%B8%E9%92%A0"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焦磷酸钠</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 xml:space="preserve">等等。 </w:t>
            </w:r>
            <w:bookmarkStart w:id="3" w:name="ref_[2]_123617"/>
            <w:bookmarkStart w:id="4" w:name="ref_2"/>
            <w:r>
              <w:rPr>
                <w:rFonts w:ascii="宋体" w:hAnsi="宋体"/>
                <w:smallCaps w:val="0"/>
                <w:color w:val="000000" w:themeColor="text1"/>
                <w:kern w:val="0"/>
                <w:sz w:val="21"/>
                <w:szCs w:val="21"/>
                <w:shd w:val="clear" w:color="auto" w:fill="FFFFFF"/>
              </w:rPr>
              <w:t>过氧化氢是一种极弱的酸，H2O2 =(可逆)=H</w:t>
            </w:r>
            <w:r>
              <w:rPr>
                <w:rStyle w:val="40"/>
                <w:rFonts w:ascii="宋体" w:hAnsi="宋体"/>
                <w:smallCaps w:val="0"/>
                <w:color w:val="000000" w:themeColor="text1"/>
                <w:sz w:val="21"/>
                <w:szCs w:val="21"/>
                <w:shd w:val="clear" w:color="auto" w:fill="FFFFFF"/>
              </w:rPr>
              <w:t>+</w:t>
            </w:r>
            <w:r>
              <w:rPr>
                <w:rFonts w:ascii="宋体" w:hAnsi="宋体"/>
                <w:smallCaps w:val="0"/>
                <w:color w:val="000000" w:themeColor="text1"/>
                <w:kern w:val="0"/>
                <w:sz w:val="21"/>
                <w:szCs w:val="21"/>
                <w:shd w:val="clear" w:color="auto" w:fill="FFFFFF"/>
              </w:rPr>
              <w:t>+HO2</w:t>
            </w:r>
            <w:r>
              <w:rPr>
                <w:rStyle w:val="40"/>
                <w:rFonts w:ascii="宋体" w:hAnsi="宋体"/>
                <w:smallCaps w:val="0"/>
                <w:color w:val="000000" w:themeColor="text1"/>
                <w:sz w:val="21"/>
                <w:szCs w:val="21"/>
                <w:shd w:val="clear" w:color="auto" w:fill="FFFFFF"/>
              </w:rPr>
              <w:t>-</w:t>
            </w:r>
            <w:r>
              <w:rPr>
                <w:rFonts w:ascii="宋体" w:hAnsi="宋体"/>
                <w:smallCaps w:val="0"/>
                <w:color w:val="000000" w:themeColor="text1"/>
                <w:kern w:val="0"/>
                <w:sz w:val="21"/>
                <w:szCs w:val="21"/>
                <w:shd w:val="clear" w:color="auto" w:fill="FFFFFF"/>
              </w:rPr>
              <w:t>（Ka=2.4×10</w:t>
            </w:r>
            <w:r>
              <w:rPr>
                <w:rStyle w:val="40"/>
                <w:rFonts w:ascii="宋体" w:hAnsi="宋体"/>
                <w:smallCaps w:val="0"/>
                <w:color w:val="000000" w:themeColor="text1"/>
                <w:sz w:val="21"/>
                <w:szCs w:val="21"/>
                <w:shd w:val="clear" w:color="auto" w:fill="FFFFFF"/>
              </w:rPr>
              <w:t>-12</w:t>
            </w:r>
            <w:r>
              <w:rPr>
                <w:rFonts w:ascii="宋体" w:hAnsi="宋体"/>
                <w:smallCaps w:val="0"/>
                <w:color w:val="000000" w:themeColor="text1"/>
                <w:kern w:val="0"/>
                <w:sz w:val="21"/>
                <w:szCs w:val="21"/>
                <w:shd w:val="clear" w:color="auto" w:fill="FFFFFF"/>
              </w:rPr>
              <w:t>），因此金属的</w:t>
            </w:r>
            <w:r>
              <w:fldChar w:fldCharType="begin"/>
            </w:r>
            <w:r>
              <w:instrText xml:space="preserve"> HYPERLINK "https://baike.baidu.com/item/%E8%BF%87%E6%B0%A7%E5%8C%96%E7%89%A9/2598693"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过氧化物</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 xml:space="preserve">可以看做是它的盐。 </w:t>
            </w:r>
            <w:bookmarkEnd w:id="3"/>
            <w:bookmarkEnd w:id="4"/>
            <w:r>
              <w:rPr>
                <w:rFonts w:ascii="宋体" w:hAnsi="宋体"/>
                <w:smallCaps w:val="0"/>
                <w:color w:val="000000" w:themeColor="text1"/>
                <w:kern w:val="0"/>
                <w:sz w:val="21"/>
                <w:szCs w:val="21"/>
                <w:shd w:val="clear" w:color="auto" w:fill="FFFFFF"/>
              </w:rPr>
              <w:t>纯过氧化氢很稳定，加热到153 °C便猛烈的分解为水和氧气。</w:t>
            </w:r>
          </w:p>
          <w:p>
            <w:pPr>
              <w:pStyle w:val="19"/>
              <w:tabs>
                <w:tab w:val="center" w:pos="4153"/>
                <w:tab w:val="left" w:pos="6845"/>
              </w:tabs>
              <w:spacing w:line="280" w:lineRule="exact"/>
              <w:jc w:val="both"/>
              <w:rPr>
                <w:smallCaps w:val="0"/>
                <w:color w:val="000000" w:themeColor="text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健</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康</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危</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害</w:t>
            </w:r>
          </w:p>
        </w:tc>
        <w:tc>
          <w:tcPr>
            <w:tcW w:w="4747" w:type="pct"/>
            <w:gridSpan w:val="2"/>
          </w:tcPr>
          <w:p>
            <w:pPr>
              <w:widowControl/>
              <w:shd w:val="clear" w:color="auto" w:fill="FFFFFF"/>
              <w:spacing w:line="28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高浓度过氧化氢有强烈的腐蚀性。吸入该品蒸气或雾对呼吸道有强烈刺激性。眼直接接触液体可致不可逆损伤甚至失明。口服中毒出现腹痛、胸口痛、</w:t>
            </w:r>
            <w:r>
              <w:fldChar w:fldCharType="begin"/>
            </w:r>
            <w:r>
              <w:instrText xml:space="preserve"> HYPERLINK "https://baike.baidu.com/item/%E5%91%BC%E5%90%B8%E5%9B%B0%E9%9A%BE/2540302"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呼吸困难</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、呕吐、一时性运动和感觉障碍、体温升高等。个别病例出现</w:t>
            </w:r>
            <w:r>
              <w:fldChar w:fldCharType="begin"/>
            </w:r>
            <w:r>
              <w:instrText xml:space="preserve"> HYPERLINK "https://baike.baidu.com/item/%E8%A7%86%E5%8A%9B%E9%9A%9C%E7%A2%8D/10784251"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视力障碍</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、癫痫样痉挛、轻瘫。</w:t>
            </w:r>
          </w:p>
          <w:p>
            <w:pPr>
              <w:pStyle w:val="19"/>
              <w:tabs>
                <w:tab w:val="center" w:pos="4153"/>
                <w:tab w:val="left" w:pos="6845"/>
              </w:tabs>
              <w:spacing w:line="280" w:lineRule="exact"/>
              <w:jc w:val="both"/>
              <w:rPr>
                <w:smallCaps w:val="0"/>
                <w:color w:val="000000" w:themeColor="text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smallCaps w:val="0"/>
                <w:color w:val="000000" w:themeColor="text1"/>
                <w:sz w:val="21"/>
                <w:szCs w:val="21"/>
              </w:rPr>
            </w:pPr>
            <w:r>
              <w:rPr>
                <w:smallCaps w:val="0"/>
                <w:color w:val="000000" w:themeColor="text1"/>
                <w:sz w:val="21"/>
                <w:szCs w:val="21"/>
              </w:rPr>
              <w:t>燃</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烧</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爆</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炸</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危</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险</w:t>
            </w:r>
          </w:p>
          <w:p>
            <w:pPr>
              <w:pStyle w:val="19"/>
              <w:tabs>
                <w:tab w:val="center" w:pos="4153"/>
                <w:tab w:val="left" w:pos="6845"/>
              </w:tabs>
              <w:jc w:val="both"/>
              <w:rPr>
                <w:smallCaps w:val="0"/>
                <w:color w:val="000000" w:themeColor="text1"/>
                <w:sz w:val="21"/>
                <w:szCs w:val="21"/>
              </w:rPr>
            </w:pPr>
            <w:r>
              <w:rPr>
                <w:smallCaps w:val="0"/>
                <w:color w:val="000000" w:themeColor="text1"/>
                <w:sz w:val="21"/>
                <w:szCs w:val="21"/>
              </w:rPr>
              <w:t>性</w:t>
            </w:r>
          </w:p>
        </w:tc>
        <w:tc>
          <w:tcPr>
            <w:tcW w:w="4747" w:type="pct"/>
            <w:gridSpan w:val="2"/>
          </w:tcPr>
          <w:tbl>
            <w:tblPr>
              <w:tblStyle w:val="22"/>
              <w:tblW w:w="78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5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spacing w:line="320" w:lineRule="exact"/>
                    <w:jc w:val="both"/>
                    <w:rPr>
                      <w:smallCaps w:val="0"/>
                      <w:color w:val="000000" w:themeColor="text1"/>
                      <w:sz w:val="21"/>
                      <w:szCs w:val="21"/>
                    </w:rPr>
                  </w:pPr>
                  <w:r>
                    <w:rPr>
                      <w:rFonts w:hint="eastAsia"/>
                      <w:smallCaps w:val="0"/>
                      <w:color w:val="000000" w:themeColor="text1"/>
                      <w:sz w:val="21"/>
                      <w:szCs w:val="21"/>
                    </w:rPr>
                    <w:t>禁配物</w:t>
                  </w:r>
                </w:p>
              </w:tc>
              <w:tc>
                <w:tcPr>
                  <w:tcW w:w="5907" w:type="dxa"/>
                </w:tcPr>
                <w:p>
                  <w:pPr>
                    <w:pStyle w:val="19"/>
                    <w:tabs>
                      <w:tab w:val="left" w:pos="1213"/>
                      <w:tab w:val="left" w:pos="6845"/>
                    </w:tabs>
                    <w:spacing w:line="320" w:lineRule="exact"/>
                    <w:jc w:val="both"/>
                    <w:rPr>
                      <w:smallCaps w:val="0"/>
                      <w:color w:val="000000" w:themeColor="text1"/>
                      <w:sz w:val="21"/>
                      <w:szCs w:val="21"/>
                    </w:rPr>
                  </w:pPr>
                  <w:r>
                    <w:rPr>
                      <w:rFonts w:ascii="宋体" w:hAnsi="宋体" w:cs="宋体"/>
                      <w:smallCaps w:val="0"/>
                      <w:color w:val="000000" w:themeColor="text1"/>
                      <w:kern w:val="0"/>
                      <w:sz w:val="21"/>
                      <w:szCs w:val="21"/>
                      <w:shd w:val="clear" w:color="auto" w:fill="FFFFFF"/>
                    </w:rPr>
                    <w:t>碱性溶液</w:t>
                  </w:r>
                  <w:r>
                    <w:rPr>
                      <w:rFonts w:hint="eastAsia" w:ascii="宋体" w:hAnsi="宋体" w:cs="宋体"/>
                      <w:smallCaps w:val="0"/>
                      <w:color w:val="000000" w:themeColor="text1"/>
                      <w:kern w:val="0"/>
                      <w:sz w:val="21"/>
                      <w:szCs w:val="21"/>
                      <w:shd w:val="clear" w:color="auto" w:fill="FFFFFF"/>
                    </w:rPr>
                    <w:t>、</w:t>
                  </w:r>
                  <w:r>
                    <w:fldChar w:fldCharType="begin"/>
                  </w:r>
                  <w:r>
                    <w:instrText xml:space="preserve"> HYPERLINK "https://baike.baidu.com/item/%E9%93%AC%E9%85%B8" \t "https://baike.baidu.com/item/%E8%BF%87%E6%B0%A7%E5%8C%96%E6%B0%A2/_blank" </w:instrText>
                  </w:r>
                  <w:r>
                    <w:fldChar w:fldCharType="separate"/>
                  </w:r>
                  <w:r>
                    <w:rPr>
                      <w:rStyle w:val="29"/>
                      <w:rFonts w:ascii="宋体" w:hAnsi="宋体" w:cs="宋体"/>
                      <w:smallCaps w:val="0"/>
                      <w:color w:val="000000" w:themeColor="text1"/>
                      <w:sz w:val="21"/>
                      <w:szCs w:val="21"/>
                      <w:shd w:val="clear" w:color="auto" w:fill="FFFFFF"/>
                    </w:rPr>
                    <w:t>铬酸</w:t>
                  </w:r>
                  <w:r>
                    <w:rPr>
                      <w:rStyle w:val="29"/>
                      <w:rFonts w:ascii="宋体" w:hAnsi="宋体" w:cs="宋体"/>
                      <w:smallCaps w:val="0"/>
                      <w:color w:val="000000" w:themeColor="text1"/>
                      <w:sz w:val="21"/>
                      <w:szCs w:val="21"/>
                      <w:shd w:val="clear" w:color="auto" w:fill="FFFFFF"/>
                    </w:rPr>
                    <w:fldChar w:fldCharType="end"/>
                  </w:r>
                  <w:r>
                    <w:rPr>
                      <w:rFonts w:ascii="宋体" w:hAnsi="宋体" w:cs="宋体"/>
                      <w:smallCaps w:val="0"/>
                      <w:color w:val="000000" w:themeColor="text1"/>
                      <w:kern w:val="0"/>
                      <w:sz w:val="21"/>
                      <w:szCs w:val="21"/>
                      <w:shd w:val="clear" w:color="auto" w:fill="FFFFFF"/>
                    </w:rPr>
                    <w:t>、高锰酸钾、金属、碳酸</w:t>
                  </w:r>
                  <w:r>
                    <w:rPr>
                      <w:rFonts w:hint="eastAsia" w:ascii="宋体" w:hAnsi="宋体" w:cs="宋体"/>
                      <w:smallCaps w:val="0"/>
                      <w:color w:val="000000" w:themeColor="text1"/>
                      <w:kern w:val="0"/>
                      <w:sz w:val="21"/>
                      <w:szCs w:val="21"/>
                      <w:shd w:val="clear" w:color="auto" w:fill="FFFFFF"/>
                    </w:rPr>
                    <w:t>、</w:t>
                  </w:r>
                  <w:r>
                    <w:rPr>
                      <w:rFonts w:ascii="宋体" w:hAnsi="宋体" w:cs="宋体"/>
                      <w:smallCaps w:val="0"/>
                      <w:color w:val="000000" w:themeColor="text1"/>
                      <w:kern w:val="0"/>
                      <w:sz w:val="21"/>
                      <w:szCs w:val="21"/>
                      <w:shd w:val="clear" w:color="auto" w:fill="FFFFFF"/>
                    </w:rPr>
                    <w:t>糖、淀粉、醇类、石油产品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spacing w:line="320" w:lineRule="exact"/>
                    <w:jc w:val="both"/>
                    <w:rPr>
                      <w:smallCaps w:val="0"/>
                      <w:color w:val="000000" w:themeColor="text1"/>
                      <w:sz w:val="21"/>
                      <w:szCs w:val="21"/>
                    </w:rPr>
                  </w:pPr>
                  <w:r>
                    <w:rPr>
                      <w:rFonts w:hint="eastAsia"/>
                      <w:smallCaps w:val="0"/>
                      <w:color w:val="000000" w:themeColor="text1"/>
                      <w:sz w:val="21"/>
                      <w:szCs w:val="21"/>
                    </w:rPr>
                    <w:t>其他有害作用</w:t>
                  </w:r>
                </w:p>
              </w:tc>
              <w:tc>
                <w:tcPr>
                  <w:tcW w:w="5907" w:type="dxa"/>
                </w:tcPr>
                <w:p>
                  <w:pPr>
                    <w:widowControl/>
                    <w:shd w:val="clear" w:color="auto" w:fill="FFFFFF"/>
                    <w:spacing w:line="32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该物质对水生生物是有毒的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spacing w:line="320" w:lineRule="exact"/>
                    <w:jc w:val="both"/>
                    <w:rPr>
                      <w:smallCaps w:val="0"/>
                      <w:color w:val="000000" w:themeColor="text1"/>
                      <w:sz w:val="21"/>
                      <w:szCs w:val="21"/>
                    </w:rPr>
                  </w:pPr>
                  <w:r>
                    <w:rPr>
                      <w:rFonts w:hint="eastAsia"/>
                      <w:smallCaps w:val="0"/>
                      <w:color w:val="000000" w:themeColor="text1"/>
                      <w:sz w:val="21"/>
                      <w:szCs w:val="21"/>
                    </w:rPr>
                    <w:t>废弃处置方法</w:t>
                  </w:r>
                </w:p>
              </w:tc>
              <w:tc>
                <w:tcPr>
                  <w:tcW w:w="5907" w:type="dxa"/>
                </w:tcPr>
                <w:p>
                  <w:pPr>
                    <w:widowControl/>
                    <w:shd w:val="clear" w:color="auto" w:fill="FFFFFF"/>
                    <w:spacing w:line="32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废液经水稀释后发生分解，放出氧气，待充分分解后，把废液冲入下水道。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rPr>
              <w:tc>
                <w:tcPr>
                  <w:tcW w:w="1968" w:type="dxa"/>
                </w:tcPr>
                <w:p>
                  <w:pPr>
                    <w:pStyle w:val="19"/>
                    <w:tabs>
                      <w:tab w:val="center" w:pos="4153"/>
                      <w:tab w:val="left" w:pos="6845"/>
                    </w:tabs>
                    <w:spacing w:line="320" w:lineRule="exact"/>
                    <w:jc w:val="both"/>
                    <w:rPr>
                      <w:smallCaps w:val="0"/>
                      <w:color w:val="000000" w:themeColor="text1"/>
                      <w:sz w:val="21"/>
                      <w:szCs w:val="21"/>
                    </w:rPr>
                  </w:pPr>
                  <w:r>
                    <w:rPr>
                      <w:rFonts w:hint="eastAsia"/>
                      <w:smallCaps w:val="0"/>
                      <w:color w:val="000000" w:themeColor="text1"/>
                      <w:sz w:val="21"/>
                      <w:szCs w:val="21"/>
                    </w:rPr>
                    <w:t>包装方法</w:t>
                  </w:r>
                </w:p>
              </w:tc>
              <w:tc>
                <w:tcPr>
                  <w:tcW w:w="5907" w:type="dxa"/>
                </w:tcPr>
                <w:p>
                  <w:pPr>
                    <w:widowControl/>
                    <w:shd w:val="clear" w:color="auto" w:fill="FFFFFF"/>
                    <w:spacing w:line="32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大包装：塑料桶（罐），容器上部应有减压阀或通气口，容器内至少有10%余量，每桶（罐）净重不超过50公斤。试剂包装：塑料瓶，再单个装入塑料袋内，合装在钙塑箱内。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spacing w:line="320" w:lineRule="exact"/>
                    <w:jc w:val="both"/>
                    <w:rPr>
                      <w:smallCaps w:val="0"/>
                      <w:color w:val="000000" w:themeColor="text1"/>
                      <w:sz w:val="21"/>
                      <w:szCs w:val="21"/>
                    </w:rPr>
                  </w:pPr>
                  <w:r>
                    <w:rPr>
                      <w:rFonts w:hint="eastAsia"/>
                      <w:smallCaps w:val="0"/>
                      <w:color w:val="000000" w:themeColor="text1"/>
                      <w:sz w:val="21"/>
                      <w:szCs w:val="21"/>
                    </w:rPr>
                    <w:t>灭火方法</w:t>
                  </w:r>
                </w:p>
              </w:tc>
              <w:tc>
                <w:tcPr>
                  <w:tcW w:w="5907" w:type="dxa"/>
                </w:tcPr>
                <w:p>
                  <w:pPr>
                    <w:widowControl/>
                    <w:shd w:val="clear" w:color="auto" w:fill="FFFFFF"/>
                    <w:spacing w:line="320" w:lineRule="exact"/>
                    <w:ind w:firstLine="0" w:firstLineChars="0"/>
                    <w:jc w:val="left"/>
                    <w:rPr>
                      <w:smallCaps w:val="0"/>
                      <w:color w:val="000000" w:themeColor="text1"/>
                      <w:sz w:val="21"/>
                      <w:szCs w:val="21"/>
                    </w:rPr>
                  </w:pPr>
                  <w:r>
                    <w:rPr>
                      <w:rFonts w:ascii="宋体" w:hAnsi="宋体"/>
                      <w:smallCaps w:val="0"/>
                      <w:color w:val="000000" w:themeColor="text1"/>
                      <w:kern w:val="0"/>
                      <w:sz w:val="21"/>
                      <w:szCs w:val="21"/>
                      <w:shd w:val="clear" w:color="auto" w:fill="FFFFFF"/>
                    </w:rPr>
                    <w:t>消防人员必须穿戴全身防火</w:t>
                  </w:r>
                  <w:r>
                    <w:fldChar w:fldCharType="begin"/>
                  </w:r>
                  <w:r>
                    <w:instrText xml:space="preserve"> HYPERLINK "https://baike.baidu.com/item/%E9%98%B2%E6%AF%92%E6%9C%8D" \t "https://baike.baidu.com/item/%E8%BF%87%E6%B0%A7%E5%8C%96%E6%B0%A2/_blank" </w:instrText>
                  </w:r>
                  <w:r>
                    <w:fldChar w:fldCharType="separate"/>
                  </w:r>
                  <w:r>
                    <w:rPr>
                      <w:rStyle w:val="29"/>
                      <w:rFonts w:ascii="宋体" w:hAnsi="宋体"/>
                      <w:smallCaps w:val="0"/>
                      <w:color w:val="000000" w:themeColor="text1"/>
                      <w:sz w:val="21"/>
                      <w:szCs w:val="21"/>
                      <w:shd w:val="clear" w:color="auto" w:fill="FFFFFF"/>
                    </w:rPr>
                    <w:t>防毒服</w:t>
                  </w:r>
                  <w:r>
                    <w:rPr>
                      <w:rStyle w:val="29"/>
                      <w:rFonts w:ascii="宋体" w:hAnsi="宋体"/>
                      <w:smallCaps w:val="0"/>
                      <w:color w:val="000000" w:themeColor="text1"/>
                      <w:sz w:val="21"/>
                      <w:szCs w:val="21"/>
                      <w:shd w:val="clear" w:color="auto" w:fill="FFFFFF"/>
                    </w:rPr>
                    <w:fldChar w:fldCharType="end"/>
                  </w:r>
                  <w:r>
                    <w:rPr>
                      <w:rFonts w:ascii="宋体" w:hAnsi="宋体"/>
                      <w:smallCaps w:val="0"/>
                      <w:color w:val="000000" w:themeColor="text1"/>
                      <w:kern w:val="0"/>
                      <w:sz w:val="21"/>
                      <w:szCs w:val="21"/>
                      <w:shd w:val="clear" w:color="auto" w:fill="FFFFFF"/>
                    </w:rPr>
                    <w:t>。尽可能将容器从火场移至空旷处。喷水冷却火场容器，直至灭火结束。处在火场中的容器若已变色或从安全泄压装置中产生声音，必须马上撤离。灭火剂：水、雾状水、干粉、砂土。</w:t>
                  </w:r>
                </w:p>
              </w:tc>
            </w:tr>
          </w:tbl>
          <w:p>
            <w:pPr>
              <w:pStyle w:val="19"/>
              <w:tabs>
                <w:tab w:val="center" w:pos="4153"/>
                <w:tab w:val="left" w:pos="6845"/>
              </w:tabs>
              <w:jc w:val="both"/>
              <w:rPr>
                <w:smallCaps w:val="0"/>
                <w:color w:val="000000" w:themeColor="text1"/>
                <w:sz w:val="21"/>
                <w:szCs w:val="21"/>
              </w:rPr>
            </w:pPr>
          </w:p>
        </w:tc>
      </w:tr>
    </w:tbl>
    <w:p>
      <w:pPr>
        <w:pStyle w:val="19"/>
        <w:tabs>
          <w:tab w:val="center" w:pos="4153"/>
          <w:tab w:val="left" w:pos="6845"/>
        </w:tabs>
        <w:spacing w:line="360" w:lineRule="auto"/>
        <w:jc w:val="both"/>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r>
        <w:rPr>
          <w:rFonts w:hint="eastAsia"/>
          <w:b/>
          <w:bCs/>
        </w:rPr>
        <w:t>表3-9  硫酸亚铁理化性质与危险特性</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1"/>
        <w:gridCol w:w="6000"/>
        <w:gridCol w:w="3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restart"/>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标识</w:t>
            </w:r>
          </w:p>
        </w:tc>
        <w:tc>
          <w:tcPr>
            <w:tcW w:w="4747" w:type="pct"/>
            <w:gridSpan w:val="2"/>
          </w:tcPr>
          <w:p>
            <w:pPr>
              <w:pStyle w:val="19"/>
              <w:tabs>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中文名：硫酸亚铁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rFonts w:ascii="Times New Roman" w:hAnsi="Times New Roman" w:cs="Times New Roman"/>
                <w:color w:val="000000" w:themeColor="text1"/>
                <w:sz w:val="21"/>
                <w:szCs w:val="21"/>
              </w:rPr>
            </w:pPr>
          </w:p>
        </w:tc>
        <w:tc>
          <w:tcPr>
            <w:tcW w:w="3080"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英文名：</w:t>
            </w:r>
            <w:r>
              <w:rPr>
                <w:rFonts w:cs="Times New Roman"/>
                <w:smallCaps w:val="0"/>
                <w:color w:val="000000" w:themeColor="text1"/>
                <w:sz w:val="21"/>
                <w:szCs w:val="21"/>
                <w:shd w:val="clear" w:color="auto" w:fill="FFFFFF"/>
              </w:rPr>
              <w:t>Ferrous sulfate</w:t>
            </w:r>
          </w:p>
        </w:tc>
        <w:tc>
          <w:tcPr>
            <w:tcW w:w="1667" w:type="pct"/>
          </w:tcPr>
          <w:p>
            <w:pPr>
              <w:widowControl/>
              <w:spacing w:line="240" w:lineRule="auto"/>
              <w:ind w:firstLine="420"/>
              <w:rPr>
                <w:rFonts w:cs="Times New Roman"/>
                <w:color w:val="000000" w:themeColor="text1"/>
                <w:sz w:val="21"/>
                <w:szCs w:val="21"/>
              </w:rPr>
            </w:pPr>
            <w:r>
              <w:rPr>
                <w:rFonts w:cs="Times New Roman"/>
                <w:color w:val="000000" w:themeColor="text1"/>
                <w:sz w:val="21"/>
                <w:szCs w:val="21"/>
              </w:rPr>
              <w:t>代号：</w:t>
            </w:r>
            <w:r>
              <w:rPr>
                <w:rFonts w:cs="Times New Roman"/>
                <w:color w:val="000000" w:themeColor="text1"/>
                <w:sz w:val="21"/>
                <w:szCs w:val="21"/>
                <w:shd w:val="clear" w:color="auto" w:fill="FFFFFF"/>
              </w:rPr>
              <w:t xml:space="preserve">7720-78-7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rFonts w:ascii="Times New Roman" w:hAnsi="Times New Roman" w:cs="Times New Roman"/>
                <w:color w:val="000000" w:themeColor="text1"/>
                <w:sz w:val="21"/>
                <w:szCs w:val="21"/>
              </w:rPr>
            </w:pPr>
          </w:p>
        </w:tc>
        <w:tc>
          <w:tcPr>
            <w:tcW w:w="3080"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分子式：</w:t>
            </w:r>
            <w:r>
              <w:rPr>
                <w:rFonts w:cs="Times New Roman"/>
                <w:smallCaps w:val="0"/>
                <w:color w:val="000000" w:themeColor="text1"/>
                <w:sz w:val="21"/>
                <w:szCs w:val="21"/>
                <w:shd w:val="clear" w:color="auto" w:fill="FFFFFF"/>
              </w:rPr>
              <w:t xml:space="preserve">FeSO4 </w:t>
            </w:r>
          </w:p>
        </w:tc>
        <w:tc>
          <w:tcPr>
            <w:tcW w:w="1667" w:type="pct"/>
          </w:tcPr>
          <w:p>
            <w:pPr>
              <w:widowControl/>
              <w:spacing w:line="240" w:lineRule="auto"/>
              <w:ind w:firstLine="420"/>
              <w:rPr>
                <w:rFonts w:cs="Times New Roman"/>
                <w:color w:val="000000" w:themeColor="text1"/>
                <w:sz w:val="21"/>
                <w:szCs w:val="21"/>
              </w:rPr>
            </w:pPr>
            <w:r>
              <w:rPr>
                <w:rFonts w:cs="Times New Roman"/>
                <w:color w:val="000000" w:themeColor="text1"/>
                <w:sz w:val="21"/>
                <w:szCs w:val="21"/>
              </w:rPr>
              <w:t>分子量：</w:t>
            </w:r>
            <w:r>
              <w:rPr>
                <w:rFonts w:cs="Times New Roman"/>
                <w:color w:val="000000" w:themeColor="text1"/>
                <w:sz w:val="21"/>
                <w:szCs w:val="21"/>
                <w:shd w:val="clear" w:color="auto" w:fill="FFFFFF"/>
              </w:rPr>
              <w:t xml:space="preserve">151.91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物</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理</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性</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质</w:t>
            </w:r>
          </w:p>
        </w:tc>
        <w:tc>
          <w:tcPr>
            <w:tcW w:w="4747" w:type="pct"/>
            <w:gridSpan w:val="2"/>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kern w:val="0"/>
                <w:sz w:val="21"/>
                <w:szCs w:val="21"/>
                <w:shd w:val="clear" w:color="auto" w:fill="FFFFFF"/>
              </w:rPr>
              <w:t>外观与性状：白色粉末、晶体为浅绿色接近；熔点：671℃（分解）；相对密度（水=1）：1.897（15℃）；溶于水、</w:t>
            </w:r>
            <w:r>
              <w:fldChar w:fldCharType="begin"/>
            </w:r>
            <w:r>
              <w:instrText xml:space="preserve"> HYPERLINK "https://baike.baidu.com/item/%E7%94%98%E6%B2%B9" \t "https://baike.baidu.com/item/%E7%A1%AB%E9%85%B8%E4%BA%9A%E9%93%81/_blank" </w:instrText>
            </w:r>
            <w:r>
              <w:fldChar w:fldCharType="separate"/>
            </w:r>
            <w:r>
              <w:rPr>
                <w:rStyle w:val="29"/>
                <w:rFonts w:ascii="Times New Roman" w:hAnsi="Times New Roman" w:cs="Times New Roman"/>
                <w:color w:val="000000" w:themeColor="text1"/>
                <w:sz w:val="21"/>
                <w:szCs w:val="21"/>
                <w:shd w:val="clear" w:color="auto" w:fill="FFFFFF"/>
              </w:rPr>
              <w:t>甘油</w:t>
            </w:r>
            <w:r>
              <w:rPr>
                <w:rStyle w:val="29"/>
                <w:rFonts w:ascii="Times New Roman" w:hAnsi="Times New Roman" w:cs="Times New Roman"/>
                <w:color w:val="000000" w:themeColor="text1"/>
                <w:sz w:val="21"/>
                <w:szCs w:val="21"/>
                <w:shd w:val="clear" w:color="auto" w:fill="FFFFFF"/>
              </w:rPr>
              <w:fldChar w:fldCharType="end"/>
            </w:r>
            <w:r>
              <w:rPr>
                <w:rFonts w:ascii="Times New Roman" w:hAnsi="Times New Roman" w:cs="Times New Roman"/>
                <w:color w:val="000000" w:themeColor="text1"/>
                <w:kern w:val="0"/>
                <w:sz w:val="21"/>
                <w:szCs w:val="21"/>
                <w:shd w:val="clear" w:color="auto" w:fill="FFFFFF"/>
              </w:rPr>
              <w:t>，不溶于乙醇；沸点：</w:t>
            </w:r>
            <w:r>
              <w:rPr>
                <w:rFonts w:ascii="Times New Roman" w:hAnsi="Times New Roman" w:cs="Times New Roman"/>
                <w:smallCaps w:val="0"/>
                <w:color w:val="000000" w:themeColor="text1"/>
                <w:kern w:val="0"/>
                <w:sz w:val="21"/>
                <w:szCs w:val="21"/>
                <w:shd w:val="clear" w:color="auto" w:fill="FFFFFF"/>
              </w:rPr>
              <w:t>330ºC at 760 mmHg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化</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学</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性</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质</w:t>
            </w:r>
          </w:p>
        </w:tc>
        <w:tc>
          <w:tcPr>
            <w:tcW w:w="4747" w:type="pct"/>
            <w:gridSpan w:val="2"/>
          </w:tcPr>
          <w:p>
            <w:pPr>
              <w:widowControl/>
              <w:shd w:val="clear" w:color="auto" w:fill="FFFFFF"/>
              <w:spacing w:line="240" w:lineRule="auto"/>
              <w:ind w:firstLine="0" w:firstLineChars="0"/>
              <w:jc w:val="left"/>
              <w:rPr>
                <w:rFonts w:cs="Times New Roman"/>
                <w:color w:val="000000" w:themeColor="text1"/>
                <w:sz w:val="21"/>
                <w:szCs w:val="21"/>
              </w:rPr>
            </w:pPr>
            <w:r>
              <w:rPr>
                <w:rFonts w:cs="Times New Roman"/>
                <w:color w:val="000000" w:themeColor="text1"/>
                <w:kern w:val="0"/>
                <w:sz w:val="21"/>
                <w:szCs w:val="21"/>
                <w:shd w:val="clear" w:color="auto" w:fill="FFFFFF"/>
              </w:rPr>
              <w:t>硫酸亚铁具有</w:t>
            </w:r>
            <w:r>
              <w:fldChar w:fldCharType="begin"/>
            </w:r>
            <w:r>
              <w:instrText xml:space="preserve"> HYPERLINK "https://baike.baidu.com/item/%E8%BF%98%E5%8E%9F%E6%80%A7" \t "https://baike.baidu.com/item/%E7%A1%AB%E9%85%B8%E4%BA%9A%E9%93%81/_blank" </w:instrText>
            </w:r>
            <w:r>
              <w:fldChar w:fldCharType="separate"/>
            </w:r>
            <w:r>
              <w:rPr>
                <w:rStyle w:val="29"/>
                <w:rFonts w:cs="Times New Roman"/>
                <w:color w:val="000000" w:themeColor="text1"/>
                <w:sz w:val="21"/>
                <w:szCs w:val="21"/>
                <w:shd w:val="clear" w:color="auto" w:fill="FFFFFF"/>
              </w:rPr>
              <w:t>还原性</w:t>
            </w:r>
            <w:r>
              <w:rPr>
                <w:rStyle w:val="29"/>
                <w:rFonts w:cs="Times New Roman"/>
                <w:color w:val="000000" w:themeColor="text1"/>
                <w:sz w:val="21"/>
                <w:szCs w:val="21"/>
                <w:shd w:val="clear" w:color="auto" w:fill="FFFFFF"/>
              </w:rPr>
              <w:fldChar w:fldCharType="end"/>
            </w:r>
            <w:r>
              <w:rPr>
                <w:rFonts w:cs="Times New Roman"/>
                <w:color w:val="000000" w:themeColor="text1"/>
                <w:kern w:val="0"/>
                <w:sz w:val="21"/>
                <w:szCs w:val="21"/>
                <w:shd w:val="clear" w:color="auto" w:fill="FFFFFF"/>
              </w:rPr>
              <w:t>。受高热分解放出有毒的气体。在潮湿空气中易氧化成难溶于水的棕黄色</w:t>
            </w:r>
            <w:r>
              <w:fldChar w:fldCharType="begin"/>
            </w:r>
            <w:r>
              <w:instrText xml:space="preserve"> HYPERLINK "https://baike.baidu.com/item/%E7%A2%B1%E5%BC%8F%E7%A1%AB%E9%85%B8%E9%93%81" \t "https://baike.baidu.com/item/%E7%A1%AB%E9%85%B8%E4%BA%9A%E9%93%81/_blank" </w:instrText>
            </w:r>
            <w:r>
              <w:fldChar w:fldCharType="separate"/>
            </w:r>
            <w:r>
              <w:rPr>
                <w:rStyle w:val="29"/>
                <w:rFonts w:cs="Times New Roman"/>
                <w:color w:val="000000" w:themeColor="text1"/>
                <w:sz w:val="21"/>
                <w:szCs w:val="21"/>
                <w:shd w:val="clear" w:color="auto" w:fill="FFFFFF"/>
              </w:rPr>
              <w:t>碱式硫酸铁</w:t>
            </w:r>
            <w:r>
              <w:rPr>
                <w:rStyle w:val="29"/>
                <w:rFonts w:cs="Times New Roman"/>
                <w:color w:val="000000" w:themeColor="text1"/>
                <w:sz w:val="21"/>
                <w:szCs w:val="21"/>
                <w:shd w:val="clear" w:color="auto" w:fill="FFFFFF"/>
              </w:rPr>
              <w:fldChar w:fldCharType="end"/>
            </w:r>
            <w:r>
              <w:rPr>
                <w:rFonts w:cs="Times New Roman"/>
                <w:color w:val="000000" w:themeColor="text1"/>
                <w:kern w:val="0"/>
                <w:sz w:val="21"/>
                <w:szCs w:val="21"/>
                <w:shd w:val="clear" w:color="auto" w:fill="FFFFFF"/>
              </w:rPr>
              <w:t>。10%</w:t>
            </w:r>
            <w:r>
              <w:fldChar w:fldCharType="begin"/>
            </w:r>
            <w:r>
              <w:instrText xml:space="preserve"> HYPERLINK "https://baike.baidu.com/item/%E6%B0%B4%E6%BA%B6%E6%B6%B2" \t "https://baike.baidu.com/item/%E7%A1%AB%E9%85%B8%E4%BA%9A%E9%93%81/_blank" </w:instrText>
            </w:r>
            <w:r>
              <w:fldChar w:fldCharType="separate"/>
            </w:r>
            <w:r>
              <w:rPr>
                <w:rStyle w:val="29"/>
                <w:rFonts w:cs="Times New Roman"/>
                <w:color w:val="000000" w:themeColor="text1"/>
                <w:sz w:val="21"/>
                <w:szCs w:val="21"/>
                <w:shd w:val="clear" w:color="auto" w:fill="FFFFFF"/>
              </w:rPr>
              <w:t>水溶液</w:t>
            </w:r>
            <w:r>
              <w:rPr>
                <w:rStyle w:val="29"/>
                <w:rFonts w:cs="Times New Roman"/>
                <w:color w:val="000000" w:themeColor="text1"/>
                <w:sz w:val="21"/>
                <w:szCs w:val="21"/>
                <w:shd w:val="clear" w:color="auto" w:fill="FFFFFF"/>
              </w:rPr>
              <w:fldChar w:fldCharType="end"/>
            </w:r>
            <w:r>
              <w:rPr>
                <w:rFonts w:cs="Times New Roman"/>
                <w:color w:val="000000" w:themeColor="text1"/>
                <w:kern w:val="0"/>
                <w:sz w:val="21"/>
                <w:szCs w:val="21"/>
                <w:shd w:val="clear" w:color="auto" w:fill="FFFFFF"/>
              </w:rPr>
              <w:t>对</w:t>
            </w:r>
            <w:r>
              <w:fldChar w:fldCharType="begin"/>
            </w:r>
            <w:r>
              <w:instrText xml:space="preserve"> HYPERLINK "https://baike.baidu.com/item/%E7%9F%B3%E8%95%8A/614568" \t "https://baike.baidu.com/item/%E7%A1%AB%E9%85%B8%E4%BA%9A%E9%93%81/_blank" </w:instrText>
            </w:r>
            <w:r>
              <w:fldChar w:fldCharType="separate"/>
            </w:r>
            <w:r>
              <w:rPr>
                <w:rStyle w:val="29"/>
                <w:rFonts w:cs="Times New Roman"/>
                <w:color w:val="000000" w:themeColor="text1"/>
                <w:sz w:val="21"/>
                <w:szCs w:val="21"/>
                <w:shd w:val="clear" w:color="auto" w:fill="FFFFFF"/>
              </w:rPr>
              <w:t>石蕊</w:t>
            </w:r>
            <w:r>
              <w:rPr>
                <w:rStyle w:val="29"/>
                <w:rFonts w:cs="Times New Roman"/>
                <w:color w:val="000000" w:themeColor="text1"/>
                <w:sz w:val="21"/>
                <w:szCs w:val="21"/>
                <w:shd w:val="clear" w:color="auto" w:fill="FFFFFF"/>
              </w:rPr>
              <w:fldChar w:fldCharType="end"/>
            </w:r>
            <w:r>
              <w:rPr>
                <w:rFonts w:cs="Times New Roman"/>
                <w:color w:val="000000" w:themeColor="text1"/>
                <w:kern w:val="0"/>
                <w:sz w:val="21"/>
                <w:szCs w:val="21"/>
                <w:shd w:val="clear" w:color="auto" w:fill="FFFFFF"/>
              </w:rPr>
              <w:t xml:space="preserve">呈酸性（Ph值约3.7）。对应的硫酸亚铁结晶水合物在室温下为七水合物，加热至70～73℃失去3分子水，至80～123℃失去6分子水，至156℃以上转变成碱式硫酸铁。 硫酸亚铁水溶液易与碱金属硫酸盐（包括铵盐）形成六水合的复盐M2Fe(SO4)2·6H2O，其中M为碱金属离子或铵离子。亚铁的复盐要稳定得多，如硫酸亚铁铵(NH4)2Fe(SO4)2·6H2O，也称做莫尔(摩尔)盐，是分析化学上常用的还原试剂。它溶于水和甘油，具有一定还原性。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健</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康</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危</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害</w:t>
            </w:r>
          </w:p>
        </w:tc>
        <w:tc>
          <w:tcPr>
            <w:tcW w:w="4747" w:type="pct"/>
            <w:gridSpan w:val="2"/>
          </w:tcPr>
          <w:p>
            <w:pPr>
              <w:widowControl/>
              <w:shd w:val="clear" w:color="auto" w:fill="FFFFFF"/>
              <w:spacing w:line="240" w:lineRule="auto"/>
              <w:ind w:firstLine="0" w:firstLineChars="0"/>
              <w:jc w:val="left"/>
              <w:rPr>
                <w:rFonts w:cs="Times New Roman"/>
                <w:color w:val="000000" w:themeColor="text1"/>
                <w:sz w:val="21"/>
                <w:szCs w:val="21"/>
              </w:rPr>
            </w:pPr>
            <w:r>
              <w:rPr>
                <w:rFonts w:cs="Times New Roman"/>
                <w:color w:val="000000" w:themeColor="text1"/>
                <w:kern w:val="0"/>
                <w:sz w:val="21"/>
                <w:szCs w:val="21"/>
                <w:shd w:val="clear" w:color="auto" w:fill="FFFFFF"/>
              </w:rPr>
              <w:t>对呼吸道有刺激性，吸入引起咳嗽和气短。对眼睛、皮肤和粘膜有刺激性。误服引起虚弱、腹痛、恶心、便血、肺及肝受损、休克、昏迷等，严重者可致死。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4" w:hRule="atLeast"/>
        </w:trPr>
        <w:tc>
          <w:tcPr>
            <w:tcW w:w="252" w:type="pct"/>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燃</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烧</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爆</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炸</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危</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险</w:t>
            </w: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性</w:t>
            </w:r>
          </w:p>
        </w:tc>
        <w:tc>
          <w:tcPr>
            <w:tcW w:w="4747" w:type="pct"/>
            <w:gridSpan w:val="2"/>
          </w:tcPr>
          <w:tbl>
            <w:tblPr>
              <w:tblStyle w:val="22"/>
              <w:tblW w:w="78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5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其他有害作用</w:t>
                  </w:r>
                </w:p>
              </w:tc>
              <w:tc>
                <w:tcPr>
                  <w:tcW w:w="5907" w:type="dxa"/>
                </w:tcPr>
                <w:p>
                  <w:pPr>
                    <w:widowControl/>
                    <w:shd w:val="clear" w:color="auto" w:fill="FFFFFF"/>
                    <w:spacing w:line="240" w:lineRule="auto"/>
                    <w:ind w:firstLine="420"/>
                    <w:jc w:val="left"/>
                    <w:rPr>
                      <w:rFonts w:cs="Times New Roman"/>
                      <w:color w:val="000000" w:themeColor="text1"/>
                      <w:sz w:val="21"/>
                      <w:szCs w:val="21"/>
                    </w:rPr>
                  </w:pPr>
                  <w:r>
                    <w:rPr>
                      <w:rFonts w:cs="Times New Roman"/>
                      <w:color w:val="000000" w:themeColor="text1"/>
                      <w:kern w:val="0"/>
                      <w:sz w:val="21"/>
                      <w:szCs w:val="21"/>
                      <w:shd w:val="clear" w:color="auto" w:fill="FFFFFF"/>
                    </w:rPr>
                    <w:t>对环境有危害，对水体可造成污染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rFonts w:ascii="Times New Roman" w:hAnsi="Times New Roman" w:cs="Times New Roman"/>
                      <w:color w:val="000000" w:themeColor="text1"/>
                      <w:sz w:val="21"/>
                      <w:szCs w:val="21"/>
                    </w:rPr>
                  </w:pPr>
                </w:p>
                <w:p>
                  <w:pPr>
                    <w:pStyle w:val="19"/>
                    <w:tabs>
                      <w:tab w:val="center" w:pos="4153"/>
                      <w:tab w:val="left" w:pos="6845"/>
                    </w:tabs>
                    <w:jc w:val="both"/>
                    <w:rPr>
                      <w:rFonts w:ascii="Times New Roman" w:hAnsi="Times New Roman" w:cs="Times New Roman"/>
                      <w:color w:val="000000" w:themeColor="text1"/>
                      <w:sz w:val="21"/>
                      <w:szCs w:val="21"/>
                    </w:rPr>
                  </w:pPr>
                </w:p>
                <w:p>
                  <w:pPr>
                    <w:pStyle w:val="19"/>
                    <w:tabs>
                      <w:tab w:val="center" w:pos="4153"/>
                      <w:tab w:val="left" w:pos="6845"/>
                    </w:tabs>
                    <w:jc w:val="both"/>
                    <w:rPr>
                      <w:rFonts w:ascii="Times New Roman" w:hAnsi="Times New Roman" w:cs="Times New Roman"/>
                      <w:color w:val="000000" w:themeColor="text1"/>
                      <w:sz w:val="21"/>
                      <w:szCs w:val="21"/>
                    </w:rPr>
                  </w:pPr>
                </w:p>
                <w:p>
                  <w:pPr>
                    <w:pStyle w:val="19"/>
                    <w:tabs>
                      <w:tab w:val="center" w:pos="4153"/>
                      <w:tab w:val="left" w:pos="6845"/>
                    </w:tabs>
                    <w:jc w:val="both"/>
                    <w:rPr>
                      <w:rFonts w:ascii="Times New Roman" w:hAnsi="Times New Roman" w:cs="Times New Roman"/>
                      <w:color w:val="000000" w:themeColor="text1"/>
                      <w:sz w:val="21"/>
                      <w:szCs w:val="21"/>
                    </w:rPr>
                  </w:pP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包装与储存</w:t>
                  </w:r>
                </w:p>
              </w:tc>
              <w:tc>
                <w:tcPr>
                  <w:tcW w:w="5907" w:type="dxa"/>
                </w:tcPr>
                <w:p>
                  <w:pPr>
                    <w:widowControl/>
                    <w:shd w:val="clear" w:color="auto" w:fill="FFFFFF"/>
                    <w:spacing w:line="240" w:lineRule="auto"/>
                    <w:ind w:firstLine="0" w:firstLineChars="0"/>
                    <w:jc w:val="left"/>
                    <w:rPr>
                      <w:rFonts w:cs="Times New Roman"/>
                      <w:color w:val="000000" w:themeColor="text1"/>
                      <w:sz w:val="21"/>
                      <w:szCs w:val="21"/>
                    </w:rPr>
                  </w:pPr>
                  <w:r>
                    <w:rPr>
                      <w:rFonts w:cs="Times New Roman"/>
                      <w:color w:val="000000" w:themeColor="text1"/>
                      <w:kern w:val="0"/>
                      <w:sz w:val="21"/>
                      <w:szCs w:val="21"/>
                      <w:shd w:val="clear" w:color="auto" w:fill="FFFFFF"/>
                    </w:rPr>
                    <w:t>在夏天保质期30天，外包装分别有：50公斤和25公斤编织袋。硫酸亚铁广泛用于漂染、电镀废水的处理，是一种高效的净水</w:t>
                  </w:r>
                  <w:r>
                    <w:fldChar w:fldCharType="begin"/>
                  </w:r>
                  <w:r>
                    <w:instrText xml:space="preserve"> HYPERLINK "https://baike.baidu.com/item/%E7%B5%AE%E5%87%9D%E5%89%82" \t "https://baike.baidu.com/item/%E7%A1%AB%E9%85%B8%E4%BA%9A%E9%93%81/_blank" </w:instrText>
                  </w:r>
                  <w:r>
                    <w:fldChar w:fldCharType="separate"/>
                  </w:r>
                  <w:r>
                    <w:rPr>
                      <w:rStyle w:val="29"/>
                      <w:rFonts w:cs="Times New Roman"/>
                      <w:color w:val="000000" w:themeColor="text1"/>
                      <w:sz w:val="21"/>
                      <w:szCs w:val="21"/>
                      <w:shd w:val="clear" w:color="auto" w:fill="FFFFFF"/>
                    </w:rPr>
                    <w:t>絮凝剂</w:t>
                  </w:r>
                  <w:r>
                    <w:rPr>
                      <w:rStyle w:val="29"/>
                      <w:rFonts w:cs="Times New Roman"/>
                      <w:color w:val="000000" w:themeColor="text1"/>
                      <w:sz w:val="21"/>
                      <w:szCs w:val="21"/>
                      <w:shd w:val="clear" w:color="auto" w:fill="FFFFFF"/>
                    </w:rPr>
                    <w:fldChar w:fldCharType="end"/>
                  </w:r>
                  <w:r>
                    <w:rPr>
                      <w:rFonts w:cs="Times New Roman"/>
                      <w:color w:val="000000" w:themeColor="text1"/>
                      <w:kern w:val="0"/>
                      <w:sz w:val="21"/>
                      <w:szCs w:val="21"/>
                      <w:shd w:val="clear" w:color="auto" w:fill="FFFFFF"/>
                    </w:rPr>
                    <w:t>，特别应用于漂染废水的脱色处理，效果更佳；可用做一水硫酸亚铁的原料，一水硫酸亚铁广泛应用于饲料业；是电镀废水高效絮凝剂聚合硫酸铁的最主要原材料</w:t>
                  </w:r>
                  <w:r>
                    <w:rPr>
                      <w:rFonts w:cs="Times New Roman"/>
                      <w:color w:val="000000" w:themeColor="text1"/>
                      <w:sz w:val="21"/>
                      <w:szCs w:val="21"/>
                    </w:rPr>
                    <w:t>；</w:t>
                  </w:r>
                </w:p>
                <w:p>
                  <w:pPr>
                    <w:widowControl/>
                    <w:shd w:val="clear" w:color="auto" w:fill="FFFFFF"/>
                    <w:spacing w:line="240" w:lineRule="auto"/>
                    <w:ind w:firstLine="0" w:firstLineChars="0"/>
                    <w:jc w:val="left"/>
                    <w:rPr>
                      <w:rFonts w:cs="Times New Roman"/>
                      <w:color w:val="000000" w:themeColor="text1"/>
                      <w:sz w:val="21"/>
                      <w:szCs w:val="21"/>
                    </w:rPr>
                  </w:pPr>
                  <w:r>
                    <w:rPr>
                      <w:rFonts w:cs="Times New Roman"/>
                      <w:color w:val="000000" w:themeColor="text1"/>
                      <w:kern w:val="0"/>
                      <w:sz w:val="21"/>
                      <w:szCs w:val="21"/>
                      <w:shd w:val="clear" w:color="auto" w:fill="FFFFFF"/>
                    </w:rPr>
                    <w:t>储存注意事项：储存于阴凉、通风的库房。远离火种、热源。防止阳光直射。包装必须密封，切勿受潮。应与氧化剂、碱类等分开存放，切忌混储。储区应备有合适的材料收容泄漏物。</w:t>
                  </w:r>
                </w:p>
                <w:p>
                  <w:pPr>
                    <w:widowControl/>
                    <w:shd w:val="clear" w:color="auto" w:fill="FFFFFF"/>
                    <w:spacing w:line="240" w:lineRule="auto"/>
                    <w:ind w:firstLine="0" w:firstLineChars="0"/>
                    <w:jc w:val="left"/>
                    <w:rPr>
                      <w:rFonts w:cs="Times New Roman"/>
                      <w:color w:val="000000" w:themeColor="text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8" w:type="dxa"/>
                </w:tcPr>
                <w:p>
                  <w:pPr>
                    <w:pStyle w:val="19"/>
                    <w:tabs>
                      <w:tab w:val="center" w:pos="4153"/>
                      <w:tab w:val="left" w:pos="6845"/>
                    </w:tabs>
                    <w:jc w:val="both"/>
                    <w:rPr>
                      <w:rFonts w:ascii="Times New Roman" w:hAnsi="Times New Roman" w:cs="Times New Roman"/>
                      <w:color w:val="000000" w:themeColor="text1"/>
                      <w:sz w:val="21"/>
                      <w:szCs w:val="21"/>
                    </w:rPr>
                  </w:pPr>
                </w:p>
                <w:p>
                  <w:pPr>
                    <w:pStyle w:val="19"/>
                    <w:tabs>
                      <w:tab w:val="center" w:pos="4153"/>
                      <w:tab w:val="left" w:pos="6845"/>
                    </w:tabs>
                    <w:jc w:val="both"/>
                    <w:rPr>
                      <w:rFonts w:ascii="Times New Roman" w:hAnsi="Times New Roman" w:cs="Times New Roman"/>
                      <w:color w:val="000000" w:themeColor="text1"/>
                      <w:sz w:val="21"/>
                      <w:szCs w:val="21"/>
                    </w:rPr>
                  </w:pPr>
                  <w:r>
                    <w:rPr>
                      <w:rFonts w:ascii="Times New Roman" w:hAnsi="Times New Roman" w:cs="Times New Roman"/>
                      <w:color w:val="000000" w:themeColor="text1"/>
                      <w:sz w:val="21"/>
                      <w:szCs w:val="21"/>
                    </w:rPr>
                    <w:t>灭火方法</w:t>
                  </w:r>
                </w:p>
              </w:tc>
              <w:tc>
                <w:tcPr>
                  <w:tcW w:w="5907" w:type="dxa"/>
                </w:tcPr>
                <w:p>
                  <w:pPr>
                    <w:widowControl/>
                    <w:shd w:val="clear" w:color="auto" w:fill="FFFFFF"/>
                    <w:spacing w:line="240" w:lineRule="auto"/>
                    <w:ind w:firstLine="0" w:firstLineChars="0"/>
                    <w:jc w:val="left"/>
                    <w:rPr>
                      <w:rFonts w:cs="Times New Roman"/>
                      <w:color w:val="000000" w:themeColor="text1"/>
                      <w:sz w:val="21"/>
                      <w:szCs w:val="21"/>
                    </w:rPr>
                  </w:pPr>
                  <w:r>
                    <w:rPr>
                      <w:rFonts w:cs="Times New Roman"/>
                      <w:color w:val="000000" w:themeColor="text1"/>
                      <w:kern w:val="0"/>
                      <w:sz w:val="21"/>
                      <w:szCs w:val="21"/>
                      <w:shd w:val="clear" w:color="auto" w:fill="FFFFFF"/>
                    </w:rPr>
                    <w:t>消防人员必须穿全身防火防毒服，在上风向灭火。灭火时尽可能将容器从火场移至空旷处。然后根据着火原因选择适当灭火剂灭火</w:t>
                  </w:r>
                  <w:r>
                    <w:rPr>
                      <w:rFonts w:cs="Times New Roman"/>
                      <w:color w:val="000000" w:themeColor="text1"/>
                      <w:sz w:val="21"/>
                      <w:szCs w:val="21"/>
                    </w:rPr>
                    <w:t>。</w:t>
                  </w:r>
                </w:p>
              </w:tc>
            </w:tr>
          </w:tbl>
          <w:p>
            <w:pPr>
              <w:pStyle w:val="19"/>
              <w:tabs>
                <w:tab w:val="center" w:pos="4153"/>
                <w:tab w:val="left" w:pos="6845"/>
              </w:tabs>
              <w:jc w:val="both"/>
              <w:rPr>
                <w:rFonts w:ascii="Times New Roman" w:hAnsi="Times New Roman" w:cs="Times New Roman"/>
                <w:color w:val="000000" w:themeColor="text1"/>
                <w:sz w:val="21"/>
                <w:szCs w:val="21"/>
              </w:rPr>
            </w:pPr>
          </w:p>
        </w:tc>
      </w:tr>
    </w:tbl>
    <w:p>
      <w:pPr>
        <w:pStyle w:val="19"/>
        <w:tabs>
          <w:tab w:val="center" w:pos="4153"/>
          <w:tab w:val="left" w:pos="6845"/>
        </w:tabs>
        <w:spacing w:line="360" w:lineRule="auto"/>
        <w:jc w:val="both"/>
        <w:rPr>
          <w:b/>
          <w:bCs/>
        </w:rPr>
      </w:pPr>
      <w:r>
        <w:rPr>
          <w:rFonts w:hint="eastAsia"/>
          <w:b/>
          <w:bCs/>
        </w:rPr>
        <w:t xml:space="preserve">                         </w:t>
      </w: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jc w:val="both"/>
        <w:rPr>
          <w:b/>
          <w:bCs/>
        </w:rPr>
      </w:pPr>
    </w:p>
    <w:p>
      <w:pPr>
        <w:pStyle w:val="19"/>
        <w:tabs>
          <w:tab w:val="center" w:pos="4153"/>
          <w:tab w:val="left" w:pos="6845"/>
        </w:tabs>
        <w:spacing w:line="360" w:lineRule="auto"/>
        <w:rPr>
          <w:b/>
          <w:bCs/>
        </w:rPr>
      </w:pPr>
      <w:r>
        <w:rPr>
          <w:rFonts w:hint="eastAsia"/>
          <w:b/>
          <w:bCs/>
        </w:rPr>
        <w:t>表3-10  硫酸理化性质和危险特性表</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1"/>
        <w:gridCol w:w="6000"/>
        <w:gridCol w:w="3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restart"/>
          </w:tcPr>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标识</w:t>
            </w:r>
          </w:p>
        </w:tc>
        <w:tc>
          <w:tcPr>
            <w:tcW w:w="4747" w:type="pct"/>
            <w:gridSpan w:val="2"/>
          </w:tcPr>
          <w:p>
            <w:pPr>
              <w:pStyle w:val="19"/>
              <w:tabs>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中文名：硫酸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rFonts w:ascii="Times New Roman" w:hAnsi="Times New Roman" w:cs="Times New Roman"/>
                <w:smallCaps w:val="0"/>
                <w:color w:val="000000" w:themeColor="text1"/>
                <w:sz w:val="21"/>
                <w:szCs w:val="21"/>
              </w:rPr>
            </w:pPr>
          </w:p>
        </w:tc>
        <w:tc>
          <w:tcPr>
            <w:tcW w:w="3080"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英文名：</w:t>
            </w:r>
            <w:r>
              <w:rPr>
                <w:rFonts w:cs="Times New Roman"/>
                <w:smallCaps w:val="0"/>
                <w:color w:val="000000" w:themeColor="text1"/>
                <w:sz w:val="21"/>
                <w:szCs w:val="21"/>
                <w:shd w:val="clear" w:color="auto" w:fill="FFFFFF"/>
              </w:rPr>
              <w:t>Sulfuric acid</w:t>
            </w:r>
          </w:p>
        </w:tc>
        <w:tc>
          <w:tcPr>
            <w:tcW w:w="1667"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代号：</w:t>
            </w:r>
            <w:r>
              <w:rPr>
                <w:rFonts w:cs="Times New Roman"/>
                <w:smallCaps w:val="0"/>
                <w:color w:val="000000" w:themeColor="text1"/>
                <w:sz w:val="21"/>
                <w:szCs w:val="21"/>
                <w:shd w:val="clear" w:color="auto" w:fill="FFFFFF"/>
              </w:rPr>
              <w:t xml:space="preserve">7664-93-9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vMerge w:val="continue"/>
          </w:tcPr>
          <w:p>
            <w:pPr>
              <w:pStyle w:val="19"/>
              <w:tabs>
                <w:tab w:val="center" w:pos="4153"/>
                <w:tab w:val="left" w:pos="6845"/>
              </w:tabs>
              <w:jc w:val="both"/>
              <w:rPr>
                <w:rFonts w:ascii="Times New Roman" w:hAnsi="Times New Roman" w:cs="Times New Roman"/>
                <w:smallCaps w:val="0"/>
                <w:color w:val="000000" w:themeColor="text1"/>
                <w:sz w:val="21"/>
                <w:szCs w:val="21"/>
              </w:rPr>
            </w:pPr>
          </w:p>
        </w:tc>
        <w:tc>
          <w:tcPr>
            <w:tcW w:w="3080"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分子式：</w:t>
            </w:r>
            <w:r>
              <w:rPr>
                <w:rFonts w:cs="Times New Roman"/>
                <w:smallCaps w:val="0"/>
                <w:color w:val="000000" w:themeColor="text1"/>
                <w:sz w:val="21"/>
                <w:szCs w:val="21"/>
                <w:shd w:val="clear" w:color="auto" w:fill="FFFFFF"/>
              </w:rPr>
              <w:t xml:space="preserve">H₂SO₄ </w:t>
            </w:r>
          </w:p>
        </w:tc>
        <w:tc>
          <w:tcPr>
            <w:tcW w:w="1667" w:type="pct"/>
          </w:tcPr>
          <w:p>
            <w:pPr>
              <w:widowControl/>
              <w:spacing w:line="240" w:lineRule="auto"/>
              <w:ind w:firstLine="420"/>
              <w:rPr>
                <w:rFonts w:cs="Times New Roman"/>
                <w:smallCaps w:val="0"/>
                <w:color w:val="000000" w:themeColor="text1"/>
                <w:sz w:val="21"/>
                <w:szCs w:val="21"/>
              </w:rPr>
            </w:pPr>
            <w:r>
              <w:rPr>
                <w:rFonts w:cs="Times New Roman"/>
                <w:smallCaps w:val="0"/>
                <w:color w:val="000000" w:themeColor="text1"/>
                <w:sz w:val="21"/>
                <w:szCs w:val="21"/>
              </w:rPr>
              <w:t>分子量：</w:t>
            </w:r>
            <w:r>
              <w:rPr>
                <w:rFonts w:cs="Times New Roman"/>
                <w:smallCaps w:val="0"/>
                <w:color w:val="000000" w:themeColor="text1"/>
                <w:sz w:val="21"/>
                <w:szCs w:val="21"/>
                <w:shd w:val="clear" w:color="auto" w:fill="FFFFFF"/>
              </w:rPr>
              <w:t xml:space="preserve">98.078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物</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理</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性</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质</w:t>
            </w:r>
          </w:p>
        </w:tc>
        <w:tc>
          <w:tcPr>
            <w:tcW w:w="4747" w:type="pct"/>
            <w:gridSpan w:val="2"/>
          </w:tcPr>
          <w:p>
            <w:pPr>
              <w:widowControl/>
              <w:shd w:val="clear" w:color="auto" w:fill="FFFFFF"/>
              <w:spacing w:line="240" w:lineRule="auto"/>
              <w:ind w:firstLine="0" w:firstLineChars="0"/>
              <w:jc w:val="left"/>
              <w:rPr>
                <w:rFonts w:cs="Times New Roman"/>
                <w:smallCaps w:val="0"/>
                <w:color w:val="000000" w:themeColor="text1"/>
                <w:sz w:val="21"/>
                <w:szCs w:val="21"/>
              </w:rPr>
            </w:pPr>
            <w:r>
              <w:rPr>
                <w:rFonts w:cs="Times New Roman"/>
                <w:smallCaps w:val="0"/>
                <w:color w:val="000000" w:themeColor="text1"/>
                <w:kern w:val="0"/>
                <w:sz w:val="21"/>
                <w:szCs w:val="21"/>
                <w:shd w:val="clear" w:color="auto" w:fill="FFFFFF"/>
              </w:rPr>
              <w:t>纯硫酸一般为无色油状液体，密度1.84 g/cm³，沸点337℃，能与水以任意比例互溶，同时放出大量的热，使水沸腾。加热到290℃时开始释放出三氧化硫，最终变成为98.54%的水溶液，在317℃时沸腾而成为共沸混合物。硫酸的沸点及粘度较高，是因为其分子内部的</w:t>
            </w:r>
            <w:r>
              <w:fldChar w:fldCharType="begin"/>
            </w:r>
            <w:r>
              <w:instrText xml:space="preserve"> HYPERLINK "https://baike.baidu.com/item/%E6%B0%A2%E9%94%AE" \t "https://baike.baidu.com/item/_blank" </w:instrText>
            </w:r>
            <w:r>
              <w:fldChar w:fldCharType="separate"/>
            </w:r>
            <w:r>
              <w:rPr>
                <w:rStyle w:val="29"/>
                <w:rFonts w:cs="Times New Roman"/>
                <w:smallCaps w:val="0"/>
                <w:color w:val="000000" w:themeColor="text1"/>
                <w:sz w:val="21"/>
                <w:szCs w:val="21"/>
                <w:shd w:val="clear" w:color="auto" w:fill="FFFFFF"/>
              </w:rPr>
              <w:t>氢键</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较强的缘故。由于硫酸的</w:t>
            </w:r>
            <w:r>
              <w:fldChar w:fldCharType="begin"/>
            </w:r>
            <w:r>
              <w:instrText xml:space="preserve"> HYPERLINK "https://baike.baidu.com/item/%E4%BB%8B%E7%94%B5%E5%B8%B8%E6%95%B0/1017137" \t "https://baike.baidu.com/item/_blank" </w:instrText>
            </w:r>
            <w:r>
              <w:fldChar w:fldCharType="separate"/>
            </w:r>
            <w:r>
              <w:rPr>
                <w:rStyle w:val="29"/>
                <w:rFonts w:cs="Times New Roman"/>
                <w:smallCaps w:val="0"/>
                <w:color w:val="000000" w:themeColor="text1"/>
                <w:sz w:val="21"/>
                <w:szCs w:val="21"/>
                <w:shd w:val="clear" w:color="auto" w:fill="FFFFFF"/>
              </w:rPr>
              <w:t>介电常数</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较高，因此它是电解质的良好溶剂，而作为非电解质的溶剂则不太理想。硫酸的熔点是10.371℃，加水或加三氧化硫均会使凝固点下降。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化</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学</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性</w:t>
            </w:r>
          </w:p>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质</w:t>
            </w:r>
          </w:p>
        </w:tc>
        <w:tc>
          <w:tcPr>
            <w:tcW w:w="4747" w:type="pct"/>
            <w:gridSpan w:val="2"/>
          </w:tcPr>
          <w:p>
            <w:pPr>
              <w:widowControl/>
              <w:shd w:val="clear" w:color="auto" w:fill="FFFFFF"/>
              <w:spacing w:line="240" w:lineRule="auto"/>
              <w:ind w:firstLine="420"/>
              <w:jc w:val="left"/>
              <w:rPr>
                <w:rFonts w:cs="Times New Roman"/>
                <w:smallCaps w:val="0"/>
                <w:color w:val="000000" w:themeColor="text1"/>
                <w:sz w:val="21"/>
                <w:szCs w:val="21"/>
              </w:rPr>
            </w:pPr>
            <w:r>
              <w:rPr>
                <w:rFonts w:cs="Times New Roman"/>
                <w:smallCaps w:val="0"/>
                <w:color w:val="000000" w:themeColor="text1"/>
                <w:kern w:val="0"/>
                <w:sz w:val="21"/>
                <w:szCs w:val="21"/>
                <w:shd w:val="clear" w:color="auto" w:fill="FFFFFF"/>
              </w:rPr>
              <w:t>纯硫酸加热至290℃分解放出部分三氧化硫，直至酸的浓度降到98.3%为止，这时硫酸为恒沸溶液，沸点为338°C。无水硫酸体现酸性是给出质子的能力，纯硫酸仍然具有很强的酸性，98%硫酸与纯硫酸的酸性基本上没有差别，而溶解</w:t>
            </w:r>
            <w:r>
              <w:fldChar w:fldCharType="begin"/>
            </w:r>
            <w:r>
              <w:instrText xml:space="preserve"> HYPERLINK "https://baike.baidu.com/item/%E4%B8%89%E6%B0%A7%E5%8C%96%E7%A1%AB" \t "https://baike.baidu.com/item/_blank" </w:instrText>
            </w:r>
            <w:r>
              <w:fldChar w:fldCharType="separate"/>
            </w:r>
            <w:r>
              <w:rPr>
                <w:rStyle w:val="29"/>
                <w:rFonts w:cs="Times New Roman"/>
                <w:smallCaps w:val="0"/>
                <w:color w:val="000000" w:themeColor="text1"/>
                <w:sz w:val="21"/>
                <w:szCs w:val="21"/>
                <w:shd w:val="clear" w:color="auto" w:fill="FFFFFF"/>
              </w:rPr>
              <w:t>三氧化硫</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的发烟硫酸是一种超酸体系，酸性强于纯硫酸，但是广泛存在一种误区，即稀硫酸的酸性强于浓硫酸，这种想法是错误的。的确，稀硫酸第一步</w:t>
            </w:r>
            <w:r>
              <w:fldChar w:fldCharType="begin"/>
            </w:r>
            <w:r>
              <w:instrText xml:space="preserve"> HYPERLINK "https://baike.baidu.com/item/%E7%94%B5%E7%A6%BB" \t "https://baike.baidu.com/item/_blank" </w:instrText>
            </w:r>
            <w:r>
              <w:fldChar w:fldCharType="separate"/>
            </w:r>
            <w:r>
              <w:rPr>
                <w:rStyle w:val="29"/>
                <w:rFonts w:cs="Times New Roman"/>
                <w:smallCaps w:val="0"/>
                <w:color w:val="000000" w:themeColor="text1"/>
                <w:sz w:val="21"/>
                <w:szCs w:val="21"/>
                <w:shd w:val="clear" w:color="auto" w:fill="FFFFFF"/>
              </w:rPr>
              <w:t>电离</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完全，产生大量的</w:t>
            </w:r>
            <w:r>
              <w:fldChar w:fldCharType="begin"/>
            </w:r>
            <w:r>
              <w:instrText xml:space="preserve"> HYPERLINK "https://baike.baidu.com/item/%E6%B0%B4%E5%90%88%E6%B0%A2%E7%A6%BB%E5%AD%90" \t "https://baike.baidu.com/item/_blank" </w:instrText>
            </w:r>
            <w:r>
              <w:fldChar w:fldCharType="separate"/>
            </w:r>
            <w:r>
              <w:rPr>
                <w:rStyle w:val="29"/>
                <w:rFonts w:cs="Times New Roman"/>
                <w:smallCaps w:val="0"/>
                <w:color w:val="000000" w:themeColor="text1"/>
                <w:sz w:val="21"/>
                <w:szCs w:val="21"/>
                <w:shd w:val="clear" w:color="auto" w:fill="FFFFFF"/>
              </w:rPr>
              <w:t>水合氢离子</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H3O</w:t>
            </w:r>
            <w:r>
              <w:rPr>
                <w:rFonts w:cs="Times New Roman"/>
                <w:b/>
                <w:bCs/>
                <w:smallCaps w:val="0"/>
                <w:color w:val="000000" w:themeColor="text1"/>
                <w:kern w:val="0"/>
                <w:sz w:val="21"/>
                <w:szCs w:val="21"/>
                <w:shd w:val="clear" w:color="auto" w:fill="FFFFFF"/>
              </w:rPr>
              <w:t>+</w:t>
            </w:r>
            <w:r>
              <w:rPr>
                <w:rFonts w:cs="Times New Roman"/>
                <w:smallCaps w:val="0"/>
                <w:color w:val="000000" w:themeColor="text1"/>
                <w:kern w:val="0"/>
                <w:sz w:val="21"/>
                <w:szCs w:val="21"/>
                <w:shd w:val="clear" w:color="auto" w:fill="FFFFFF"/>
              </w:rPr>
              <w:t>；但是浓硫酸和水一样，自身</w:t>
            </w:r>
            <w:r>
              <w:fldChar w:fldCharType="begin"/>
            </w:r>
            <w:r>
              <w:instrText xml:space="preserve"> HYPERLINK "https://baike.baidu.com/item/%E8%87%AA%E5%81%B6%E7%94%B5%E7%A6%BB/1039939" \t "https://baike.baidu.com/item/_blank" </w:instrText>
            </w:r>
            <w:r>
              <w:fldChar w:fldCharType="separate"/>
            </w:r>
            <w:r>
              <w:rPr>
                <w:rStyle w:val="29"/>
                <w:rFonts w:cs="Times New Roman"/>
                <w:smallCaps w:val="0"/>
                <w:color w:val="000000" w:themeColor="text1"/>
                <w:sz w:val="21"/>
                <w:szCs w:val="21"/>
                <w:shd w:val="clear" w:color="auto" w:fill="FFFFFF"/>
              </w:rPr>
              <w:t>自偶电离</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会产生一部分硫酸合氢离子H3SO4</w:t>
            </w:r>
            <w:r>
              <w:rPr>
                <w:rFonts w:cs="Times New Roman"/>
                <w:b/>
                <w:bCs/>
                <w:smallCaps w:val="0"/>
                <w:color w:val="000000" w:themeColor="text1"/>
                <w:kern w:val="0"/>
                <w:sz w:val="21"/>
                <w:szCs w:val="21"/>
                <w:shd w:val="clear" w:color="auto" w:fill="FFFFFF"/>
              </w:rPr>
              <w:t>+</w:t>
            </w:r>
            <w:r>
              <w:rPr>
                <w:rFonts w:cs="Times New Roman"/>
                <w:smallCaps w:val="0"/>
                <w:color w:val="000000" w:themeColor="text1"/>
                <w:kern w:val="0"/>
                <w:sz w:val="21"/>
                <w:szCs w:val="21"/>
                <w:shd w:val="clear" w:color="auto" w:fill="FFFFFF"/>
              </w:rPr>
              <w:t>，正是这一部分硫酸合质子，导致纯硫酸具有非常强的酸性，虽然少，但是酸性却要比水合质子强得多，所以纯硫酸的</w:t>
            </w:r>
            <w:r>
              <w:fldChar w:fldCharType="begin"/>
            </w:r>
            <w:r>
              <w:instrText xml:space="preserve"> HYPERLINK "https://baike.baidu.com/item/%E5%93%88%E7%B1%B3%E7%89%B9%E9%85%B8%E5%BA%A6%E5%87%BD%E6%95%B0" \t "https://baike.baidu.com/item/_blank" </w:instrText>
            </w:r>
            <w:r>
              <w:fldChar w:fldCharType="separate"/>
            </w:r>
            <w:r>
              <w:rPr>
                <w:rStyle w:val="29"/>
                <w:rFonts w:cs="Times New Roman"/>
                <w:smallCaps w:val="0"/>
                <w:color w:val="000000" w:themeColor="text1"/>
                <w:sz w:val="21"/>
                <w:szCs w:val="21"/>
                <w:shd w:val="clear" w:color="auto" w:fill="FFFFFF"/>
              </w:rPr>
              <w:t>哈米特酸度函数</w:t>
            </w:r>
            <w:r>
              <w:rPr>
                <w:rStyle w:val="29"/>
                <w:rFonts w:cs="Times New Roman"/>
                <w:smallCaps w:val="0"/>
                <w:color w:val="000000" w:themeColor="text1"/>
                <w:sz w:val="21"/>
                <w:szCs w:val="21"/>
                <w:shd w:val="clear" w:color="auto" w:fill="FFFFFF"/>
              </w:rPr>
              <w:fldChar w:fldCharType="end"/>
            </w:r>
            <w:r>
              <w:rPr>
                <w:rFonts w:cs="Times New Roman"/>
                <w:smallCaps w:val="0"/>
                <w:color w:val="000000" w:themeColor="text1"/>
                <w:kern w:val="0"/>
                <w:sz w:val="21"/>
                <w:szCs w:val="21"/>
                <w:shd w:val="clear" w:color="auto" w:fill="FFFFFF"/>
              </w:rPr>
              <w:t>高达-12.0。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2" w:type="pct"/>
          </w:tcPr>
          <w:p>
            <w:pPr>
              <w:pStyle w:val="19"/>
              <w:tabs>
                <w:tab w:val="center" w:pos="4153"/>
                <w:tab w:val="left" w:pos="6845"/>
              </w:tabs>
              <w:jc w:val="both"/>
              <w:rPr>
                <w:rFonts w:ascii="Times New Roman" w:hAnsi="Times New Roman" w:cs="Times New Roman"/>
                <w:smallCaps w:val="0"/>
                <w:color w:val="000000" w:themeColor="text1"/>
                <w:sz w:val="21"/>
                <w:szCs w:val="21"/>
              </w:rPr>
            </w:pPr>
            <w:r>
              <w:rPr>
                <w:rFonts w:ascii="Times New Roman" w:hAnsi="Times New Roman" w:cs="Times New Roman"/>
                <w:smallCaps w:val="0"/>
                <w:color w:val="000000" w:themeColor="text1"/>
                <w:sz w:val="21"/>
                <w:szCs w:val="21"/>
              </w:rPr>
              <w:t>危险性描述</w:t>
            </w:r>
          </w:p>
        </w:tc>
        <w:tc>
          <w:tcPr>
            <w:tcW w:w="4747" w:type="pct"/>
            <w:gridSpan w:val="2"/>
          </w:tcPr>
          <w:p>
            <w:pPr>
              <w:widowControl/>
              <w:shd w:val="clear" w:color="auto" w:fill="FFFFFF"/>
              <w:spacing w:line="240" w:lineRule="auto"/>
              <w:ind w:firstLine="0" w:firstLineChars="0"/>
              <w:jc w:val="left"/>
              <w:rPr>
                <w:rFonts w:cs="Times New Roman"/>
                <w:smallCaps w:val="0"/>
                <w:color w:val="000000" w:themeColor="text1"/>
                <w:sz w:val="21"/>
                <w:szCs w:val="21"/>
              </w:rPr>
            </w:pPr>
            <w:r>
              <w:rPr>
                <w:rFonts w:cs="Times New Roman"/>
                <w:smallCaps w:val="0"/>
                <w:color w:val="000000" w:themeColor="text1"/>
                <w:kern w:val="0"/>
                <w:sz w:val="21"/>
                <w:szCs w:val="21"/>
                <w:shd w:val="clear" w:color="auto" w:fill="FFFFFF"/>
              </w:rPr>
              <w:t>无水硫酸为无色油状液体，10.36℃时结晶，通常使用的是它的各种不同浓度的水溶液，用塔式法和接触法制取。前者所得为粗制稀硫酸，质量分数一般在 75%左右；后者可得质量分数 98.3%的纯硫酸，沸点 338℃，相对密度 1.84。属中等毒性LD5080mg/kg(大鼠经口)；LC50510mg/m³，2 小时(大鼠吸入)；320mg/m³，2 小时(小鼠吸入)；不易燃，但当与金属发生反应后会释出易燃的氢气，遇到明火可能导致爆炸，而作为强氧化剂的浓硫酸与金属进行氧化还原反应时会释出有毒的二氧化硫，威胁工作人员的健康。另外，长时间暴露在带有硫酸成分的浮质中（特别是高浓度），会使呼吸管道受到严重的刺激，更可导致肺水肿。误服硫酸有机会导致维生素 B12 缺乏症，脊椎是最易受影响的部位。</w:t>
            </w:r>
          </w:p>
        </w:tc>
      </w:tr>
    </w:tbl>
    <w:p>
      <w:pPr>
        <w:pStyle w:val="19"/>
        <w:spacing w:beforeLines="50" w:line="360" w:lineRule="auto"/>
        <w:ind w:firstLine="482" w:firstLineChars="200"/>
        <w:jc w:val="both"/>
        <w:rPr>
          <w:rFonts w:ascii="宋体" w:hAnsi="宋体" w:cs="宋体"/>
          <w:b/>
          <w:bCs/>
        </w:rPr>
      </w:pPr>
      <w:r>
        <w:rPr>
          <w:rFonts w:hint="eastAsia" w:ascii="宋体" w:hAnsi="宋体" w:cs="宋体"/>
          <w:b/>
          <w:bCs/>
        </w:rPr>
        <w:t>3.2污水处理厂运行工艺</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项目的污水处理工艺流程如下：粗格栅+提升泵+细格栅+调节池+UASB水解池+厌氧池+缺氧池+好氧池+二沉池+芬顿氧化池+高效生物滤池+出水监测池。</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工艺流程说明：</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水解酸化：采用UASB池型，脉冲方式进水。通过水解酸化将废水中的大分子有机物分解成小分子有机物、将难生化降解物质转化为可降解物质，提高废水的可生化性。预处理的污水和含磷回流污泥进入水解酸化反应池进行磷的释放，为水解酸化段所进行的有机物水解反应提供最优的条件，为后续脱氮反应提供较充足的碳源。</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厌氧除磷段：反应池内利用活性污泥反应池回流污泥携带的聚磷菌，大量吸收污水中溶解态磷，通过在厌氧除磷反应池设置的排泥出口，将一部分含磷污泥排出，达到除磷目的，一部分含磷污泥再回流到水解酸化池中进行放磷反应。</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缺氧段：在缺氧池内，反硝化细菌利用进水、含磷回流污泥中的有机物为碳源，利用活性炭污泥反应池混合液回流带入的硝酸盐进行反硝化脱氮。反硝化细菌将硝酸盐氮和亚硝酸盐氮还原为氮气，反应式为：</w:t>
      </w:r>
    </w:p>
    <w:p>
      <w:pPr>
        <w:pStyle w:val="19"/>
        <w:tabs>
          <w:tab w:val="left" w:pos="1066"/>
          <w:tab w:val="left" w:pos="6845"/>
        </w:tabs>
        <w:adjustRightInd w:val="0"/>
        <w:spacing w:line="360" w:lineRule="auto"/>
        <w:ind w:firstLine="480" w:firstLineChars="200"/>
        <w:jc w:val="both"/>
        <w:rPr>
          <w:rFonts w:ascii="宋体" w:hAnsi="宋体" w:cs="宋体"/>
          <w:smallCaps w:val="0"/>
          <w:vertAlign w:val="superscript"/>
        </w:rPr>
      </w:pPr>
      <w:r>
        <w:pict>
          <v:shape id="_x0000_s1026" o:spid="_x0000_s1026" o:spt="32" type="#_x0000_t32" style="position:absolute;left:0pt;flip:y;margin-left:184.55pt;margin-top:2.15pt;height:21.4pt;width:0.4pt;z-index:251683840;mso-width-relative:page;mso-height-relative:page;" filled="f" stroked="t" coordsize="21600,21600" o:gfxdata="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M2PM1wAA&#10;AAgBAAAPAAAAAAAAAAEAIAAAADgAAABkcnMvZG93bnJldi54bWxQSwECFAAUAAAACACHTuJA8jSc&#10;fQkCAADMAwAADgAAAAAAAAABACAAAAA8AQAAZHJzL2Uyb0RvYy54bWxQSwUGAAAAAAYABgBZAQAA&#10;twUAAAAA&#10;">
            <v:path arrowok="t"/>
            <v:fill on="f" focussize="0,0"/>
            <v:stroke weight="0.5pt" color="#000000" joinstyle="miter" endarrow="block"/>
            <v:imagedata o:title=""/>
            <o:lock v:ext="edit"/>
          </v:shape>
        </w:pict>
      </w:r>
      <w:r>
        <w:pict>
          <v:shape id="_x0000_s1053" o:spid="_x0000_s1053" o:spt="32" type="#_x0000_t32" style="position:absolute;left:0pt;flip:y;margin-left:152.1pt;margin-top:0.3pt;height:21.4pt;width:0.4pt;z-index:251682816;mso-width-relative:page;mso-height-relative:page;" filled="f" stroked="t" coordsize="21600,21600" o:gfxdata="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AUgqxm1wAA&#10;AAcBAAAPAAAAAAAAAAEAIAAAADgAAABkcnMvZG93bnJldi54bWxQSwECFAAUAAAACACHTuJAxteM&#10;/gkCAADMAwAADgAAAAAAAAABACAAAAA8AQAAZHJzL2Uyb0RvYy54bWxQSwUGAAAAAAYABgBZAQAA&#10;twUAAAAA&#10;">
            <v:path arrowok="t"/>
            <v:fill on="f" focussize="0,0"/>
            <v:stroke weight="0.5pt" color="#000000" joinstyle="miter" endarrow="block"/>
            <v:imagedata o:title=""/>
            <o:lock v:ext="edit"/>
          </v:shape>
        </w:pict>
      </w:r>
      <w:r>
        <w:pict>
          <v:shape id="_x0000_s1052" o:spid="_x0000_s1052" o:spt="32" type="#_x0000_t32" style="position:absolute;left:0pt;flip:y;margin-left:90.75pt;margin-top:10.8pt;height:0.7pt;width:32.05pt;z-index:251681792;mso-width-relative:page;mso-height-relative:page;" filled="f" stroked="t" coordsize="21600,21600" o:gfxdata="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FgAAAGRycy9QSwECFAAU&#10;AAAACACHTuJAeHYVTNgAAAAJAQAADwAAAAAAAAABACAAAAA4AAAAZHJzL2Rvd25yZXYueG1sUEsB&#10;AhQAFAAAAAgAh07iQCklscAYAgAA2AMAAA4AAAAAAAAAAQAgAAAAPQEAAGRycy9lMm9Eb2MueG1s&#10;UEsFBgAAAAAGAAYAWQEAAMcFAAAAAA==&#10;">
            <v:path arrowok="t"/>
            <v:fill on="f" focussize="0,0"/>
            <v:stroke weight="0.5pt" color="#000000" joinstyle="miter" endarrow="block"/>
            <v:imagedata o:title=""/>
            <o:lock v:ext="edit"/>
          </v:shape>
        </w:pict>
      </w:r>
      <w:r>
        <w:rPr>
          <w:rFonts w:hint="eastAsia" w:ascii="宋体" w:hAnsi="宋体" w:cs="宋体"/>
          <w:smallCaps w:val="0"/>
        </w:rPr>
        <w:t>6NO</w:t>
      </w:r>
      <w:r>
        <w:rPr>
          <w:rFonts w:hint="eastAsia" w:ascii="宋体" w:hAnsi="宋体" w:cs="宋体"/>
          <w:smallCaps w:val="0"/>
          <w:vertAlign w:val="subscript"/>
        </w:rPr>
        <w:t>3</w:t>
      </w:r>
      <w:r>
        <w:rPr>
          <w:rFonts w:hint="eastAsia" w:ascii="宋体" w:hAnsi="宋体" w:cs="宋体"/>
          <w:smallCaps w:val="0"/>
        </w:rPr>
        <w:t>+5CH</w:t>
      </w:r>
      <w:r>
        <w:rPr>
          <w:rFonts w:hint="eastAsia" w:ascii="宋体" w:hAnsi="宋体" w:cs="宋体"/>
          <w:smallCaps w:val="0"/>
          <w:vertAlign w:val="subscript"/>
        </w:rPr>
        <w:t>3</w:t>
      </w:r>
      <w:r>
        <w:rPr>
          <w:rFonts w:hint="eastAsia" w:ascii="宋体" w:hAnsi="宋体" w:cs="宋体"/>
          <w:smallCaps w:val="0"/>
        </w:rPr>
        <w:t>OH       5CO</w:t>
      </w:r>
      <w:r>
        <w:rPr>
          <w:rFonts w:hint="eastAsia" w:ascii="宋体" w:hAnsi="宋体" w:cs="宋体"/>
          <w:smallCaps w:val="0"/>
          <w:vertAlign w:val="subscript"/>
        </w:rPr>
        <w:t>2</w:t>
      </w:r>
      <w:r>
        <w:rPr>
          <w:rFonts w:hint="eastAsia" w:ascii="宋体" w:hAnsi="宋体" w:cs="宋体"/>
          <w:smallCaps w:val="0"/>
        </w:rPr>
        <w:t xml:space="preserve">  +3N</w:t>
      </w:r>
      <w:r>
        <w:rPr>
          <w:rFonts w:hint="eastAsia" w:ascii="宋体" w:hAnsi="宋体" w:cs="宋体"/>
          <w:smallCaps w:val="0"/>
          <w:vertAlign w:val="subscript"/>
        </w:rPr>
        <w:t>2</w:t>
      </w:r>
      <w:r>
        <w:rPr>
          <w:rFonts w:hint="eastAsia" w:ascii="宋体" w:hAnsi="宋体" w:cs="宋体"/>
          <w:smallCaps w:val="0"/>
        </w:rPr>
        <w:t xml:space="preserve"> +7H2O+6OH</w:t>
      </w:r>
      <w:r>
        <w:rPr>
          <w:rFonts w:hint="eastAsia" w:ascii="宋体" w:hAnsi="宋体" w:cs="宋体"/>
          <w:smallCaps w:val="0"/>
          <w:vertAlign w:val="superscript"/>
        </w:rPr>
        <w:t>-</w:t>
      </w:r>
    </w:p>
    <w:p>
      <w:pPr>
        <w:pStyle w:val="19"/>
        <w:tabs>
          <w:tab w:val="left" w:pos="1066"/>
          <w:tab w:val="left" w:pos="6845"/>
        </w:tabs>
        <w:adjustRightInd w:val="0"/>
        <w:spacing w:line="360" w:lineRule="auto"/>
        <w:ind w:firstLine="480" w:firstLineChars="200"/>
        <w:jc w:val="both"/>
        <w:rPr>
          <w:rFonts w:ascii="Times New Roman" w:hAnsi="Times New Roman" w:cs="Times New Roman"/>
          <w:smallCaps w:val="0"/>
        </w:rPr>
      </w:pPr>
      <w:r>
        <w:rPr>
          <w:rFonts w:hint="eastAsia" w:ascii="宋体" w:hAnsi="宋体" w:cs="宋体"/>
          <w:smallCaps w:val="0"/>
        </w:rPr>
        <w:t>在硝化反应中，最大的问题就是废水中可用于反硝化的有机碳的多少以及可生化程度，当废水中BOD</w:t>
      </w:r>
      <w:r>
        <w:rPr>
          <w:rFonts w:ascii="Times New Roman" w:hAnsi="Times New Roman" w:cs="Times New Roman"/>
          <w:smallCaps w:val="0"/>
          <w:vertAlign w:val="subscript"/>
        </w:rPr>
        <w:t>5</w:t>
      </w:r>
      <w:r>
        <w:rPr>
          <w:rFonts w:hint="eastAsia" w:ascii="Times New Roman" w:hAnsi="Times New Roman" w:cs="Times New Roman"/>
          <w:smallCaps w:val="0"/>
        </w:rPr>
        <w:t>/TKN&gt;3~5时可认为碳源充足。生化系统中，通过水解酸化阶段反应，大部分难降解有机物都被分解为小分子的可生化有机物，大大增加了可生化碳源，提高了硝化反应速率。</w:t>
      </w:r>
    </w:p>
    <w:p>
      <w:pPr>
        <w:pStyle w:val="19"/>
        <w:tabs>
          <w:tab w:val="left" w:pos="1066"/>
          <w:tab w:val="left" w:pos="6845"/>
        </w:tabs>
        <w:adjustRightInd w:val="0"/>
        <w:spacing w:line="360" w:lineRule="auto"/>
        <w:ind w:firstLine="480" w:firstLineChars="200"/>
        <w:jc w:val="both"/>
        <w:rPr>
          <w:rFonts w:ascii="Times New Roman" w:hAnsi="Times New Roman" w:cs="Times New Roman"/>
          <w:smallCaps w:val="0"/>
        </w:rPr>
      </w:pPr>
      <w:r>
        <w:rPr>
          <w:rFonts w:hint="eastAsia" w:ascii="Times New Roman" w:hAnsi="Times New Roman" w:cs="Times New Roman"/>
          <w:smallCaps w:val="0"/>
        </w:rPr>
        <w:t>好氧段：经厌氧生物处理后废水中存在的各种有机物，在好氧处理阶段可以作为微生物营养源，经过一系列生化反应，释放能量，最终以无极物质稳定下来，达到去除废水COD的目的，实现废水的无害化。</w:t>
      </w:r>
    </w:p>
    <w:p>
      <w:pPr>
        <w:pStyle w:val="19"/>
        <w:tabs>
          <w:tab w:val="left" w:pos="1066"/>
          <w:tab w:val="left" w:pos="6845"/>
        </w:tabs>
        <w:adjustRightInd w:val="0"/>
        <w:spacing w:line="360" w:lineRule="auto"/>
        <w:ind w:firstLine="480" w:firstLineChars="200"/>
        <w:rPr>
          <w:rFonts w:ascii="Times New Roman" w:hAnsi="Times New Roman" w:cs="Times New Roman"/>
          <w:b/>
          <w:bCs/>
          <w:smallCaps w:val="0"/>
        </w:rPr>
      </w:pPr>
      <w:r>
        <w:rPr>
          <w:rFonts w:hint="eastAsia"/>
        </w:rPr>
        <w:object>
          <v:shape id="_x0000_i1025" o:spt="75" type="#_x0000_t75" style="height:500.45pt;width:394.25pt;" o:ole="t" filled="f" o:preferrelative="t" stroked="f" coordsize="21600,21600">
            <v:path/>
            <v:fill on="f" focussize="0,0"/>
            <v:stroke on="f" joinstyle="miter"/>
            <v:imagedata r:id="rId16" gain="61603f" o:title=""/>
            <o:lock v:ext="edit" aspectratio="f"/>
            <w10:wrap type="none"/>
            <w10:anchorlock/>
          </v:shape>
          <o:OLEObject Type="Embed" ProgID="Visio.Drawing.11" ShapeID="_x0000_i1025" DrawAspect="Content" ObjectID="_1468075725" r:id="rId15">
            <o:LockedField>false</o:LockedField>
          </o:OLEObject>
        </w:object>
      </w:r>
      <w:r>
        <w:rPr>
          <w:rFonts w:hint="eastAsia"/>
        </w:rPr>
        <w:t xml:space="preserve">            </w:t>
      </w:r>
      <w:r>
        <w:rPr>
          <w:rFonts w:hint="eastAsia"/>
          <w:b/>
          <w:bCs/>
        </w:rPr>
        <w:t xml:space="preserve">   图3-1 污水处理工艺流程图</w:t>
      </w:r>
    </w:p>
    <w:p>
      <w:pPr>
        <w:pStyle w:val="19"/>
        <w:tabs>
          <w:tab w:val="left" w:pos="1066"/>
          <w:tab w:val="left" w:pos="6845"/>
        </w:tabs>
        <w:adjustRightInd w:val="0"/>
        <w:spacing w:line="360" w:lineRule="auto"/>
        <w:ind w:firstLine="480" w:firstLineChars="200"/>
        <w:jc w:val="both"/>
        <w:rPr>
          <w:rFonts w:ascii="Times New Roman" w:hAnsi="Times New Roman" w:cs="Times New Roman"/>
          <w:smallCaps w:val="0"/>
        </w:rPr>
      </w:pPr>
      <w:r>
        <w:rPr>
          <w:rFonts w:ascii="Times New Roman" w:hAnsi="Times New Roman" w:cs="Times New Roman"/>
          <w:smallCaps w:val="0"/>
        </w:rPr>
        <w:t>项目的主体工艺是“厌氧水解＋生化处理＋深度氧化”</w:t>
      </w:r>
      <w:r>
        <w:rPr>
          <w:rFonts w:hint="eastAsia" w:ascii="Times New Roman" w:hAnsi="Times New Roman" w:cs="Times New Roman"/>
          <w:smallCaps w:val="0"/>
        </w:rPr>
        <w:t>。</w:t>
      </w:r>
    </w:p>
    <w:p>
      <w:pPr>
        <w:pStyle w:val="19"/>
        <w:tabs>
          <w:tab w:val="left" w:pos="1066"/>
          <w:tab w:val="left" w:pos="6845"/>
        </w:tabs>
        <w:adjustRightInd w:val="0"/>
        <w:spacing w:line="360" w:lineRule="auto"/>
        <w:ind w:firstLine="480" w:firstLineChars="200"/>
        <w:jc w:val="both"/>
        <w:rPr>
          <w:rFonts w:ascii="Times New Roman" w:hAnsi="Times New Roman" w:cs="Times New Roman"/>
          <w:smallCaps w:val="0"/>
        </w:rPr>
      </w:pPr>
      <w:r>
        <w:rPr>
          <w:rFonts w:hint="eastAsia" w:ascii="Times New Roman" w:hAnsi="Times New Roman" w:cs="Times New Roman"/>
          <w:smallCaps w:val="0"/>
        </w:rPr>
        <w:t>本项目选择现有UASB 工艺作为厌氧处理工艺。厌氧主要是将其中难生物降解物质转变为易生物降解物质，提高度水的可生化性，以利于后续的好氧生物处理。在连续厌氧过程中水解、酸化的目的是为混合厌氧硝化过程中的甲烷化阶段提供基质。而两项厌氧硝化中的产酸段（产酸相）是将混合厌氧硝化中产酸段和产甲烷段分开，以便形成各自的最佳环境。厌氧发酵产生沼气过程可分为水解阶段、酸化阶段、乙酸化阶段和甲烷阶段等四个阶段。水解池式把反应控制在第二阶段完成之前，不进入第三阶段。UASB工艺是厌氧第二代工艺，具有工艺结构紧凑、处理负荷高。无机械搅拌装置、运行稳定、处理效果好及投资小等优点，是目前研究较多、应用日趋广泛的新型废水厌氧处理工艺。将厌氧串联于A/O工艺之前，提高废水可生化性、改善处理效果的同时，还可以将废水中的有机氮转化为氨氮，为后续的A/O系统的脱氮提供良好条件。</w:t>
      </w:r>
    </w:p>
    <w:p>
      <w:pPr>
        <w:pStyle w:val="19"/>
        <w:tabs>
          <w:tab w:val="left" w:pos="1066"/>
          <w:tab w:val="left" w:pos="6845"/>
        </w:tabs>
        <w:adjustRightInd w:val="0"/>
        <w:spacing w:line="360" w:lineRule="auto"/>
        <w:ind w:firstLine="480" w:firstLineChars="200"/>
        <w:jc w:val="both"/>
        <w:rPr>
          <w:rFonts w:ascii="Times New Roman" w:hAnsi="Times New Roman" w:cs="Times New Roman"/>
          <w:smallCaps w:val="0"/>
        </w:rPr>
      </w:pPr>
      <w:r>
        <w:rPr>
          <w:rFonts w:hint="eastAsia" w:ascii="Times New Roman" w:hAnsi="Times New Roman" w:cs="Times New Roman"/>
          <w:smallCaps w:val="0"/>
        </w:rPr>
        <w:t>本项目选用传统的A/A/O工艺。常规生物脱氮除磷工艺呈厌氧（A1）/缺氧（A2）/好氧（O）的布置形式。该布置理论上基于这样一种认识，即：聚磷微生物有效释磷水平的充分与否，对于提高系统的除磷能力具有极端重要的意义，厌氧区在前可以使聚磷微生物优先获得碳源并得以冲分释磷。常规A/A/O工艺存在以下三个缺点：</w:t>
      </w:r>
      <w:r>
        <w:rPr>
          <w:rFonts w:cs="Calibri"/>
          <w:smallCaps w:val="0"/>
        </w:rPr>
        <w:t>①</w:t>
      </w:r>
      <w:r>
        <w:rPr>
          <w:rFonts w:hint="eastAsia" w:ascii="Times New Roman" w:hAnsi="Times New Roman" w:cs="Times New Roman"/>
          <w:smallCaps w:val="0"/>
        </w:rPr>
        <w:t>由于厌氧区居前，回流污泥中的硝酸盐对厌氧区产生不利影响；</w:t>
      </w:r>
      <w:r>
        <w:rPr>
          <w:rFonts w:cs="Calibri"/>
          <w:smallCaps w:val="0"/>
        </w:rPr>
        <w:t>②</w:t>
      </w:r>
      <w:r>
        <w:rPr>
          <w:rFonts w:hint="eastAsia" w:ascii="Times New Roman" w:hAnsi="Times New Roman" w:cs="Times New Roman"/>
          <w:smallCaps w:val="0"/>
        </w:rPr>
        <w:t>由于缺氧区位于系统中部，反硝化在碳源分配上居于不利地位，因而影响了系统的脱氮效果；</w:t>
      </w:r>
      <w:r>
        <w:rPr>
          <w:rFonts w:cs="Calibri"/>
          <w:smallCaps w:val="0"/>
        </w:rPr>
        <w:t>③</w:t>
      </w:r>
      <w:r>
        <w:rPr>
          <w:rFonts w:hint="eastAsia" w:ascii="Times New Roman" w:hAnsi="Times New Roman" w:cs="Times New Roman"/>
          <w:smallCaps w:val="0"/>
        </w:rPr>
        <w:t>由于存在内循环，常规工艺系统所排放的剩余污泥中实际只有一小部分经历了完整的放磷、吸磷过程，其余则基本上未经厌氧状态而直接由缺氧区进入好氧区，这对系统除磷是不利的。</w:t>
      </w:r>
    </w:p>
    <w:p>
      <w:pPr>
        <w:pStyle w:val="19"/>
        <w:tabs>
          <w:tab w:val="left" w:pos="1066"/>
          <w:tab w:val="left" w:pos="6845"/>
        </w:tabs>
        <w:adjustRightInd w:val="0"/>
        <w:spacing w:line="360" w:lineRule="auto"/>
        <w:rPr>
          <w:rFonts w:ascii="Times New Roman" w:hAnsi="Times New Roman" w:cs="Times New Roman"/>
          <w:smallCaps w:val="0"/>
        </w:rPr>
      </w:pPr>
      <w:r>
        <w:rPr>
          <w:rFonts w:hint="eastAsia"/>
        </w:rPr>
        <w:object>
          <v:shape id="_x0000_i1026" o:spt="75" type="#_x0000_t75" style="height:70.8pt;width:416.65pt;" o:ole="t" filled="f" o:preferrelative="t" stroked="f" coordsize="21600,21600">
            <v:path/>
            <v:fill on="f" focussize="0,0"/>
            <v:stroke on="f" joinstyle="miter"/>
            <v:imagedata r:id="rId18" gain="61603f" o:title=""/>
            <o:lock v:ext="edit" aspectratio="f"/>
            <w10:wrap type="none"/>
            <w10:anchorlock/>
          </v:shape>
          <o:OLEObject Type="Embed" ProgID="Visio.Drawing.11" ShapeID="_x0000_i1026" DrawAspect="Content" ObjectID="_1468075726" r:id="rId17">
            <o:LockedField>false</o:LockedField>
          </o:OLEObject>
        </w:object>
      </w:r>
      <w:r>
        <w:rPr>
          <w:rFonts w:hint="eastAsia"/>
        </w:rPr>
        <w:t xml:space="preserve">                              </w:t>
      </w:r>
      <w:r>
        <w:rPr>
          <w:rFonts w:hint="eastAsia"/>
          <w:b/>
          <w:bCs/>
        </w:rPr>
        <w:t xml:space="preserve">  图3-2   A/A/O工艺流程图</w:t>
      </w:r>
    </w:p>
    <w:p>
      <w:pPr>
        <w:pStyle w:val="19"/>
        <w:tabs>
          <w:tab w:val="left" w:pos="1066"/>
          <w:tab w:val="left" w:pos="6845"/>
        </w:tabs>
        <w:adjustRightInd w:val="0"/>
        <w:spacing w:line="360" w:lineRule="auto"/>
        <w:ind w:firstLine="480" w:firstLineChars="200"/>
        <w:jc w:val="both"/>
        <w:rPr>
          <w:rFonts w:ascii="宋体" w:hAnsi="宋体" w:cs="宋体"/>
          <w:szCs w:val="32"/>
        </w:rPr>
      </w:pPr>
      <w:r>
        <w:rPr>
          <w:rFonts w:hint="eastAsia" w:ascii="Times New Roman" w:hAnsi="Times New Roman" w:cs="Times New Roman"/>
          <w:smallCaps w:val="0"/>
        </w:rPr>
        <w:t>本项目深度氧化采用芬顿氧化和高效生物滤池。传统芬顿氧化工艺是采用氧化池作为主要反应器进行，即向氧化池中投加双氧水和硫酸亚铁，利用Fe</w:t>
      </w:r>
      <w:r>
        <w:rPr>
          <w:rFonts w:hint="eastAsia" w:ascii="Times New Roman" w:hAnsi="Times New Roman" w:cs="Times New Roman"/>
          <w:smallCaps w:val="0"/>
          <w:vertAlign w:val="superscript"/>
        </w:rPr>
        <w:t>2+</w:t>
      </w:r>
      <w:r>
        <w:rPr>
          <w:rFonts w:hint="eastAsia" w:ascii="Times New Roman" w:hAnsi="Times New Roman" w:cs="Times New Roman"/>
          <w:smallCaps w:val="0"/>
        </w:rPr>
        <w:t>和H</w:t>
      </w:r>
      <w:r>
        <w:rPr>
          <w:rFonts w:hint="eastAsia" w:ascii="Times New Roman" w:hAnsi="Times New Roman" w:cs="Times New Roman"/>
          <w:smallCaps w:val="0"/>
          <w:vertAlign w:val="subscript"/>
        </w:rPr>
        <w:t>2</w:t>
      </w:r>
      <w:r>
        <w:rPr>
          <w:rFonts w:hint="eastAsia" w:ascii="Times New Roman" w:hAnsi="Times New Roman" w:cs="Times New Roman"/>
          <w:smallCaps w:val="0"/>
        </w:rPr>
        <w:t>O</w:t>
      </w:r>
      <w:r>
        <w:rPr>
          <w:rFonts w:hint="eastAsia" w:ascii="Times New Roman" w:hAnsi="Times New Roman" w:cs="Times New Roman"/>
          <w:smallCaps w:val="0"/>
          <w:vertAlign w:val="subscript"/>
        </w:rPr>
        <w:t>2</w:t>
      </w:r>
      <w:r>
        <w:rPr>
          <w:rFonts w:hint="eastAsia" w:ascii="Times New Roman" w:hAnsi="Times New Roman" w:cs="Times New Roman"/>
          <w:smallCaps w:val="0"/>
        </w:rPr>
        <w:t>之间的链反应催化生成</w:t>
      </w:r>
      <w:r>
        <w:rPr>
          <w:rFonts w:hint="eastAsia" w:ascii="宋体" w:hAnsi="宋体" w:cs="宋体"/>
          <w:szCs w:val="32"/>
        </w:rPr>
        <w:t>•OH，而•OH自由基具有强氧化性，能氧化各种有毒和难降解的有机化合物，以达到分解污染物和去除色度的目的。芬顿氧化的过程可以表示如下：</w:t>
      </w:r>
    </w:p>
    <w:p>
      <w:pPr>
        <w:ind w:firstLine="480"/>
        <w:rPr>
          <w:rFonts w:eastAsia="仿宋" w:cs="Times New Roman"/>
          <w:vertAlign w:val="superscript"/>
        </w:rPr>
      </w:pPr>
      <w:r>
        <w:rPr>
          <w:rFonts w:cs="Times New Roman"/>
        </w:rPr>
        <w:t>链反应的引发：Fe</w:t>
      </w:r>
      <w:r>
        <w:rPr>
          <w:rFonts w:cs="Times New Roman"/>
          <w:vertAlign w:val="superscript"/>
        </w:rPr>
        <w:t>2+</w:t>
      </w:r>
      <w:r>
        <w:rPr>
          <w:rFonts w:cs="Times New Roman"/>
        </w:rPr>
        <w:t xml:space="preserve"> + H</w:t>
      </w:r>
      <w:r>
        <w:rPr>
          <w:rFonts w:cs="Times New Roman"/>
          <w:vertAlign w:val="subscript"/>
        </w:rPr>
        <w:t>2</w:t>
      </w:r>
      <w:r>
        <w:rPr>
          <w:rFonts w:cs="Times New Roman"/>
        </w:rPr>
        <w:t>O</w:t>
      </w:r>
      <w:r>
        <w:rPr>
          <w:rFonts w:cs="Times New Roman"/>
          <w:vertAlign w:val="subscript"/>
        </w:rPr>
        <w:t xml:space="preserve">2 </w:t>
      </w:r>
      <w:r>
        <w:rPr>
          <w:rFonts w:eastAsia="仿宋" w:cs="Times New Roman"/>
        </w:rPr>
        <w:t>→ Fe</w:t>
      </w:r>
      <w:r>
        <w:rPr>
          <w:rFonts w:eastAsia="仿宋" w:cs="Times New Roman"/>
          <w:vertAlign w:val="superscript"/>
        </w:rPr>
        <w:t>3+</w:t>
      </w:r>
      <w:r>
        <w:rPr>
          <w:rFonts w:eastAsia="仿宋" w:cs="Times New Roman"/>
        </w:rPr>
        <w:t xml:space="preserve"> + HO</w:t>
      </w:r>
      <w:r>
        <w:rPr>
          <w:rFonts w:hint="eastAsia" w:ascii="宋体" w:hAnsi="宋体"/>
          <w:szCs w:val="32"/>
        </w:rPr>
        <w:t>•</w:t>
      </w:r>
      <w:r>
        <w:rPr>
          <w:rFonts w:eastAsia="仿宋" w:cs="Times New Roman"/>
        </w:rPr>
        <w:t>+ OH</w:t>
      </w:r>
      <w:r>
        <w:rPr>
          <w:rFonts w:eastAsia="仿宋" w:cs="Times New Roman"/>
          <w:vertAlign w:val="superscript"/>
        </w:rPr>
        <w:t>-</w:t>
      </w:r>
    </w:p>
    <w:p>
      <w:pPr>
        <w:ind w:firstLine="1680" w:firstLineChars="700"/>
        <w:rPr>
          <w:rFonts w:eastAsia="仿宋" w:cs="Times New Roman"/>
          <w:vertAlign w:val="superscript"/>
        </w:rPr>
      </w:pPr>
      <w:r>
        <w:rPr>
          <w:rFonts w:cs="Times New Roman"/>
        </w:rPr>
        <w:t>Fe</w:t>
      </w:r>
      <w:r>
        <w:rPr>
          <w:rFonts w:cs="Times New Roman"/>
          <w:vertAlign w:val="superscript"/>
        </w:rPr>
        <w:t>3+</w:t>
      </w:r>
      <w:r>
        <w:rPr>
          <w:rFonts w:cs="Times New Roman"/>
        </w:rPr>
        <w:t xml:space="preserve"> + H</w:t>
      </w:r>
      <w:r>
        <w:rPr>
          <w:rFonts w:cs="Times New Roman"/>
          <w:vertAlign w:val="subscript"/>
        </w:rPr>
        <w:t>2</w:t>
      </w:r>
      <w:r>
        <w:rPr>
          <w:rFonts w:cs="Times New Roman"/>
        </w:rPr>
        <w:t>O</w:t>
      </w:r>
      <w:r>
        <w:rPr>
          <w:rFonts w:cs="Times New Roman"/>
          <w:vertAlign w:val="subscript"/>
        </w:rPr>
        <w:t xml:space="preserve">2 </w:t>
      </w:r>
      <w:r>
        <w:rPr>
          <w:rFonts w:eastAsia="仿宋" w:cs="Times New Roman"/>
        </w:rPr>
        <w:t>→ Fe</w:t>
      </w:r>
      <w:r>
        <w:rPr>
          <w:rFonts w:eastAsia="仿宋" w:cs="Times New Roman"/>
          <w:vertAlign w:val="superscript"/>
        </w:rPr>
        <w:t>2+</w:t>
      </w:r>
      <w:r>
        <w:rPr>
          <w:rFonts w:eastAsia="仿宋" w:cs="Times New Roman"/>
        </w:rPr>
        <w:t xml:space="preserve"> + HO</w:t>
      </w:r>
      <w:r>
        <w:rPr>
          <w:rFonts w:eastAsia="仿宋" w:cs="Times New Roman"/>
          <w:vertAlign w:val="subscript"/>
        </w:rPr>
        <w:t>2</w:t>
      </w:r>
      <w:r>
        <w:rPr>
          <w:rFonts w:hint="eastAsia" w:ascii="宋体" w:hAnsi="宋体"/>
          <w:szCs w:val="32"/>
        </w:rPr>
        <w:t>•</w:t>
      </w:r>
      <w:r>
        <w:rPr>
          <w:rFonts w:eastAsia="仿宋" w:cs="Times New Roman"/>
        </w:rPr>
        <w:t>+ H</w:t>
      </w:r>
      <w:r>
        <w:rPr>
          <w:rFonts w:eastAsia="仿宋" w:cs="Times New Roman"/>
          <w:vertAlign w:val="superscript"/>
        </w:rPr>
        <w:t>+</w:t>
      </w:r>
    </w:p>
    <w:p>
      <w:pPr>
        <w:ind w:firstLine="1680" w:firstLineChars="700"/>
        <w:rPr>
          <w:rFonts w:eastAsia="仿宋" w:cs="Times New Roman"/>
          <w:vertAlign w:val="superscript"/>
        </w:rPr>
      </w:pPr>
      <w:r>
        <w:rPr>
          <w:rFonts w:eastAsia="仿宋" w:cs="Times New Roman"/>
        </w:rPr>
        <w:t>HO</w:t>
      </w:r>
      <w:r>
        <w:rPr>
          <w:rFonts w:eastAsia="仿宋" w:cs="Times New Roman"/>
          <w:vertAlign w:val="subscript"/>
        </w:rPr>
        <w:t>2</w:t>
      </w:r>
      <w:r>
        <w:rPr>
          <w:rFonts w:hint="eastAsia" w:ascii="宋体" w:hAnsi="宋体"/>
          <w:szCs w:val="32"/>
        </w:rPr>
        <w:t>•</w:t>
      </w:r>
      <w:r>
        <w:rPr>
          <w:rFonts w:eastAsia="微软雅黑" w:cs="Times New Roman"/>
        </w:rPr>
        <w:t xml:space="preserve"> + </w:t>
      </w:r>
      <w:r>
        <w:rPr>
          <w:rFonts w:cs="Times New Roman"/>
        </w:rPr>
        <w:t>H</w:t>
      </w:r>
      <w:r>
        <w:rPr>
          <w:rFonts w:cs="Times New Roman"/>
          <w:vertAlign w:val="subscript"/>
        </w:rPr>
        <w:t>2</w:t>
      </w:r>
      <w:r>
        <w:rPr>
          <w:rFonts w:cs="Times New Roman"/>
        </w:rPr>
        <w:t>O</w:t>
      </w:r>
      <w:r>
        <w:rPr>
          <w:rFonts w:cs="Times New Roman"/>
          <w:vertAlign w:val="subscript"/>
        </w:rPr>
        <w:t xml:space="preserve">2 </w:t>
      </w:r>
      <w:r>
        <w:rPr>
          <w:rFonts w:eastAsia="仿宋" w:cs="Times New Roman"/>
        </w:rPr>
        <w:t>→HO</w:t>
      </w:r>
      <w:r>
        <w:rPr>
          <w:rFonts w:hint="eastAsia" w:ascii="宋体" w:hAnsi="宋体"/>
          <w:szCs w:val="32"/>
        </w:rPr>
        <w:t>•</w:t>
      </w:r>
      <w:r>
        <w:rPr>
          <w:rFonts w:eastAsia="微软雅黑" w:cs="Times New Roman"/>
        </w:rPr>
        <w:t xml:space="preserve"> + </w:t>
      </w:r>
      <w:r>
        <w:rPr>
          <w:rFonts w:cs="Times New Roman"/>
        </w:rPr>
        <w:t>O</w:t>
      </w:r>
      <w:r>
        <w:rPr>
          <w:rFonts w:cs="Times New Roman"/>
          <w:vertAlign w:val="subscript"/>
        </w:rPr>
        <w:t>2</w:t>
      </w:r>
      <w:r>
        <w:rPr>
          <w:rFonts w:cs="Times New Roman"/>
        </w:rPr>
        <w:t xml:space="preserve"> + H</w:t>
      </w:r>
      <w:r>
        <w:rPr>
          <w:rFonts w:cs="Times New Roman"/>
          <w:vertAlign w:val="subscript"/>
        </w:rPr>
        <w:t>2</w:t>
      </w:r>
      <w:r>
        <w:rPr>
          <w:rFonts w:cs="Times New Roman"/>
        </w:rPr>
        <w:t>O</w:t>
      </w:r>
    </w:p>
    <w:p>
      <w:pPr>
        <w:ind w:firstLine="480"/>
        <w:rPr>
          <w:rFonts w:cs="Times New Roman"/>
        </w:rPr>
      </w:pPr>
      <w:r>
        <w:rPr>
          <w:rFonts w:cs="Times New Roman"/>
        </w:rPr>
        <w:t>链的发展：</w:t>
      </w:r>
      <w:r>
        <w:rPr>
          <w:rFonts w:eastAsia="仿宋" w:cs="Times New Roman"/>
        </w:rPr>
        <w:t>RH(有机物）+HO</w:t>
      </w:r>
      <w:r>
        <w:rPr>
          <w:rFonts w:hint="eastAsia" w:ascii="宋体" w:hAnsi="宋体"/>
          <w:szCs w:val="32"/>
        </w:rPr>
        <w:t>•</w:t>
      </w:r>
      <w:r>
        <w:rPr>
          <w:rFonts w:eastAsia="仿宋" w:cs="Times New Roman"/>
        </w:rPr>
        <w:t>→R</w:t>
      </w:r>
      <w:r>
        <w:rPr>
          <w:rFonts w:hint="eastAsia" w:ascii="宋体" w:hAnsi="宋体"/>
          <w:szCs w:val="32"/>
        </w:rPr>
        <w:t>•</w:t>
      </w:r>
      <w:r>
        <w:rPr>
          <w:rFonts w:eastAsia="微软雅黑" w:cs="Times New Roman"/>
        </w:rPr>
        <w:t xml:space="preserve"> +</w:t>
      </w:r>
      <w:r>
        <w:rPr>
          <w:rFonts w:cs="Times New Roman"/>
        </w:rPr>
        <w:t>H</w:t>
      </w:r>
      <w:r>
        <w:rPr>
          <w:rFonts w:cs="Times New Roman"/>
          <w:vertAlign w:val="subscript"/>
        </w:rPr>
        <w:t>2</w:t>
      </w:r>
      <w:r>
        <w:rPr>
          <w:rFonts w:cs="Times New Roman"/>
        </w:rPr>
        <w:t>O</w:t>
      </w:r>
    </w:p>
    <w:p>
      <w:pPr>
        <w:ind w:firstLine="1200" w:firstLineChars="500"/>
        <w:rPr>
          <w:rFonts w:eastAsia="仿宋" w:cs="Times New Roman"/>
          <w:vertAlign w:val="superscript"/>
        </w:rPr>
      </w:pPr>
      <w:r>
        <w:rPr>
          <w:rFonts w:eastAsia="仿宋" w:cs="Times New Roman"/>
        </w:rPr>
        <w:t>R</w:t>
      </w:r>
      <w:r>
        <w:rPr>
          <w:rFonts w:hint="eastAsia" w:ascii="宋体" w:hAnsi="宋体"/>
          <w:szCs w:val="32"/>
        </w:rPr>
        <w:t>•</w:t>
      </w:r>
      <w:r>
        <w:rPr>
          <w:rFonts w:eastAsia="微软雅黑" w:cs="Times New Roman"/>
        </w:rPr>
        <w:t>+</w:t>
      </w:r>
      <w:r>
        <w:rPr>
          <w:rFonts w:cs="Times New Roman"/>
        </w:rPr>
        <w:t>Fe</w:t>
      </w:r>
      <w:r>
        <w:rPr>
          <w:rFonts w:cs="Times New Roman"/>
          <w:vertAlign w:val="superscript"/>
        </w:rPr>
        <w:t>3+</w:t>
      </w:r>
      <w:r>
        <w:rPr>
          <w:rFonts w:eastAsia="仿宋" w:cs="Times New Roman"/>
        </w:rPr>
        <w:t>→R</w:t>
      </w:r>
      <w:r>
        <w:rPr>
          <w:rFonts w:eastAsia="仿宋" w:cs="Times New Roman"/>
          <w:vertAlign w:val="superscript"/>
        </w:rPr>
        <w:t>+</w:t>
      </w:r>
      <w:r>
        <w:rPr>
          <w:rFonts w:eastAsia="仿宋" w:cs="Times New Roman"/>
        </w:rPr>
        <w:t xml:space="preserve"> + Fe</w:t>
      </w:r>
      <w:r>
        <w:rPr>
          <w:rFonts w:eastAsia="仿宋" w:cs="Times New Roman"/>
          <w:vertAlign w:val="superscript"/>
        </w:rPr>
        <w:t>2+</w:t>
      </w:r>
    </w:p>
    <w:p>
      <w:pPr>
        <w:ind w:firstLine="480"/>
        <w:rPr>
          <w:rFonts w:cs="Times New Roman"/>
        </w:rPr>
      </w:pPr>
      <w:r>
        <w:rPr>
          <w:rFonts w:cs="Times New Roman"/>
        </w:rPr>
        <w:t>链反应的结果：</w:t>
      </w:r>
      <w:r>
        <w:rPr>
          <w:rFonts w:eastAsia="仿宋" w:cs="Times New Roman"/>
        </w:rPr>
        <w:t>R</w:t>
      </w:r>
      <w:r>
        <w:rPr>
          <w:rFonts w:eastAsia="仿宋" w:cs="Times New Roman"/>
          <w:vertAlign w:val="superscript"/>
        </w:rPr>
        <w:t>+</w:t>
      </w:r>
      <w:r>
        <w:rPr>
          <w:rFonts w:eastAsia="仿宋" w:cs="Times New Roman"/>
        </w:rPr>
        <w:t xml:space="preserve"> + </w:t>
      </w:r>
      <w:r>
        <w:rPr>
          <w:rFonts w:cs="Times New Roman"/>
        </w:rPr>
        <w:t>O</w:t>
      </w:r>
      <w:r>
        <w:rPr>
          <w:rFonts w:cs="Times New Roman"/>
          <w:vertAlign w:val="subscript"/>
        </w:rPr>
        <w:t>2</w:t>
      </w:r>
      <w:r>
        <w:rPr>
          <w:rFonts w:eastAsia="仿宋" w:cs="Times New Roman"/>
        </w:rPr>
        <w:t>→ROO</w:t>
      </w:r>
      <w:r>
        <w:rPr>
          <w:rFonts w:eastAsia="仿宋" w:cs="Times New Roman"/>
          <w:vertAlign w:val="superscript"/>
        </w:rPr>
        <w:t>+</w:t>
      </w:r>
      <w:r>
        <w:rPr>
          <w:rFonts w:eastAsia="仿宋" w:cs="Times New Roman"/>
        </w:rPr>
        <w:t>→CO</w:t>
      </w:r>
      <w:r>
        <w:rPr>
          <w:rFonts w:eastAsia="仿宋" w:cs="Times New Roman"/>
          <w:vertAlign w:val="subscript"/>
        </w:rPr>
        <w:t>2</w:t>
      </w:r>
      <w:r>
        <w:rPr>
          <w:rFonts w:eastAsia="仿宋" w:cs="Times New Roman"/>
        </w:rPr>
        <w:t>+</w:t>
      </w:r>
      <w:r>
        <w:rPr>
          <w:rFonts w:cs="Times New Roman"/>
        </w:rPr>
        <w:t>H</w:t>
      </w:r>
      <w:r>
        <w:rPr>
          <w:rFonts w:cs="Times New Roman"/>
          <w:vertAlign w:val="subscript"/>
        </w:rPr>
        <w:t>2</w:t>
      </w:r>
      <w:r>
        <w:rPr>
          <w:rFonts w:cs="Times New Roman"/>
        </w:rPr>
        <w:t>O</w:t>
      </w:r>
    </w:p>
    <w:p>
      <w:pPr>
        <w:ind w:firstLine="480"/>
        <w:rPr>
          <w:rFonts w:cs="Times New Roman"/>
          <w:vertAlign w:val="subscript"/>
        </w:rPr>
      </w:pPr>
      <w:r>
        <w:rPr>
          <w:rFonts w:cs="Times New Roman"/>
        </w:rPr>
        <w:t>链反应的中止：</w:t>
      </w:r>
      <w:r>
        <w:rPr>
          <w:rFonts w:eastAsia="仿宋" w:cs="Times New Roman"/>
        </w:rPr>
        <w:t>HO</w:t>
      </w:r>
      <w:r>
        <w:rPr>
          <w:rFonts w:hint="eastAsia" w:ascii="宋体" w:hAnsi="宋体"/>
          <w:szCs w:val="32"/>
        </w:rPr>
        <w:t>•</w:t>
      </w:r>
      <w:r>
        <w:rPr>
          <w:rFonts w:eastAsia="微软雅黑" w:cs="Times New Roman"/>
        </w:rPr>
        <w:t>+</w:t>
      </w:r>
      <w:r>
        <w:rPr>
          <w:rFonts w:eastAsia="仿宋" w:cs="Times New Roman"/>
        </w:rPr>
        <w:t>HO</w:t>
      </w:r>
      <w:r>
        <w:rPr>
          <w:rFonts w:hint="eastAsia" w:ascii="宋体" w:hAnsi="宋体"/>
          <w:szCs w:val="32"/>
        </w:rPr>
        <w:t>•</w:t>
      </w:r>
      <w:r>
        <w:rPr>
          <w:rFonts w:eastAsia="仿宋" w:cs="Times New Roman"/>
        </w:rPr>
        <w:t>→</w:t>
      </w:r>
      <w:r>
        <w:rPr>
          <w:rFonts w:cs="Times New Roman"/>
        </w:rPr>
        <w:t>H</w:t>
      </w:r>
      <w:r>
        <w:rPr>
          <w:rFonts w:cs="Times New Roman"/>
          <w:vertAlign w:val="subscript"/>
        </w:rPr>
        <w:t>2</w:t>
      </w:r>
      <w:r>
        <w:rPr>
          <w:rFonts w:cs="Times New Roman"/>
        </w:rPr>
        <w:t>O</w:t>
      </w:r>
      <w:r>
        <w:rPr>
          <w:rFonts w:cs="Times New Roman"/>
          <w:vertAlign w:val="subscript"/>
        </w:rPr>
        <w:t>2</w:t>
      </w:r>
    </w:p>
    <w:p>
      <w:pPr>
        <w:ind w:firstLine="1680" w:firstLineChars="700"/>
        <w:rPr>
          <w:rFonts w:eastAsia="仿宋" w:cs="Times New Roman"/>
        </w:rPr>
      </w:pPr>
      <w:r>
        <w:rPr>
          <w:rFonts w:eastAsia="仿宋" w:cs="Times New Roman"/>
        </w:rPr>
        <w:t>HO</w:t>
      </w:r>
      <w:r>
        <w:rPr>
          <w:rFonts w:hint="eastAsia" w:ascii="宋体" w:hAnsi="宋体"/>
          <w:szCs w:val="32"/>
        </w:rPr>
        <w:t>•</w:t>
      </w:r>
      <w:r>
        <w:rPr>
          <w:rFonts w:eastAsia="微软雅黑" w:cs="Times New Roman"/>
        </w:rPr>
        <w:t>+</w:t>
      </w:r>
      <w:r>
        <w:rPr>
          <w:rFonts w:eastAsia="仿宋" w:cs="Times New Roman"/>
        </w:rPr>
        <w:t>R</w:t>
      </w:r>
      <w:r>
        <w:rPr>
          <w:rFonts w:hint="eastAsia" w:ascii="宋体" w:hAnsi="宋体"/>
          <w:szCs w:val="32"/>
        </w:rPr>
        <w:t>•</w:t>
      </w:r>
      <w:r>
        <w:rPr>
          <w:rFonts w:eastAsia="仿宋" w:cs="Times New Roman"/>
        </w:rPr>
        <w:t>→ROH</w:t>
      </w:r>
    </w:p>
    <w:p>
      <w:pPr>
        <w:pStyle w:val="7"/>
        <w:spacing w:line="360" w:lineRule="auto"/>
        <w:ind w:firstLine="480"/>
        <w:rPr>
          <w:rFonts w:ascii="宋体" w:hAnsi="宋体" w:eastAsia="宋体"/>
          <w:b w:val="0"/>
          <w:bCs/>
          <w:smallCaps w:val="0"/>
          <w:sz w:val="24"/>
        </w:rPr>
      </w:pPr>
      <w:r>
        <w:rPr>
          <w:rFonts w:hint="eastAsia" w:ascii="宋体" w:hAnsi="宋体" w:eastAsia="宋体"/>
          <w:b w:val="0"/>
          <w:bCs/>
          <w:sz w:val="24"/>
        </w:rPr>
        <w:t>高效生物滤池技术将传统悬浮污泥法与生物膜法相结合，采用功能化高分子载体材料和复合工程菌，使废水的污水处理效能发生质的变化。功能化载体材料带有氨基、羧基、环氧基等活性基团，在污水中具有良好的稳定性和物化性能，其空隙率为966%以上，比表面积为80-120</w:t>
      </w:r>
      <w:r>
        <w:rPr>
          <w:rFonts w:hint="eastAsia" w:ascii="宋体" w:hAnsi="宋体" w:eastAsia="宋体"/>
          <w:b w:val="0"/>
          <w:bCs/>
          <w:smallCaps w:val="0"/>
          <w:sz w:val="24"/>
        </w:rPr>
        <w:t>m</w:t>
      </w:r>
      <w:r>
        <w:rPr>
          <w:rFonts w:hint="eastAsia" w:ascii="宋体" w:hAnsi="宋体" w:eastAsia="宋体"/>
          <w:b w:val="0"/>
          <w:bCs/>
          <w:smallCaps w:val="0"/>
          <w:sz w:val="24"/>
          <w:vertAlign w:val="superscript"/>
        </w:rPr>
        <w:t>2</w:t>
      </w:r>
      <w:r>
        <w:rPr>
          <w:rFonts w:hint="eastAsia" w:ascii="宋体" w:hAnsi="宋体" w:eastAsia="宋体"/>
          <w:b w:val="0"/>
          <w:bCs/>
          <w:smallCaps w:val="0"/>
          <w:sz w:val="24"/>
        </w:rPr>
        <w:t>/g,微生物接种驯化稳定后的密度接近于水的密度，故在水中呈悬浮状。这种载体微生物的负载量大，载体中大孔与微孔相结合，气、液、固三相在孔隙中进行高效传质，好氧、兼性、厌氧状态同时存在。故有污染物降解速度快，抗冲击能力强，处理效率高。系统稳定并且脱氮除磷效果好等特点。</w:t>
      </w:r>
    </w:p>
    <w:p>
      <w:pPr>
        <w:spacing w:beforeLines="25" w:afterLines="25"/>
        <w:ind w:firstLine="496"/>
      </w:pPr>
      <w:r>
        <w:rPr>
          <w:rFonts w:hint="eastAsia"/>
          <w:snapToGrid w:val="0"/>
          <w:spacing w:val="4"/>
        </w:rPr>
        <w:t>污水处理厂产生的污泥经压滤机脱水后送至垃圾填埋场填埋处理。鉴于</w:t>
      </w:r>
      <w:r>
        <w:rPr>
          <w:rFonts w:hint="eastAsia"/>
        </w:rPr>
        <w:t>本项目为化工园区污水集中处理设施，根据</w:t>
      </w:r>
      <w:r>
        <w:rPr>
          <w:rFonts w:ascii=".." w:hAnsi=".."/>
          <w:color w:val="000000"/>
        </w:rPr>
        <w:t>《国家危险废物名录》</w:t>
      </w:r>
      <w:r>
        <w:rPr>
          <w:rFonts w:hint="eastAsia" w:ascii=".." w:hAnsi=".."/>
          <w:color w:val="000000"/>
        </w:rPr>
        <w:t>及</w:t>
      </w:r>
      <w:r>
        <w:rPr>
          <w:rFonts w:hint="eastAsia"/>
        </w:rPr>
        <w:t>《危险废物鉴别标准》（</w:t>
      </w:r>
      <w:r>
        <w:rPr>
          <w:rFonts w:hint="eastAsia" w:hAnsi="宋体"/>
        </w:rPr>
        <w:t>GB5058.1-5058.7-2007</w:t>
      </w:r>
      <w:r>
        <w:rPr>
          <w:rFonts w:hint="eastAsia"/>
        </w:rPr>
        <w:t>）判定，其产生的污泥属于危险废物，环评要求企业将脱水后的污泥按固废贮存标准要求存放，并送有危废经营许可资格的单位处置，以减少环境污染。</w:t>
      </w:r>
    </w:p>
    <w:p>
      <w:pPr>
        <w:spacing w:beforeLines="25" w:afterLines="25"/>
        <w:ind w:firstLine="496"/>
        <w:rPr>
          <w:snapToGrid w:val="0"/>
          <w:spacing w:val="4"/>
        </w:rPr>
      </w:pPr>
      <w:r>
        <w:rPr>
          <w:rFonts w:hint="eastAsia"/>
          <w:snapToGrid w:val="0"/>
          <w:spacing w:val="4"/>
        </w:rPr>
        <w:t>由于本工程污水处理工艺采用生物脱氮除磷工艺，污泥性质较为稳定，剩余污泥量较少，可不进行消化稳定。若采用消化处理，需增加消化池、加热、搅拌和沼气处理利用等一系列构筑物及设备，使投资及运行费用增加。而且在国内消化池运行良好的污水处理厂并不多见，尤其是中小规模的污水处理，由于有机物总量较低，采用污泥好氧稳定更具经济优势。因此本一期工程暂不建消化池，污泥直接进行浓缩、脱水。</w:t>
      </w:r>
    </w:p>
    <w:p>
      <w:pPr>
        <w:pStyle w:val="19"/>
        <w:spacing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3</w:t>
      </w:r>
      <w:r>
        <w:rPr>
          <w:rFonts w:hint="eastAsia" w:ascii="宋体" w:hAnsi="宋体" w:cs="宋体"/>
          <w:b/>
          <w:bCs/>
        </w:rPr>
        <w:t>自然环境概括</w:t>
      </w:r>
    </w:p>
    <w:p>
      <w:pPr>
        <w:pStyle w:val="19"/>
        <w:tabs>
          <w:tab w:val="center" w:pos="4153"/>
          <w:tab w:val="left" w:pos="6845"/>
        </w:tabs>
        <w:adjustRightInd w:val="0"/>
        <w:spacing w:line="360" w:lineRule="auto"/>
        <w:ind w:firstLine="480" w:firstLineChars="200"/>
        <w:jc w:val="both"/>
        <w:rPr>
          <w:rFonts w:ascii="宋体" w:hAnsi="宋体" w:cs="宋体"/>
        </w:rPr>
      </w:pPr>
      <w:r>
        <w:rPr>
          <w:rFonts w:hint="eastAsia" w:ascii="宋体" w:hAnsi="宋体" w:cs="宋体"/>
        </w:rPr>
        <w:t>①地理位置</w:t>
      </w:r>
    </w:p>
    <w:p>
      <w:pPr>
        <w:widowControl/>
        <w:snapToGrid w:val="0"/>
        <w:ind w:firstLine="482" w:firstLineChars="0"/>
        <w:rPr>
          <w:rFonts w:ascii="宋体" w:hAnsi="宋体"/>
        </w:rPr>
      </w:pPr>
      <w:r>
        <w:rPr>
          <w:rFonts w:hint="eastAsia" w:ascii="宋体" w:hAnsi="宋体"/>
        </w:rPr>
        <w:t>湖口县地处赣西北边缘，位于东经116°08′～16°25′，北纬29°30′～29°51′。东邻彭泽县，南接都昌县，西临鄱阳湖，与星子县、九江市隔湖相望，北濒长江，与安徽省宿松县依水为邻；是九江市辖县(区)之一，共设十九个乡镇场，其中五个建制镇。全县东西宽约30km，南北长约35km，总面积为669.33km</w:t>
      </w:r>
      <w:r>
        <w:rPr>
          <w:rFonts w:hint="eastAsia" w:ascii="宋体" w:hAnsi="宋体"/>
          <w:vertAlign w:val="superscript"/>
        </w:rPr>
        <w:t>2</w:t>
      </w:r>
      <w:r>
        <w:rPr>
          <w:rFonts w:hint="eastAsia" w:ascii="宋体" w:hAnsi="宋体"/>
        </w:rPr>
        <w:t>。湖口县交通便利：位于昌九景“金三角”的中心地带，是鄱阳湖水运进入长江的必经之地，是长江中下游天然的深水良港，湖口沿江可上溯重庆、武汉，下达南京、上海，沿鄱阳湖可直通南昌及流域各市、县；九景高速公路穿境而过；正在兴建的铜九和规划中的九景衢两条铁路与京九、京广、京沪、浙赣线相联。湖口将形成“两水、一高、两铁”的大交通网络。</w:t>
      </w:r>
    </w:p>
    <w:p>
      <w:pPr>
        <w:pStyle w:val="19"/>
        <w:tabs>
          <w:tab w:val="center" w:pos="4153"/>
          <w:tab w:val="left" w:pos="6845"/>
        </w:tabs>
        <w:adjustRightInd w:val="0"/>
        <w:spacing w:line="360" w:lineRule="auto"/>
        <w:ind w:firstLine="480" w:firstLineChars="200"/>
        <w:jc w:val="both"/>
        <w:rPr>
          <w:rFonts w:ascii="宋体" w:hAnsi="宋体" w:cs="宋体"/>
          <w:b/>
          <w:bCs/>
        </w:rPr>
      </w:pPr>
      <w:r>
        <w:rPr>
          <w:rFonts w:hint="eastAsia" w:ascii="宋体" w:hAnsi="宋体" w:cs="宋体"/>
        </w:rPr>
        <w:t>湖口县政府驻地--双钟镇，位于鄱阳湖入长江口，金砂湾工业园则位于县城东北侧。本项目拟建地点位于金砂湾工业园（二期）内，园区的东片工业区，占地西侧紧邻九江新康达化工实业有限公司（九江钢铁厂），北面为长江湖口段，东面为空地，南面为荒山，项目选址地理坐标为东经116°18′</w:t>
      </w:r>
      <w:r>
        <w:rPr>
          <w:rFonts w:hint="eastAsia" w:ascii="宋体" w:hAnsi="宋体" w:cs="宋体"/>
          <w:bCs/>
          <w:szCs w:val="20"/>
        </w:rPr>
        <w:t>34</w:t>
      </w:r>
      <w:r>
        <w:rPr>
          <w:rFonts w:hint="eastAsia" w:ascii="宋体" w:hAnsi="宋体" w:cs="宋体"/>
          <w:szCs w:val="20"/>
        </w:rPr>
        <w:t>″</w:t>
      </w:r>
      <w:r>
        <w:rPr>
          <w:rFonts w:hint="eastAsia" w:ascii="宋体" w:hAnsi="宋体" w:cs="宋体"/>
        </w:rPr>
        <w:t>，北纬29°</w:t>
      </w:r>
      <w:r>
        <w:rPr>
          <w:rFonts w:hint="eastAsia" w:ascii="宋体" w:hAnsi="宋体" w:cs="宋体"/>
          <w:bCs/>
          <w:szCs w:val="20"/>
        </w:rPr>
        <w:t>47</w:t>
      </w:r>
      <w:r>
        <w:rPr>
          <w:rFonts w:hint="eastAsia" w:ascii="宋体" w:hAnsi="宋体" w:cs="宋体"/>
          <w:szCs w:val="20"/>
        </w:rPr>
        <w:t>′57″</w:t>
      </w:r>
      <w:r>
        <w:rPr>
          <w:rFonts w:hint="eastAsia" w:ascii="宋体" w:hAnsi="宋体" w:cs="宋体"/>
        </w:rPr>
        <w:t>，该地地势较平坦开阔。</w:t>
      </w:r>
    </w:p>
    <w:p>
      <w:pPr>
        <w:pStyle w:val="19"/>
        <w:tabs>
          <w:tab w:val="center" w:pos="4153"/>
          <w:tab w:val="left" w:pos="6845"/>
        </w:tabs>
        <w:adjustRightInd w:val="0"/>
        <w:spacing w:line="360" w:lineRule="auto"/>
        <w:ind w:firstLine="480" w:firstLineChars="200"/>
        <w:jc w:val="both"/>
        <w:rPr>
          <w:rFonts w:ascii="宋体" w:hAnsi="宋体" w:cs="宋体"/>
        </w:rPr>
      </w:pPr>
      <w:r>
        <w:rPr>
          <w:rFonts w:hint="eastAsia" w:ascii="宋体" w:hAnsi="宋体" w:cs="宋体"/>
          <w:smallCaps w:val="0"/>
        </w:rPr>
        <w:t>②</w:t>
      </w:r>
      <w:r>
        <w:rPr>
          <w:rFonts w:hint="eastAsia" w:ascii="宋体" w:hAnsi="宋体" w:cs="宋体"/>
        </w:rPr>
        <w:t>地形地貌</w:t>
      </w:r>
    </w:p>
    <w:p>
      <w:pPr>
        <w:widowControl/>
        <w:snapToGrid w:val="0"/>
        <w:ind w:firstLine="482" w:firstLineChars="0"/>
        <w:rPr>
          <w:smallCaps w:val="0"/>
          <w:szCs w:val="20"/>
        </w:rPr>
      </w:pPr>
      <w:r>
        <w:rPr>
          <w:rFonts w:hAnsi="宋体"/>
          <w:smallCaps w:val="0"/>
          <w:szCs w:val="20"/>
        </w:rPr>
        <w:t>九江市处于淮阳山字型构造的前孤地带，境内地貌复杂，地形变化大，山地、丘陵、平原、江湖相见分布，以山地、丘陵为主，其约占总面积的</w:t>
      </w:r>
      <w:r>
        <w:rPr>
          <w:smallCaps w:val="0"/>
          <w:szCs w:val="20"/>
        </w:rPr>
        <w:t>59.14%</w:t>
      </w:r>
      <w:r>
        <w:rPr>
          <w:rFonts w:hAnsi="宋体"/>
          <w:smallCaps w:val="0"/>
          <w:szCs w:val="20"/>
        </w:rPr>
        <w:t>，俗称</w:t>
      </w:r>
      <w:r>
        <w:rPr>
          <w:smallCaps w:val="0"/>
          <w:szCs w:val="20"/>
        </w:rPr>
        <w:t>“</w:t>
      </w:r>
      <w:r>
        <w:rPr>
          <w:rFonts w:hAnsi="宋体"/>
          <w:smallCaps w:val="0"/>
          <w:szCs w:val="20"/>
        </w:rPr>
        <w:t>六山二水分半田，半分道路和庄园</w:t>
      </w:r>
      <w:r>
        <w:rPr>
          <w:smallCaps w:val="0"/>
          <w:szCs w:val="20"/>
        </w:rPr>
        <w:t>”</w:t>
      </w:r>
      <w:r>
        <w:rPr>
          <w:rFonts w:hAnsi="宋体"/>
          <w:smallCaps w:val="0"/>
          <w:szCs w:val="20"/>
        </w:rPr>
        <w:t>。地势东西高，中间低，南部略高，向北倾斜，平均海拔</w:t>
      </w:r>
      <w:r>
        <w:rPr>
          <w:smallCaps w:val="0"/>
          <w:szCs w:val="20"/>
        </w:rPr>
        <w:t>32</w:t>
      </w:r>
      <w:r>
        <w:rPr>
          <w:rFonts w:hAnsi="宋体"/>
          <w:smallCaps w:val="0"/>
          <w:szCs w:val="20"/>
        </w:rPr>
        <w:t>米。区域内东部为鄱阳湖平原，水网交错，河湖湿地星罗棋布；西部为丘陵山区，主要由变质岩、花岗岩等岩层组成东北</w:t>
      </w:r>
      <w:r>
        <w:rPr>
          <w:smallCaps w:val="0"/>
          <w:szCs w:val="20"/>
        </w:rPr>
        <w:t>-</w:t>
      </w:r>
      <w:r>
        <w:rPr>
          <w:rFonts w:hAnsi="宋体"/>
          <w:smallCaps w:val="0"/>
          <w:szCs w:val="20"/>
        </w:rPr>
        <w:t>西南走向的九岭、幕阜两大山脉分立西部南北两侧，主峰高</w:t>
      </w:r>
      <w:r>
        <w:rPr>
          <w:smallCaps w:val="0"/>
          <w:szCs w:val="20"/>
        </w:rPr>
        <w:t>1800</w:t>
      </w:r>
      <w:r>
        <w:rPr>
          <w:rFonts w:hAnsi="宋体"/>
          <w:smallCaps w:val="0"/>
          <w:szCs w:val="20"/>
        </w:rPr>
        <w:t>米，为本市最高峰。</w:t>
      </w:r>
    </w:p>
    <w:p>
      <w:pPr>
        <w:widowControl/>
        <w:snapToGrid w:val="0"/>
        <w:ind w:firstLine="482" w:firstLineChars="0"/>
        <w:rPr>
          <w:rFonts w:hAnsi="宋体"/>
          <w:smallCaps w:val="0"/>
          <w:szCs w:val="20"/>
        </w:rPr>
      </w:pPr>
      <w:r>
        <w:rPr>
          <w:rFonts w:hAnsi="宋体"/>
          <w:smallCaps w:val="0"/>
          <w:szCs w:val="20"/>
        </w:rPr>
        <w:t>厂区场地处于砂山北缘一级阶地上，属长江河漫滩，岸坡坡度</w:t>
      </w:r>
      <w:r>
        <w:rPr>
          <w:smallCaps w:val="0"/>
          <w:szCs w:val="20"/>
        </w:rPr>
        <w:t>1</w:t>
      </w:r>
      <w:r>
        <w:rPr>
          <w:rFonts w:hAnsi="宋体"/>
          <w:smallCaps w:val="0"/>
          <w:szCs w:val="20"/>
        </w:rPr>
        <w:t>：</w:t>
      </w:r>
      <w:r>
        <w:rPr>
          <w:smallCaps w:val="0"/>
          <w:szCs w:val="20"/>
        </w:rPr>
        <w:t>6-1</w:t>
      </w:r>
      <w:r>
        <w:rPr>
          <w:rFonts w:hAnsi="宋体"/>
          <w:smallCaps w:val="0"/>
          <w:szCs w:val="20"/>
        </w:rPr>
        <w:t>：</w:t>
      </w:r>
      <w:r>
        <w:rPr>
          <w:smallCaps w:val="0"/>
          <w:szCs w:val="20"/>
        </w:rPr>
        <w:t>10</w:t>
      </w:r>
      <w:r>
        <w:rPr>
          <w:rFonts w:hAnsi="宋体"/>
          <w:smallCaps w:val="0"/>
          <w:szCs w:val="20"/>
        </w:rPr>
        <w:t>。场地范围内地层：表层为第四系全新统冲积层，总厚度约</w:t>
      </w:r>
      <w:r>
        <w:rPr>
          <w:smallCaps w:val="0"/>
          <w:szCs w:val="20"/>
        </w:rPr>
        <w:t>50m</w:t>
      </w:r>
      <w:r>
        <w:rPr>
          <w:rFonts w:hAnsi="宋体"/>
          <w:smallCaps w:val="0"/>
          <w:szCs w:val="20"/>
        </w:rPr>
        <w:t>，以下为志系地层，岩性为粉砂岩类，基度稳固。场地内岩土层从上至下划分为五层，分别是素填土、粉质粘土、淤泥质粉质粘土、淤泥质粉质粘土夹中粗砂、砂砾卵石。</w:t>
      </w:r>
    </w:p>
    <w:p>
      <w:pPr>
        <w:pStyle w:val="19"/>
        <w:spacing w:line="360" w:lineRule="auto"/>
        <w:ind w:firstLine="480" w:firstLineChars="200"/>
        <w:jc w:val="both"/>
        <w:rPr>
          <w:rFonts w:ascii="宋体" w:hAnsi="宋体" w:cs="宋体"/>
          <w:smallCaps w:val="0"/>
          <w:szCs w:val="20"/>
        </w:rPr>
      </w:pPr>
      <w:r>
        <w:rPr>
          <w:rFonts w:hint="eastAsia" w:ascii="宋体" w:hAnsi="宋体" w:cs="宋体"/>
          <w:bCs/>
        </w:rPr>
        <w:t>③</w:t>
      </w:r>
      <w:r>
        <w:rPr>
          <w:rFonts w:hint="eastAsia" w:ascii="宋体" w:hAnsi="宋体" w:cs="宋体"/>
          <w:smallCaps w:val="0"/>
          <w:szCs w:val="20"/>
        </w:rPr>
        <w:t>气候、气象特征</w:t>
      </w:r>
    </w:p>
    <w:p>
      <w:pPr>
        <w:widowControl/>
        <w:snapToGrid w:val="0"/>
        <w:ind w:firstLine="480"/>
        <w:rPr>
          <w:rFonts w:ascii="宋体" w:hAnsi="宋体"/>
          <w:smallCaps w:val="0"/>
        </w:rPr>
      </w:pPr>
      <w:r>
        <w:rPr>
          <w:rFonts w:hint="eastAsia" w:ascii="宋体" w:hAnsi="宋体"/>
          <w:smallCaps w:val="0"/>
        </w:rPr>
        <w:t>湖口县属北亚热带温润气候区，热量丰富，四季分明，年平均气温17.4℃，稳定在10℃以上的持续天数230～244天，积温在5358.7～5402.1℃，7～8月平均气 温28.8℃，极端最高气温为40.3℃(1959年8月23日)，1月平均气温4.2℃，极端最低气温为-10℃(1969年2月6日)，常年无霜期258.8天。</w:t>
      </w:r>
    </w:p>
    <w:p>
      <w:pPr>
        <w:pStyle w:val="19"/>
        <w:spacing w:line="360" w:lineRule="auto"/>
        <w:ind w:firstLine="480" w:firstLineChars="200"/>
        <w:jc w:val="both"/>
        <w:rPr>
          <w:rFonts w:ascii="宋体" w:hAnsi="宋体" w:cs="宋体"/>
          <w:smallCaps w:val="0"/>
        </w:rPr>
      </w:pPr>
      <w:r>
        <w:rPr>
          <w:rFonts w:hint="eastAsia" w:ascii="宋体" w:hAnsi="宋体" w:cs="宋体"/>
          <w:smallCaps w:val="0"/>
        </w:rPr>
        <w:t>湖口县有明显的季风，风向多为夏南冬北。全年平均风速为每秒2.4m(二级)。风向风力极不稳定，每年至7月南风最多，其它月份为东北风多。年平均降雨量为1398.7mm。降雨量集中于4～6月，占年降雨量的45%。 降水特征是四季雨量分布不均，差异悬殊。春夏雨湿，秋冬干燥。年降雨量最大为 1883.2mm；年降雨量最少为776.4m(1978年)。 日照特征为夏秋日照多，春冬日照少，总日照量较为充足。全年实际平均日照为1878.3小时，日照百分率为42%。各气象要素见下表。</w:t>
      </w:r>
    </w:p>
    <w:p>
      <w:pPr>
        <w:pStyle w:val="19"/>
        <w:tabs>
          <w:tab w:val="center" w:pos="4153"/>
          <w:tab w:val="left" w:pos="6845"/>
        </w:tabs>
        <w:spacing w:line="360" w:lineRule="auto"/>
        <w:rPr>
          <w:b/>
          <w:bCs/>
        </w:rPr>
      </w:pPr>
      <w:r>
        <w:rPr>
          <w:rFonts w:hint="eastAsia"/>
          <w:b/>
          <w:bCs/>
        </w:rPr>
        <w:t>表3-11 湖口县近十年气象要素--均值</w:t>
      </w:r>
    </w:p>
    <w:tbl>
      <w:tblPr>
        <w:tblStyle w:val="22"/>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435"/>
        <w:gridCol w:w="2435"/>
        <w:gridCol w:w="2435"/>
        <w:gridCol w:w="243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1250" w:type="pct"/>
            <w:vAlign w:val="center"/>
          </w:tcPr>
          <w:p>
            <w:pPr>
              <w:widowControl/>
              <w:snapToGrid w:val="0"/>
              <w:spacing w:line="280" w:lineRule="exact"/>
              <w:ind w:firstLine="0" w:firstLineChars="0"/>
              <w:jc w:val="center"/>
              <w:rPr>
                <w:b/>
                <w:smallCaps w:val="0"/>
                <w:sz w:val="21"/>
                <w:szCs w:val="21"/>
              </w:rPr>
            </w:pPr>
            <w:r>
              <w:rPr>
                <w:b/>
                <w:smallCaps w:val="0"/>
                <w:sz w:val="21"/>
                <w:szCs w:val="21"/>
              </w:rPr>
              <w:t>气象要素</w:t>
            </w:r>
          </w:p>
        </w:tc>
        <w:tc>
          <w:tcPr>
            <w:tcW w:w="1250" w:type="pct"/>
            <w:vAlign w:val="center"/>
          </w:tcPr>
          <w:p>
            <w:pPr>
              <w:widowControl/>
              <w:snapToGrid w:val="0"/>
              <w:spacing w:line="280" w:lineRule="exact"/>
              <w:ind w:firstLine="0" w:firstLineChars="0"/>
              <w:jc w:val="center"/>
              <w:rPr>
                <w:b/>
                <w:smallCaps w:val="0"/>
                <w:sz w:val="21"/>
                <w:szCs w:val="21"/>
              </w:rPr>
            </w:pPr>
            <w:r>
              <w:rPr>
                <w:b/>
                <w:smallCaps w:val="0"/>
                <w:sz w:val="21"/>
                <w:szCs w:val="21"/>
              </w:rPr>
              <w:t>均值</w:t>
            </w:r>
          </w:p>
        </w:tc>
        <w:tc>
          <w:tcPr>
            <w:tcW w:w="1250" w:type="pct"/>
            <w:vAlign w:val="center"/>
          </w:tcPr>
          <w:p>
            <w:pPr>
              <w:widowControl/>
              <w:snapToGrid w:val="0"/>
              <w:spacing w:line="280" w:lineRule="exact"/>
              <w:ind w:firstLine="0" w:firstLineChars="0"/>
              <w:jc w:val="center"/>
              <w:rPr>
                <w:b/>
                <w:smallCaps w:val="0"/>
                <w:sz w:val="21"/>
                <w:szCs w:val="21"/>
              </w:rPr>
            </w:pPr>
            <w:r>
              <w:rPr>
                <w:b/>
                <w:smallCaps w:val="0"/>
                <w:sz w:val="21"/>
                <w:szCs w:val="21"/>
              </w:rPr>
              <w:t>气象要素</w:t>
            </w:r>
          </w:p>
        </w:tc>
        <w:tc>
          <w:tcPr>
            <w:tcW w:w="1250" w:type="pct"/>
            <w:vAlign w:val="center"/>
          </w:tcPr>
          <w:p>
            <w:pPr>
              <w:widowControl/>
              <w:snapToGrid w:val="0"/>
              <w:spacing w:line="280" w:lineRule="exact"/>
              <w:ind w:firstLine="0" w:firstLineChars="0"/>
              <w:jc w:val="center"/>
              <w:rPr>
                <w:b/>
                <w:smallCaps w:val="0"/>
                <w:sz w:val="21"/>
                <w:szCs w:val="21"/>
              </w:rPr>
            </w:pPr>
            <w:r>
              <w:rPr>
                <w:b/>
                <w:smallCaps w:val="0"/>
                <w:sz w:val="21"/>
                <w:szCs w:val="21"/>
              </w:rPr>
              <w:t>均值</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气温</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17.4℃</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平均风速</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2.4m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降水量</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1398.7mm</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主导风向</w:t>
            </w:r>
          </w:p>
        </w:tc>
        <w:tc>
          <w:tcPr>
            <w:tcW w:w="1250" w:type="pct"/>
            <w:vAlign w:val="center"/>
          </w:tcPr>
          <w:p>
            <w:pPr>
              <w:widowControl/>
              <w:snapToGrid w:val="0"/>
              <w:spacing w:line="280" w:lineRule="exact"/>
              <w:ind w:firstLine="0" w:firstLineChars="0"/>
              <w:jc w:val="center"/>
              <w:rPr>
                <w:smallCaps w:val="0"/>
                <w:sz w:val="21"/>
                <w:szCs w:val="21"/>
              </w:rPr>
            </w:pPr>
            <w:r>
              <w:rPr>
                <w:smallCaps w:val="0"/>
                <w:sz w:val="21"/>
                <w:szCs w:val="21"/>
              </w:rPr>
              <w:t>东北风</w:t>
            </w:r>
          </w:p>
        </w:tc>
      </w:tr>
    </w:tbl>
    <w:p>
      <w:pPr>
        <w:pStyle w:val="19"/>
        <w:spacing w:line="360" w:lineRule="auto"/>
        <w:ind w:firstLine="480" w:firstLineChars="200"/>
        <w:jc w:val="both"/>
        <w:rPr>
          <w:rFonts w:ascii="宋体" w:hAnsi="宋体" w:cs="宋体"/>
          <w:bCs/>
        </w:rPr>
      </w:pPr>
      <w:r>
        <w:rPr>
          <w:rFonts w:hint="eastAsia" w:ascii="宋体" w:hAnsi="宋体" w:cs="宋体"/>
          <w:bCs/>
        </w:rPr>
        <w:t>④水系及水文特征</w:t>
      </w:r>
    </w:p>
    <w:p>
      <w:pPr>
        <w:widowControl/>
        <w:snapToGrid w:val="0"/>
        <w:ind w:firstLine="480"/>
        <w:rPr>
          <w:rFonts w:cs="Times New Roman"/>
          <w:smallCaps w:val="0"/>
        </w:rPr>
      </w:pPr>
      <w:r>
        <w:rPr>
          <w:rFonts w:cs="Times New Roman"/>
          <w:smallCaps w:val="0"/>
        </w:rPr>
        <w:t>九江市地处长江“黄金水道”，中国第一大江</w:t>
      </w:r>
      <w:r>
        <w:rPr>
          <w:rFonts w:hint="eastAsia" w:cs="Times New Roman"/>
          <w:smallCaps w:val="0"/>
        </w:rPr>
        <w:t>--</w:t>
      </w:r>
      <w:r>
        <w:rPr>
          <w:rFonts w:cs="Times New Roman"/>
          <w:smallCaps w:val="0"/>
        </w:rPr>
        <w:t>长江和第一大淡水湖</w:t>
      </w:r>
      <w:r>
        <w:rPr>
          <w:rFonts w:hint="eastAsia" w:cs="Times New Roman"/>
          <w:smallCaps w:val="0"/>
        </w:rPr>
        <w:t>--</w:t>
      </w:r>
      <w:r>
        <w:rPr>
          <w:rFonts w:cs="Times New Roman"/>
          <w:smallCaps w:val="0"/>
        </w:rPr>
        <w:t>鄱阳湖在此交汇。境内水系发达，主要水系有长江水道、鄱阳湖区和修河水系。</w:t>
      </w:r>
    </w:p>
    <w:p>
      <w:pPr>
        <w:widowControl/>
        <w:snapToGrid w:val="0"/>
        <w:ind w:firstLine="480"/>
        <w:rPr>
          <w:rFonts w:cs="Times New Roman"/>
          <w:smallCaps w:val="0"/>
        </w:rPr>
      </w:pPr>
      <w:r>
        <w:rPr>
          <w:rFonts w:cs="Times New Roman"/>
          <w:smallCaps w:val="0"/>
        </w:rPr>
        <w:t>长江每年6至9月为丰水期，12月至次年2月为枯水期，1～2月为最枯水期，其余各月为平水期。多年平均水位l3.85m，历年丰水期平均水位l7.25m，历年枯水期平均水位9.5m。最大流量为77000m</w:t>
      </w:r>
      <w:r>
        <w:rPr>
          <w:rFonts w:cs="Times New Roman"/>
          <w:smallCaps w:val="0"/>
          <w:vertAlign w:val="superscript"/>
        </w:rPr>
        <w:t>3</w:t>
      </w:r>
      <w:r>
        <w:rPr>
          <w:rFonts w:cs="Times New Roman"/>
          <w:smallCaps w:val="0"/>
        </w:rPr>
        <w:t>/s，最小流量为4500 m</w:t>
      </w:r>
      <w:r>
        <w:rPr>
          <w:rFonts w:cs="Times New Roman"/>
          <w:smallCaps w:val="0"/>
          <w:vertAlign w:val="superscript"/>
        </w:rPr>
        <w:t>3</w:t>
      </w:r>
      <w:r>
        <w:rPr>
          <w:rFonts w:cs="Times New Roman"/>
          <w:smallCaps w:val="0"/>
        </w:rPr>
        <w:t>/s，最大年平均流量31100 m</w:t>
      </w:r>
      <w:r>
        <w:rPr>
          <w:rFonts w:cs="Times New Roman"/>
          <w:smallCaps w:val="0"/>
          <w:vertAlign w:val="superscript"/>
        </w:rPr>
        <w:t>3</w:t>
      </w:r>
      <w:r>
        <w:rPr>
          <w:rFonts w:cs="Times New Roman"/>
          <w:smallCaps w:val="0"/>
        </w:rPr>
        <w:t>/s，最小平均流量14400 m</w:t>
      </w:r>
      <w:r>
        <w:rPr>
          <w:rFonts w:cs="Times New Roman"/>
          <w:smallCaps w:val="0"/>
          <w:vertAlign w:val="superscript"/>
        </w:rPr>
        <w:t>3</w:t>
      </w:r>
      <w:r>
        <w:rPr>
          <w:rFonts w:cs="Times New Roman"/>
          <w:smallCaps w:val="0"/>
        </w:rPr>
        <w:t>/s，多年平均流量为23500 m</w:t>
      </w:r>
      <w:r>
        <w:rPr>
          <w:rFonts w:cs="Times New Roman"/>
          <w:smallCaps w:val="0"/>
          <w:vertAlign w:val="superscript"/>
        </w:rPr>
        <w:t>3</w:t>
      </w:r>
      <w:r>
        <w:rPr>
          <w:rFonts w:cs="Times New Roman"/>
          <w:smallCaps w:val="0"/>
        </w:rPr>
        <w:t>/s。</w:t>
      </w:r>
    </w:p>
    <w:p>
      <w:pPr>
        <w:pStyle w:val="19"/>
        <w:ind w:firstLine="480"/>
        <w:jc w:val="both"/>
        <w:rPr>
          <w:rFonts w:ascii="Times New Roman" w:hAnsi="Times New Roman" w:cs="Times New Roman"/>
          <w:smallCaps w:val="0"/>
        </w:rPr>
      </w:pPr>
      <w:r>
        <w:rPr>
          <w:rFonts w:hint="eastAsia" w:ascii="宋体" w:hAnsi="宋体" w:cs="宋体"/>
          <w:smallCaps w:val="0"/>
        </w:rPr>
        <w:t>⑤</w:t>
      </w:r>
      <w:r>
        <w:rPr>
          <w:rFonts w:hint="eastAsia" w:ascii="Times New Roman" w:hAnsi="Times New Roman" w:cs="Times New Roman"/>
          <w:smallCaps w:val="0"/>
        </w:rPr>
        <w:t>生态环境</w:t>
      </w:r>
    </w:p>
    <w:p>
      <w:pPr>
        <w:widowControl/>
        <w:snapToGrid w:val="0"/>
        <w:ind w:firstLine="480"/>
      </w:pPr>
      <w:r>
        <w:rPr>
          <w:rFonts w:hint="eastAsia" w:cs="Times New Roman"/>
          <w:smallCaps w:val="0"/>
        </w:rPr>
        <w:t>自然植被：</w:t>
      </w:r>
      <w:r>
        <w:t>植被属于亚热带长绿阔叶林逐渐过渡到北亚长绿阔叶林混交林类型。全市现有林地面积5542.87平方公里，其中用材林3879.47平方公里，占70%，经济林525.60平方公里，占9.48%，防护林506.13平方公里，占9.13%，竹林290.40平方公里，占5.35%。</w:t>
      </w:r>
    </w:p>
    <w:p>
      <w:pPr>
        <w:widowControl/>
        <w:snapToGrid w:val="0"/>
        <w:ind w:firstLine="480"/>
      </w:pPr>
      <w:r>
        <w:rPr>
          <w:rFonts w:hint="eastAsia" w:cs="Times New Roman"/>
          <w:smallCaps w:val="0"/>
        </w:rPr>
        <w:t>农、林、水产：</w:t>
      </w:r>
      <w:r>
        <w:t>本地区主要种植水稻、小麦、玉米、蔬菜、棉花等农作物，饲养家畜、家禽和水面养殖。经济林主要有茶园、油柏、油莱等，广泛分布于山前岗地。境内有较丰富的水产资源。</w:t>
      </w:r>
    </w:p>
    <w:p>
      <w:pPr>
        <w:widowControl/>
        <w:snapToGrid w:val="0"/>
        <w:ind w:firstLine="480"/>
      </w:pPr>
      <w:r>
        <w:t>本项目拟选址位于湖口县金砂湾工业园（二期），境内无珍惜动植物，该地区长江段不属于鱼虾类产卵场、仔稚幼鱼的索饵场。</w:t>
      </w:r>
    </w:p>
    <w:p>
      <w:pPr>
        <w:widowControl/>
        <w:snapToGrid w:val="0"/>
        <w:ind w:firstLine="480"/>
      </w:pPr>
      <w:r>
        <w:t>金砂湾工业园区用地紧邻长江大堤，地势较低，园区内现状植被主要为附近农民在园区用地内种植的棉花。</w:t>
      </w:r>
    </w:p>
    <w:p>
      <w:pPr>
        <w:pStyle w:val="19"/>
        <w:spacing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4</w:t>
      </w:r>
      <w:r>
        <w:rPr>
          <w:rFonts w:hint="eastAsia" w:ascii="宋体" w:hAnsi="宋体" w:cs="宋体"/>
          <w:b/>
          <w:bCs/>
        </w:rPr>
        <w:t>环境功能区和环境质量现状</w:t>
      </w:r>
    </w:p>
    <w:p>
      <w:pPr>
        <w:pStyle w:val="19"/>
        <w:spacing w:line="360" w:lineRule="auto"/>
        <w:ind w:firstLine="480" w:firstLineChars="200"/>
        <w:jc w:val="both"/>
      </w:pPr>
      <w:r>
        <w:rPr>
          <w:rFonts w:hint="eastAsia"/>
        </w:rPr>
        <w:t>（1）环境空气</w:t>
      </w:r>
    </w:p>
    <w:p>
      <w:pPr>
        <w:pStyle w:val="19"/>
        <w:spacing w:line="360" w:lineRule="auto"/>
        <w:ind w:firstLine="480" w:firstLineChars="200"/>
        <w:jc w:val="both"/>
      </w:pPr>
      <w:r>
        <w:rPr>
          <w:rFonts w:hint="eastAsia"/>
        </w:rPr>
        <w:t xml:space="preserve"> 项目所在地处九江市湖口县金砂湾工业园区，属环境空气功能的二类区，环境空气质量按《环境空气质量标准》（GB3095-2012）中的二级标准进行保护。根据项目环评时期对区域环境空气现状监测数据，区域内环境空气质量满足（GB3095-2012）二级标准限值要求，区域环境空气质量良好。</w:t>
      </w:r>
    </w:p>
    <w:p>
      <w:pPr>
        <w:pStyle w:val="19"/>
        <w:ind w:firstLine="480"/>
        <w:jc w:val="both"/>
        <w:rPr>
          <w:rFonts w:ascii="Times New Roman" w:hAnsi="Times New Roman" w:cs="Times New Roman"/>
          <w:smallCaps w:val="0"/>
        </w:rPr>
      </w:pPr>
      <w:r>
        <w:rPr>
          <w:rFonts w:ascii="Times New Roman" w:hAnsi="Times New Roman" w:cs="Times New Roman"/>
          <w:smallCaps w:val="0"/>
        </w:rPr>
        <w:t>（2）地表水</w:t>
      </w:r>
    </w:p>
    <w:p>
      <w:pPr>
        <w:pStyle w:val="19"/>
        <w:spacing w:line="360" w:lineRule="auto"/>
        <w:ind w:firstLine="480" w:firstLineChars="200"/>
        <w:jc w:val="both"/>
        <w:rPr>
          <w:rFonts w:ascii="宋体" w:hAnsi="宋体" w:cs="宋体"/>
          <w:bCs/>
        </w:rPr>
      </w:pPr>
      <w:r>
        <w:rPr>
          <w:rFonts w:hint="eastAsia" w:ascii="宋体" w:hAnsi="宋体" w:cs="宋体"/>
          <w:bCs/>
        </w:rPr>
        <w:t xml:space="preserve"> 项目区附件的地表水为长江，根据《江西省地表水功能区划》相关资料查询及《2020年江西省生态环境质量状况公报》，地表水长江水质可以满足《地表水环境质量标准》（GB3838-2002）中中Ⅲ类水体标准限值要求，地表水环境质量良好。</w:t>
      </w:r>
    </w:p>
    <w:p>
      <w:pPr>
        <w:pStyle w:val="19"/>
        <w:tabs>
          <w:tab w:val="center" w:pos="4153"/>
          <w:tab w:val="left" w:pos="6845"/>
        </w:tabs>
        <w:adjustRightInd w:val="0"/>
        <w:spacing w:line="360" w:lineRule="auto"/>
        <w:ind w:firstLine="480" w:firstLineChars="200"/>
        <w:jc w:val="both"/>
        <w:rPr>
          <w:rFonts w:ascii="宋体" w:hAnsi="宋体" w:cs="宋体"/>
        </w:rPr>
      </w:pPr>
      <w:r>
        <w:rPr>
          <w:rFonts w:hint="eastAsia" w:ascii="宋体" w:hAnsi="宋体" w:cs="宋体"/>
        </w:rPr>
        <w:t>（3）地下水环境</w:t>
      </w:r>
    </w:p>
    <w:p>
      <w:pPr>
        <w:pStyle w:val="19"/>
        <w:tabs>
          <w:tab w:val="center" w:pos="4153"/>
          <w:tab w:val="left" w:pos="6845"/>
        </w:tabs>
        <w:adjustRightInd w:val="0"/>
        <w:spacing w:line="360" w:lineRule="auto"/>
        <w:ind w:firstLine="480" w:firstLineChars="200"/>
        <w:jc w:val="both"/>
        <w:rPr>
          <w:rFonts w:ascii="宋体" w:hAnsi="宋体" w:cs="宋体"/>
        </w:rPr>
      </w:pPr>
      <w:r>
        <w:rPr>
          <w:rFonts w:ascii="宋体" w:hAnsi="宋体" w:cs="宋体"/>
        </w:rPr>
        <w:t>项目区域内地下水执行《地下水环境质量标准》（GB/T 14848-2017）Ⅲ类标准限值。</w:t>
      </w:r>
      <w:r>
        <w:rPr>
          <w:rFonts w:hint="eastAsia" w:ascii="宋体" w:hAnsi="宋体" w:cs="宋体"/>
        </w:rPr>
        <w:t>根据项目环评时期对调节池、二沉池、出水池附近地下水环境质量监测结果得知，区域地下水环境质量均满足《地下水质量标准》（GB/T 14848-2017）Ⅲ类标准要求。</w:t>
      </w:r>
    </w:p>
    <w:p>
      <w:pPr>
        <w:pStyle w:val="19"/>
        <w:spacing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5</w:t>
      </w:r>
      <w:r>
        <w:rPr>
          <w:rFonts w:hint="eastAsia" w:ascii="宋体" w:hAnsi="宋体" w:cs="宋体"/>
          <w:b/>
          <w:bCs/>
        </w:rPr>
        <w:t>周边环境风险受体情况</w:t>
      </w:r>
    </w:p>
    <w:p>
      <w:pPr>
        <w:pStyle w:val="19"/>
        <w:tabs>
          <w:tab w:val="center" w:pos="4153"/>
          <w:tab w:val="left" w:pos="6845"/>
        </w:tabs>
        <w:adjustRightInd w:val="0"/>
        <w:spacing w:line="360" w:lineRule="auto"/>
        <w:ind w:firstLine="480" w:firstLineChars="200"/>
        <w:jc w:val="both"/>
        <w:rPr>
          <w:rFonts w:ascii="宋体" w:hAnsi="宋体" w:cs="宋体"/>
        </w:rPr>
      </w:pPr>
      <w:r>
        <w:rPr>
          <w:rFonts w:ascii="宋体" w:hAnsi="宋体" w:cs="宋体"/>
        </w:rPr>
        <w:t>环境风险受体分为大气环境风险受体、水环境风险受体和土壤环境风险受体。</w:t>
      </w:r>
    </w:p>
    <w:p>
      <w:pPr>
        <w:pStyle w:val="19"/>
        <w:spacing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5</w:t>
      </w:r>
      <w:r>
        <w:rPr>
          <w:rFonts w:hint="eastAsia" w:ascii="宋体" w:hAnsi="宋体" w:cs="宋体"/>
          <w:b/>
          <w:bCs/>
        </w:rPr>
        <w:t>.1大气环境风险受体</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ascii="宋体" w:hAnsi="宋体" w:cs="宋体"/>
          <w:smallCaps w:val="0"/>
        </w:rPr>
        <w:t>大气环境风险受体是以企业周边 500 米范围内大气环境风险受体及企业边界 5km 范围内大气环境风险受体（包括居住、医疗卫生、文化教育、科研、行政办公、重要基础设施等主要功能区域内的人群、保护单位、植被等），按人口数量进行指标量化。企业周边大气环境风险受体情况见</w:t>
      </w:r>
      <w:r>
        <w:rPr>
          <w:rFonts w:hint="eastAsia" w:ascii="宋体" w:hAnsi="宋体" w:cs="宋体"/>
          <w:smallCaps w:val="0"/>
        </w:rPr>
        <w:t>下表。</w:t>
      </w:r>
    </w:p>
    <w:p>
      <w:pPr>
        <w:pStyle w:val="19"/>
        <w:tabs>
          <w:tab w:val="center" w:pos="4153"/>
          <w:tab w:val="left" w:pos="6845"/>
        </w:tabs>
        <w:spacing w:line="360" w:lineRule="auto"/>
        <w:rPr>
          <w:b/>
          <w:bCs/>
        </w:rPr>
      </w:pPr>
      <w:r>
        <w:rPr>
          <w:rFonts w:hint="eastAsia"/>
          <w:b/>
          <w:bCs/>
        </w:rPr>
        <w:t>表3-12  大气环境风险保护目标一览表</w:t>
      </w:r>
    </w:p>
    <w:tbl>
      <w:tblPr>
        <w:tblStyle w:val="22"/>
        <w:tblW w:w="499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5"/>
        <w:gridCol w:w="979"/>
        <w:gridCol w:w="1281"/>
        <w:gridCol w:w="1806"/>
        <w:gridCol w:w="2090"/>
        <w:gridCol w:w="1374"/>
        <w:gridCol w:w="12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环境要素</w:t>
            </w:r>
          </w:p>
        </w:tc>
        <w:tc>
          <w:tcPr>
            <w:tcW w:w="50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敏感点编号</w:t>
            </w:r>
          </w:p>
        </w:tc>
        <w:tc>
          <w:tcPr>
            <w:tcW w:w="658"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名称</w:t>
            </w:r>
          </w:p>
        </w:tc>
        <w:tc>
          <w:tcPr>
            <w:tcW w:w="928"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与项目厂界最近距离m</w:t>
            </w:r>
          </w:p>
        </w:tc>
        <w:tc>
          <w:tcPr>
            <w:tcW w:w="1074"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与本项目相对方位</w:t>
            </w:r>
          </w:p>
        </w:tc>
        <w:tc>
          <w:tcPr>
            <w:tcW w:w="706"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规模</w:t>
            </w:r>
          </w:p>
        </w:tc>
        <w:tc>
          <w:tcPr>
            <w:tcW w:w="635"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环境质量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496" w:type="pct"/>
            <w:vMerge w:val="restart"/>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hint="eastAsia"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p>
          <w:p>
            <w:pPr>
              <w:pStyle w:val="19"/>
              <w:tabs>
                <w:tab w:val="center" w:pos="4153"/>
                <w:tab w:val="left" w:pos="6845"/>
              </w:tabs>
              <w:adjustRightInd w:val="0"/>
              <w:spacing w:line="360" w:lineRule="auto"/>
              <w:jc w:val="both"/>
              <w:rPr>
                <w:rFonts w:ascii="宋体" w:hAnsi="宋体" w:cs="宋体"/>
                <w:smallCaps w:val="0"/>
                <w:sz w:val="21"/>
                <w:szCs w:val="21"/>
              </w:rPr>
            </w:pPr>
            <w:r>
              <w:rPr>
                <w:rFonts w:hint="eastAsia" w:ascii="宋体" w:hAnsi="宋体" w:cs="宋体"/>
                <w:smallCaps w:val="0"/>
                <w:sz w:val="21"/>
                <w:szCs w:val="21"/>
              </w:rPr>
              <w:t>大气及环境风险</w:t>
            </w: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郭家口</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442</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50人</w:t>
            </w:r>
          </w:p>
        </w:tc>
        <w:tc>
          <w:tcPr>
            <w:tcW w:w="635" w:type="pct"/>
            <w:vMerge w:val="restart"/>
          </w:tcPr>
          <w:p>
            <w:pPr>
              <w:pStyle w:val="19"/>
              <w:tabs>
                <w:tab w:val="center" w:pos="4153"/>
                <w:tab w:val="left" w:pos="6845"/>
              </w:tabs>
              <w:adjustRightInd w:val="0"/>
              <w:spacing w:line="360" w:lineRule="auto"/>
              <w:jc w:val="both"/>
              <w:rPr>
                <w:sz w:val="21"/>
                <w:szCs w:val="21"/>
              </w:rPr>
            </w:pPr>
          </w:p>
          <w:p>
            <w:pPr>
              <w:pStyle w:val="19"/>
              <w:tabs>
                <w:tab w:val="center" w:pos="4153"/>
                <w:tab w:val="left" w:pos="6845"/>
              </w:tabs>
              <w:adjustRightInd w:val="0"/>
              <w:spacing w:line="360" w:lineRule="auto"/>
              <w:jc w:val="both"/>
              <w:rPr>
                <w:sz w:val="21"/>
                <w:szCs w:val="21"/>
              </w:rPr>
            </w:pPr>
          </w:p>
          <w:p>
            <w:pPr>
              <w:pStyle w:val="19"/>
              <w:tabs>
                <w:tab w:val="center" w:pos="4153"/>
                <w:tab w:val="left" w:pos="6845"/>
              </w:tabs>
              <w:adjustRightInd w:val="0"/>
              <w:spacing w:line="360" w:lineRule="auto"/>
              <w:jc w:val="both"/>
              <w:rPr>
                <w:sz w:val="21"/>
                <w:szCs w:val="21"/>
              </w:rPr>
            </w:pPr>
          </w:p>
          <w:p>
            <w:pPr>
              <w:pStyle w:val="19"/>
              <w:tabs>
                <w:tab w:val="center" w:pos="4153"/>
                <w:tab w:val="left" w:pos="6845"/>
              </w:tabs>
              <w:adjustRightInd w:val="0"/>
              <w:spacing w:line="360" w:lineRule="auto"/>
              <w:jc w:val="both"/>
              <w:rPr>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rFonts w:hint="eastAsia"/>
                <w:sz w:val="21"/>
                <w:szCs w:val="21"/>
              </w:rPr>
            </w:pPr>
          </w:p>
          <w:p>
            <w:pPr>
              <w:pStyle w:val="19"/>
              <w:tabs>
                <w:tab w:val="center" w:pos="4153"/>
                <w:tab w:val="left" w:pos="6845"/>
              </w:tabs>
              <w:adjustRightInd w:val="0"/>
              <w:spacing w:line="360" w:lineRule="auto"/>
              <w:jc w:val="both"/>
              <w:rPr>
                <w:sz w:val="21"/>
                <w:szCs w:val="21"/>
              </w:rPr>
            </w:pPr>
          </w:p>
          <w:p>
            <w:pPr>
              <w:pStyle w:val="19"/>
              <w:tabs>
                <w:tab w:val="center" w:pos="4153"/>
                <w:tab w:val="left" w:pos="6845"/>
              </w:tabs>
              <w:adjustRightInd w:val="0"/>
              <w:spacing w:line="360" w:lineRule="auto"/>
              <w:jc w:val="both"/>
              <w:rPr>
                <w:rFonts w:ascii="宋体" w:hAnsi="宋体" w:cs="宋体"/>
                <w:b/>
                <w:bCs/>
                <w:smallCaps w:val="0"/>
                <w:sz w:val="21"/>
                <w:szCs w:val="21"/>
              </w:rPr>
            </w:pPr>
            <w:r>
              <w:rPr>
                <w:rFonts w:hint="eastAsia"/>
                <w:sz w:val="21"/>
                <w:szCs w:val="21"/>
              </w:rPr>
              <w:t>《环境空气质量标准》（GB3095-2012）二级标准及其修改单中二类区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西山</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735</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753人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3</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曹谱村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590</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130人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4</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曹谱二村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1416</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355人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5</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河塘湾</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1212</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6</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王家咀</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2563</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141人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7</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方家</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2582</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56人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8</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廖村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2400</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114人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9</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西山汪村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2100</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389人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10</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沈家畈</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1991</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215人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11</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姜家畈</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1507</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98人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12</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朱家</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2392</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895人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13</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前朱村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2249</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69人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trPr>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14</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许草塘</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2050</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215人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15</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港下刘村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1858</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43人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16</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吴家垄</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1210</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482人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17</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上杨村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1923</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36人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18</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上徐村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1971</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118人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19</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张茂村</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2237</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131人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20</w:t>
            </w:r>
          </w:p>
        </w:tc>
        <w:tc>
          <w:tcPr>
            <w:tcW w:w="65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下段家</w:t>
            </w:r>
          </w:p>
        </w:tc>
        <w:tc>
          <w:tcPr>
            <w:tcW w:w="928"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2457</w:t>
            </w:r>
          </w:p>
        </w:tc>
        <w:tc>
          <w:tcPr>
            <w:tcW w:w="1074"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东北面</w:t>
            </w:r>
          </w:p>
        </w:tc>
        <w:tc>
          <w:tcPr>
            <w:tcW w:w="706" w:type="pct"/>
            <w:vAlign w:val="center"/>
          </w:tcPr>
          <w:p>
            <w:pPr>
              <w:pStyle w:val="19"/>
              <w:tabs>
                <w:tab w:val="center" w:pos="4153"/>
                <w:tab w:val="left" w:pos="6845"/>
              </w:tabs>
              <w:adjustRightInd w:val="0"/>
              <w:spacing w:line="360" w:lineRule="auto"/>
              <w:rPr>
                <w:rFonts w:ascii="宋体" w:hAnsi="宋体" w:cs="宋体"/>
                <w:smallCaps w:val="0"/>
                <w:sz w:val="21"/>
                <w:szCs w:val="21"/>
              </w:rPr>
            </w:pPr>
            <w:r>
              <w:rPr>
                <w:rFonts w:hint="eastAsia" w:ascii="宋体" w:hAnsi="宋体" w:cs="宋体"/>
                <w:smallCaps w:val="0"/>
                <w:sz w:val="21"/>
                <w:szCs w:val="21"/>
              </w:rPr>
              <w:t>63人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21</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九江容汇锂业科技有限公司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1200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西南面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200人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22</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赛得利（九江）纤维有限公司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600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西南面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300人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23</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龙达差别化纤公司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1000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150人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24</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江西永芳科技有限公司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1500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160人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25</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江西晨光新材料股份有限公司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1600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200人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26</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九江顶塑新材料科技有限公司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1400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190人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27</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江西华东船业有限公司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600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东北面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130人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6" w:type="pct"/>
            <w:vMerge w:val="continue"/>
            <w:vAlign w:val="center"/>
          </w:tcPr>
          <w:p>
            <w:pPr>
              <w:pStyle w:val="19"/>
              <w:tabs>
                <w:tab w:val="center" w:pos="4153"/>
                <w:tab w:val="left" w:pos="6845"/>
              </w:tabs>
              <w:adjustRightInd w:val="0"/>
              <w:spacing w:line="360" w:lineRule="auto"/>
              <w:jc w:val="both"/>
              <w:rPr>
                <w:rFonts w:ascii="宋体" w:hAnsi="宋体" w:cs="宋体"/>
                <w:smallCaps w:val="0"/>
                <w:sz w:val="21"/>
                <w:szCs w:val="21"/>
              </w:rPr>
            </w:pPr>
          </w:p>
        </w:tc>
        <w:tc>
          <w:tcPr>
            <w:tcW w:w="503"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28</w:t>
            </w:r>
          </w:p>
        </w:tc>
        <w:tc>
          <w:tcPr>
            <w:tcW w:w="65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九江天赐高新材料公司</w:t>
            </w:r>
          </w:p>
        </w:tc>
        <w:tc>
          <w:tcPr>
            <w:tcW w:w="928"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2200</w:t>
            </w:r>
          </w:p>
        </w:tc>
        <w:tc>
          <w:tcPr>
            <w:tcW w:w="1074"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西南面</w:t>
            </w:r>
          </w:p>
        </w:tc>
        <w:tc>
          <w:tcPr>
            <w:tcW w:w="706" w:type="pct"/>
            <w:vAlign w:val="center"/>
          </w:tcPr>
          <w:p>
            <w:pPr>
              <w:pStyle w:val="19"/>
              <w:tabs>
                <w:tab w:val="center" w:pos="4153"/>
                <w:tab w:val="left" w:pos="6845"/>
              </w:tabs>
              <w:adjustRightInd w:val="0"/>
              <w:spacing w:line="360" w:lineRule="auto"/>
              <w:rPr>
                <w:rFonts w:hint="eastAsia" w:ascii="宋体" w:hAnsi="宋体" w:cs="宋体"/>
                <w:smallCaps w:val="0"/>
                <w:color w:val="FF0000"/>
                <w:sz w:val="21"/>
                <w:szCs w:val="21"/>
              </w:rPr>
            </w:pPr>
            <w:r>
              <w:rPr>
                <w:rFonts w:hint="eastAsia" w:ascii="宋体" w:hAnsi="宋体" w:cs="宋体"/>
                <w:smallCaps w:val="0"/>
                <w:color w:val="FF0000"/>
                <w:sz w:val="21"/>
                <w:szCs w:val="21"/>
              </w:rPr>
              <w:t>260人</w:t>
            </w:r>
          </w:p>
        </w:tc>
        <w:tc>
          <w:tcPr>
            <w:tcW w:w="635" w:type="pct"/>
            <w:vMerge w:val="continue"/>
          </w:tcPr>
          <w:p>
            <w:pPr>
              <w:pStyle w:val="19"/>
              <w:tabs>
                <w:tab w:val="center" w:pos="4153"/>
                <w:tab w:val="left" w:pos="6845"/>
              </w:tabs>
              <w:adjustRightInd w:val="0"/>
              <w:spacing w:line="360" w:lineRule="auto"/>
              <w:jc w:val="both"/>
              <w:rPr>
                <w:rFonts w:ascii="宋体" w:hAnsi="宋体" w:cs="宋体"/>
                <w:b/>
                <w:bCs/>
                <w:smallCaps w:val="0"/>
                <w:sz w:val="21"/>
                <w:szCs w:val="21"/>
              </w:rPr>
            </w:pPr>
          </w:p>
        </w:tc>
      </w:tr>
    </w:tbl>
    <w:p>
      <w:pPr>
        <w:pStyle w:val="19"/>
        <w:spacing w:beforeLines="50" w:line="360" w:lineRule="auto"/>
        <w:ind w:firstLine="482" w:firstLineChars="200"/>
        <w:jc w:val="both"/>
        <w:rPr>
          <w:rFonts w:ascii="宋体" w:hAnsi="宋体" w:cs="宋体"/>
          <w:b/>
          <w:bCs/>
        </w:rPr>
      </w:pPr>
      <w:r>
        <w:rPr>
          <w:rFonts w:ascii="宋体" w:hAnsi="宋体" w:cs="宋体"/>
          <w:b/>
          <w:bCs/>
        </w:rPr>
        <w:t>3.</w:t>
      </w:r>
      <w:r>
        <w:rPr>
          <w:rFonts w:hint="eastAsia" w:ascii="宋体" w:hAnsi="宋体" w:cs="宋体"/>
          <w:b/>
          <w:bCs/>
          <w:lang w:val="en-US" w:eastAsia="zh-CN"/>
        </w:rPr>
        <w:t>5</w:t>
      </w:r>
      <w:r>
        <w:rPr>
          <w:rFonts w:ascii="宋体" w:hAnsi="宋体" w:cs="宋体"/>
          <w:b/>
          <w:bCs/>
        </w:rPr>
        <w:t>.2 水环境风险受体</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ascii="宋体" w:hAnsi="宋体" w:cs="宋体"/>
          <w:smallCaps w:val="0"/>
        </w:rPr>
        <w:t>按照《企业突发环境事件评估（指南）》及《企业突发环境事件风险分级方法》应调查企业雨水、污水总排口下游 10 公里范围内水环境风险受体（包括饮用水水源保护区、自来水厂取水口、自然保护区、重要地、特殊生态系统、水产养殖区、鱼虾产卵场、天然渔场等）等情况。</w:t>
      </w:r>
    </w:p>
    <w:p>
      <w:pPr>
        <w:pStyle w:val="19"/>
        <w:tabs>
          <w:tab w:val="center" w:pos="4153"/>
          <w:tab w:val="left" w:pos="6845"/>
        </w:tabs>
        <w:spacing w:line="360" w:lineRule="auto"/>
        <w:rPr>
          <w:b/>
          <w:bCs/>
        </w:rPr>
      </w:pPr>
      <w:r>
        <w:rPr>
          <w:rFonts w:hint="eastAsia"/>
          <w:b/>
          <w:bCs/>
        </w:rPr>
        <w:t xml:space="preserve">表 3-13   水环境风险保护目标 </w:t>
      </w:r>
    </w:p>
    <w:tbl>
      <w:tblPr>
        <w:tblStyle w:val="22"/>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3"/>
        <w:gridCol w:w="1623"/>
        <w:gridCol w:w="1623"/>
        <w:gridCol w:w="1623"/>
        <w:gridCol w:w="1623"/>
        <w:gridCol w:w="16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环境要素</w:t>
            </w:r>
          </w:p>
        </w:tc>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敏感点编号</w:t>
            </w:r>
          </w:p>
        </w:tc>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名称</w:t>
            </w:r>
          </w:p>
        </w:tc>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与项目厂界最近距离（m）</w:t>
            </w:r>
          </w:p>
        </w:tc>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与本项目相对方位</w:t>
            </w:r>
          </w:p>
        </w:tc>
        <w:tc>
          <w:tcPr>
            <w:tcW w:w="833" w:type="pct"/>
            <w:vAlign w:val="center"/>
          </w:tcPr>
          <w:p>
            <w:pPr>
              <w:pStyle w:val="19"/>
              <w:tabs>
                <w:tab w:val="center" w:pos="4153"/>
                <w:tab w:val="left" w:pos="6845"/>
              </w:tabs>
              <w:adjustRightInd w:val="0"/>
              <w:rPr>
                <w:rFonts w:ascii="宋体" w:hAnsi="宋体" w:cs="宋体"/>
                <w:b/>
                <w:bCs/>
                <w:smallCaps w:val="0"/>
                <w:sz w:val="21"/>
                <w:szCs w:val="21"/>
              </w:rPr>
            </w:pPr>
            <w:r>
              <w:rPr>
                <w:rFonts w:hint="eastAsia" w:ascii="宋体" w:hAnsi="宋体" w:cs="宋体"/>
                <w:b/>
                <w:bCs/>
                <w:smallCaps w:val="0"/>
                <w:sz w:val="21"/>
                <w:szCs w:val="21"/>
              </w:rPr>
              <w:t>环境质量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8" w:hRule="atLeast"/>
          <w:jc w:val="center"/>
        </w:trPr>
        <w:tc>
          <w:tcPr>
            <w:tcW w:w="833" w:type="pct"/>
            <w:vAlign w:val="center"/>
          </w:tcPr>
          <w:p>
            <w:pPr>
              <w:pStyle w:val="19"/>
              <w:tabs>
                <w:tab w:val="center" w:pos="4153"/>
                <w:tab w:val="left" w:pos="6845"/>
              </w:tabs>
              <w:adjustRightInd w:val="0"/>
              <w:rPr>
                <w:rFonts w:ascii="宋体" w:hAnsi="宋体" w:cs="宋体"/>
                <w:smallCaps w:val="0"/>
                <w:color w:val="FF0000"/>
                <w:sz w:val="21"/>
                <w:szCs w:val="21"/>
              </w:rPr>
            </w:pPr>
            <w:r>
              <w:rPr>
                <w:rFonts w:hint="eastAsia" w:ascii="宋体" w:hAnsi="宋体" w:cs="宋体"/>
                <w:smallCaps w:val="0"/>
                <w:color w:val="FF0000"/>
                <w:sz w:val="21"/>
                <w:szCs w:val="21"/>
              </w:rPr>
              <w:t>地表水</w:t>
            </w:r>
          </w:p>
        </w:tc>
        <w:tc>
          <w:tcPr>
            <w:tcW w:w="833" w:type="pct"/>
            <w:vAlign w:val="center"/>
          </w:tcPr>
          <w:p>
            <w:pPr>
              <w:pStyle w:val="19"/>
              <w:tabs>
                <w:tab w:val="center" w:pos="4153"/>
                <w:tab w:val="left" w:pos="6845"/>
              </w:tabs>
              <w:adjustRightInd w:val="0"/>
              <w:rPr>
                <w:rFonts w:ascii="宋体" w:hAnsi="宋体" w:cs="宋体"/>
                <w:smallCaps w:val="0"/>
                <w:color w:val="FF0000"/>
                <w:sz w:val="21"/>
                <w:szCs w:val="21"/>
              </w:rPr>
            </w:pPr>
            <w:r>
              <w:rPr>
                <w:rFonts w:hint="eastAsia" w:ascii="宋体" w:hAnsi="宋体" w:cs="宋体"/>
                <w:smallCaps w:val="0"/>
                <w:color w:val="FF0000"/>
                <w:sz w:val="21"/>
                <w:szCs w:val="21"/>
              </w:rPr>
              <w:t>--</w:t>
            </w:r>
          </w:p>
        </w:tc>
        <w:tc>
          <w:tcPr>
            <w:tcW w:w="833" w:type="pct"/>
            <w:vAlign w:val="center"/>
          </w:tcPr>
          <w:p>
            <w:pPr>
              <w:pStyle w:val="58"/>
              <w:widowControl w:val="0"/>
              <w:rPr>
                <w:color w:val="FF0000"/>
              </w:rPr>
            </w:pPr>
            <w:r>
              <w:rPr>
                <w:rFonts w:hint="eastAsia" w:ascii="宋体" w:hAnsi="宋体"/>
                <w:color w:val="FF0000"/>
              </w:rPr>
              <w:t>长江八里江段长吻鮠鲶国家级水产种质资源保护区</w:t>
            </w:r>
          </w:p>
        </w:tc>
        <w:tc>
          <w:tcPr>
            <w:tcW w:w="833" w:type="pct"/>
            <w:vAlign w:val="center"/>
          </w:tcPr>
          <w:p>
            <w:pPr>
              <w:pStyle w:val="19"/>
              <w:tabs>
                <w:tab w:val="center" w:pos="4153"/>
                <w:tab w:val="left" w:pos="6845"/>
              </w:tabs>
              <w:adjustRightInd w:val="0"/>
              <w:rPr>
                <w:rFonts w:ascii="宋体" w:hAnsi="宋体" w:cs="宋体"/>
                <w:smallCaps w:val="0"/>
                <w:color w:val="FF0000"/>
                <w:sz w:val="21"/>
                <w:szCs w:val="21"/>
              </w:rPr>
            </w:pPr>
            <w:r>
              <w:rPr>
                <w:rFonts w:hint="eastAsia" w:ascii="宋体" w:hAnsi="宋体" w:cs="宋体"/>
                <w:smallCaps w:val="0"/>
                <w:color w:val="FF0000"/>
                <w:sz w:val="21"/>
                <w:szCs w:val="21"/>
              </w:rPr>
              <w:t>490</w:t>
            </w:r>
          </w:p>
        </w:tc>
        <w:tc>
          <w:tcPr>
            <w:tcW w:w="833" w:type="pct"/>
            <w:vAlign w:val="center"/>
          </w:tcPr>
          <w:p>
            <w:pPr>
              <w:pStyle w:val="19"/>
              <w:tabs>
                <w:tab w:val="center" w:pos="4153"/>
                <w:tab w:val="left" w:pos="6845"/>
              </w:tabs>
              <w:adjustRightInd w:val="0"/>
              <w:rPr>
                <w:rFonts w:ascii="宋体" w:hAnsi="宋体" w:cs="宋体"/>
                <w:smallCaps w:val="0"/>
                <w:color w:val="FF0000"/>
                <w:sz w:val="21"/>
                <w:szCs w:val="21"/>
              </w:rPr>
            </w:pPr>
            <w:r>
              <w:rPr>
                <w:rFonts w:hint="eastAsia" w:ascii="宋体" w:hAnsi="宋体" w:cs="宋体"/>
                <w:smallCaps w:val="0"/>
                <w:color w:val="FF0000"/>
                <w:sz w:val="21"/>
                <w:szCs w:val="21"/>
              </w:rPr>
              <w:t>西面</w:t>
            </w:r>
          </w:p>
        </w:tc>
        <w:tc>
          <w:tcPr>
            <w:tcW w:w="833" w:type="pct"/>
            <w:vAlign w:val="center"/>
          </w:tcPr>
          <w:p>
            <w:pPr>
              <w:pStyle w:val="19"/>
              <w:tabs>
                <w:tab w:val="center" w:pos="4153"/>
                <w:tab w:val="left" w:pos="6845"/>
              </w:tabs>
              <w:adjustRightInd w:val="0"/>
              <w:rPr>
                <w:rFonts w:ascii="宋体" w:hAnsi="宋体" w:cs="宋体"/>
                <w:smallCaps w:val="0"/>
                <w:color w:val="FF0000"/>
                <w:sz w:val="21"/>
                <w:szCs w:val="21"/>
              </w:rPr>
            </w:pPr>
            <w:r>
              <w:rPr>
                <w:rFonts w:hint="eastAsia" w:ascii="宋体" w:hAnsi="宋体" w:cs="宋体"/>
                <w:smallCaps w:val="0"/>
                <w:color w:val="FF0000"/>
                <w:sz w:val="21"/>
                <w:szCs w:val="21"/>
              </w:rPr>
              <w:t>GB3838-2002中III类水质</w:t>
            </w:r>
          </w:p>
        </w:tc>
      </w:tr>
    </w:tbl>
    <w:p>
      <w:pPr>
        <w:pStyle w:val="19"/>
        <w:spacing w:beforeLines="50"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5</w:t>
      </w:r>
      <w:r>
        <w:rPr>
          <w:rFonts w:hint="eastAsia" w:ascii="宋体" w:hAnsi="宋体" w:cs="宋体"/>
          <w:b/>
          <w:bCs/>
        </w:rPr>
        <w:t>.3 土壤环境风险受体</w:t>
      </w:r>
    </w:p>
    <w:p>
      <w:pPr>
        <w:pStyle w:val="19"/>
        <w:tabs>
          <w:tab w:val="center" w:pos="4153"/>
          <w:tab w:val="left" w:pos="6845"/>
        </w:tabs>
        <w:adjustRightInd w:val="0"/>
        <w:spacing w:line="360" w:lineRule="auto"/>
        <w:ind w:firstLine="480" w:firstLineChars="200"/>
        <w:jc w:val="both"/>
        <w:rPr>
          <w:rFonts w:ascii="宋体" w:hAnsi="宋体" w:cs="宋体"/>
          <w:smallCaps w:val="0"/>
        </w:rPr>
      </w:pPr>
      <w:r>
        <w:rPr>
          <w:rFonts w:hint="eastAsia" w:ascii="宋体" w:hAnsi="宋体" w:cs="宋体"/>
          <w:smallCaps w:val="0"/>
        </w:rPr>
        <w:t>本项目位于临空产业园区，周边 500m 范围内无基本农田保护区、生态红线保护区等。厂区内污水处理系统、危废暂存间等重要地域已按要求进行防渗处理，并已通过防渗专项预验收；可有效防止对土壤、地下水的污染。</w:t>
      </w:r>
    </w:p>
    <w:p>
      <w:pPr>
        <w:pStyle w:val="19"/>
        <w:spacing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6</w:t>
      </w:r>
      <w:r>
        <w:rPr>
          <w:rFonts w:hint="eastAsia" w:ascii="宋体" w:hAnsi="宋体" w:cs="宋体"/>
          <w:b/>
          <w:bCs/>
        </w:rPr>
        <w:t>环境风险源识别</w:t>
      </w:r>
    </w:p>
    <w:p>
      <w:pPr>
        <w:tabs>
          <w:tab w:val="left" w:pos="1438"/>
        </w:tabs>
        <w:ind w:firstLine="482"/>
        <w:jc w:val="left"/>
        <w:rPr>
          <w:rFonts w:ascii="宋体" w:hAnsi="宋体"/>
          <w:b/>
          <w:bCs/>
        </w:rPr>
      </w:pPr>
      <w:r>
        <w:rPr>
          <w:rFonts w:hint="eastAsia" w:ascii="宋体" w:hAnsi="宋体"/>
          <w:b/>
          <w:bCs/>
        </w:rPr>
        <w:t>3.</w:t>
      </w:r>
      <w:r>
        <w:rPr>
          <w:rFonts w:hint="eastAsia" w:ascii="宋体" w:hAnsi="宋体"/>
          <w:b/>
          <w:bCs/>
          <w:lang w:val="en-US" w:eastAsia="zh-CN"/>
        </w:rPr>
        <w:t>6</w:t>
      </w:r>
      <w:r>
        <w:rPr>
          <w:rFonts w:hint="eastAsia" w:ascii="宋体" w:hAnsi="宋体"/>
          <w:b/>
          <w:bCs/>
        </w:rPr>
        <w:t>.1 涉及环境风险物质识别</w:t>
      </w:r>
    </w:p>
    <w:p>
      <w:pPr>
        <w:ind w:firstLine="480"/>
        <w:jc w:val="left"/>
      </w:pPr>
      <w:r>
        <w:t>依据《环境风险评价技术导则》（HJ/T 169-2004）的规定，环境风险物质识别的范围为：主要原材料及辅助材料、燃料、中间产品、最终产品以及生产过程排放的“三废”污染物等。具体情况如下：</w:t>
      </w:r>
    </w:p>
    <w:p>
      <w:pPr>
        <w:ind w:firstLine="480"/>
        <w:jc w:val="left"/>
      </w:pPr>
      <w:r>
        <w:t>根据《危险化学品安全管理条例（2011 年修订）》（国务院令第 591号）和《危险化学品名录（2018 年版）》规定，企业涉及环境风险的主要原辅材料有混凝剂（PAC）</w:t>
      </w:r>
      <w:r>
        <w:rPr>
          <w:rFonts w:hint="eastAsia"/>
        </w:rPr>
        <w:t>、</w:t>
      </w:r>
      <w:r>
        <w:t>硫酸、氢氧化钠、次氯酸钠、</w:t>
      </w:r>
      <w:r>
        <w:rPr>
          <w:rFonts w:hint="eastAsia"/>
        </w:rPr>
        <w:t>氢氧化钙、絮凝剂（PAM）</w:t>
      </w:r>
      <w:r>
        <w:t>等；</w:t>
      </w:r>
      <w:r>
        <w:rPr>
          <w:rFonts w:hint="eastAsia"/>
        </w:rPr>
        <w:t>对这些风险物质进行风险识别。</w:t>
      </w:r>
    </w:p>
    <w:p>
      <w:pPr>
        <w:ind w:firstLine="480"/>
        <w:jc w:val="left"/>
      </w:pPr>
      <w:r>
        <w:rPr>
          <w:rFonts w:hint="eastAsia"/>
        </w:rPr>
        <w:t>项目运行过程中“三废”污染物为污水处理厂处理后尾水、固废（废活性炭、分析实验废液等）。</w:t>
      </w:r>
    </w:p>
    <w:p>
      <w:pPr>
        <w:ind w:firstLine="480"/>
      </w:pPr>
      <w:r>
        <w:rPr>
          <w:rFonts w:hint="eastAsia"/>
        </w:rPr>
        <w:t>厂内产生的恶臭气体主要是硫化氢和氨气气体，经监测金沙湾工业园污水处理厂氨气、硫化氢的排放值符合《城镇污水处理厂污染物排放标准》。厂内的恶臭气体浓度很低，处理设施均是露天敞开式的，因此恶臭气体都不进行收集，直接排放。污水处理厂产生的恶臭气体通过加强厂区绿化减轻对周围环境的影响。</w:t>
      </w:r>
    </w:p>
    <w:p>
      <w:pPr>
        <w:ind w:firstLine="480"/>
      </w:pPr>
      <w:r>
        <w:rPr>
          <w:rFonts w:hint="eastAsia"/>
          <w:smallCaps w:val="0"/>
        </w:rPr>
        <w:t>对比《企业突发环境事件风险分级方法》（HJ 941-2018）附录 A 中的第一、第二、第三、第四、第六部分全部风险物质以及第八部分中除NH3-N 浓度≥2000mg/L 的废液、CODCr 浓度≥10000mg/L 的有机废液之外的气态和可挥发造成突发大气环境事件的固态、液态风险物质</w:t>
      </w:r>
      <w:r>
        <w:rPr>
          <w:rFonts w:hint="eastAsia"/>
        </w:rPr>
        <w:t>。本项目所涉及的具有环境危险性的物质为混凝剂（PAC）、絮凝剂（PAM）、氢氧化钠、硫酸、双氧水、硫酸亚铁、氢氧化钙、次氯酸钠，具体理化性质见下表：</w:t>
      </w:r>
    </w:p>
    <w:p>
      <w:pPr>
        <w:pStyle w:val="20"/>
        <w:ind w:firstLine="480"/>
      </w:pPr>
    </w:p>
    <w:p>
      <w:pPr>
        <w:ind w:firstLine="480"/>
      </w:pPr>
    </w:p>
    <w:p>
      <w:pPr>
        <w:pStyle w:val="19"/>
        <w:tabs>
          <w:tab w:val="center" w:pos="4153"/>
          <w:tab w:val="left" w:pos="6845"/>
        </w:tabs>
        <w:spacing w:line="360" w:lineRule="auto"/>
        <w:rPr>
          <w:b/>
          <w:bCs/>
        </w:rPr>
      </w:pPr>
      <w:r>
        <w:rPr>
          <w:rFonts w:hint="eastAsia"/>
          <w:b/>
          <w:bCs/>
        </w:rPr>
        <w:t>表3-16  物质危险性及毒性资料</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7"/>
        <w:gridCol w:w="1105"/>
        <w:gridCol w:w="1673"/>
        <w:gridCol w:w="1314"/>
        <w:gridCol w:w="1772"/>
        <w:gridCol w:w="1096"/>
        <w:gridCol w:w="13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b/>
                <w:bCs/>
                <w:sz w:val="21"/>
                <w:szCs w:val="21"/>
              </w:rPr>
            </w:pPr>
            <w:r>
              <w:rPr>
                <w:rFonts w:hint="eastAsia"/>
                <w:b/>
                <w:bCs/>
                <w:sz w:val="21"/>
                <w:szCs w:val="21"/>
              </w:rPr>
              <w:t>名称</w:t>
            </w:r>
          </w:p>
        </w:tc>
        <w:tc>
          <w:tcPr>
            <w:tcW w:w="567" w:type="pct"/>
            <w:vAlign w:val="center"/>
          </w:tcPr>
          <w:p>
            <w:pPr>
              <w:spacing w:line="240" w:lineRule="auto"/>
              <w:ind w:firstLine="0" w:firstLineChars="0"/>
              <w:jc w:val="center"/>
              <w:rPr>
                <w:b/>
                <w:bCs/>
                <w:sz w:val="21"/>
                <w:szCs w:val="21"/>
              </w:rPr>
            </w:pPr>
            <w:r>
              <w:rPr>
                <w:rFonts w:hint="eastAsia"/>
                <w:b/>
                <w:bCs/>
                <w:sz w:val="21"/>
                <w:szCs w:val="21"/>
              </w:rPr>
              <w:t>熔点（℃）</w:t>
            </w:r>
          </w:p>
        </w:tc>
        <w:tc>
          <w:tcPr>
            <w:tcW w:w="858" w:type="pct"/>
            <w:vAlign w:val="center"/>
          </w:tcPr>
          <w:p>
            <w:pPr>
              <w:spacing w:line="240" w:lineRule="auto"/>
              <w:ind w:firstLine="211" w:firstLineChars="100"/>
              <w:jc w:val="center"/>
              <w:rPr>
                <w:b/>
                <w:bCs/>
                <w:sz w:val="21"/>
                <w:szCs w:val="21"/>
              </w:rPr>
            </w:pPr>
            <w:r>
              <w:rPr>
                <w:rFonts w:hint="eastAsia"/>
                <w:b/>
                <w:bCs/>
                <w:sz w:val="21"/>
                <w:szCs w:val="21"/>
              </w:rPr>
              <w:t>相态</w:t>
            </w:r>
          </w:p>
        </w:tc>
        <w:tc>
          <w:tcPr>
            <w:tcW w:w="674" w:type="pct"/>
            <w:vAlign w:val="center"/>
          </w:tcPr>
          <w:p>
            <w:pPr>
              <w:spacing w:line="240" w:lineRule="auto"/>
              <w:ind w:firstLine="0" w:firstLineChars="0"/>
              <w:jc w:val="center"/>
              <w:rPr>
                <w:b/>
                <w:bCs/>
                <w:sz w:val="21"/>
                <w:szCs w:val="21"/>
              </w:rPr>
            </w:pPr>
            <w:r>
              <w:rPr>
                <w:rFonts w:hint="eastAsia"/>
                <w:b/>
                <w:bCs/>
                <w:sz w:val="21"/>
                <w:szCs w:val="21"/>
              </w:rPr>
              <w:t>危险特性</w:t>
            </w:r>
          </w:p>
        </w:tc>
        <w:tc>
          <w:tcPr>
            <w:tcW w:w="909" w:type="pct"/>
            <w:vAlign w:val="center"/>
          </w:tcPr>
          <w:p>
            <w:pPr>
              <w:spacing w:line="240" w:lineRule="auto"/>
              <w:ind w:firstLine="0" w:firstLineChars="0"/>
              <w:jc w:val="center"/>
              <w:rPr>
                <w:b/>
                <w:bCs/>
                <w:sz w:val="21"/>
                <w:szCs w:val="21"/>
              </w:rPr>
            </w:pPr>
            <w:r>
              <w:rPr>
                <w:rFonts w:hint="eastAsia"/>
                <w:b/>
                <w:bCs/>
                <w:sz w:val="21"/>
                <w:szCs w:val="21"/>
              </w:rPr>
              <w:t>燃烧（分解产物）</w:t>
            </w:r>
          </w:p>
        </w:tc>
        <w:tc>
          <w:tcPr>
            <w:tcW w:w="562" w:type="pct"/>
            <w:vAlign w:val="center"/>
          </w:tcPr>
          <w:p>
            <w:pPr>
              <w:spacing w:line="240" w:lineRule="auto"/>
              <w:ind w:firstLine="0" w:firstLineChars="0"/>
              <w:jc w:val="center"/>
              <w:rPr>
                <w:b/>
                <w:bCs/>
                <w:sz w:val="21"/>
                <w:szCs w:val="21"/>
              </w:rPr>
            </w:pPr>
            <w:r>
              <w:rPr>
                <w:rFonts w:hint="eastAsia"/>
                <w:b/>
                <w:bCs/>
                <w:sz w:val="21"/>
                <w:szCs w:val="21"/>
              </w:rPr>
              <w:t>毒性</w:t>
            </w:r>
          </w:p>
        </w:tc>
        <w:tc>
          <w:tcPr>
            <w:tcW w:w="715" w:type="pct"/>
            <w:vAlign w:val="center"/>
          </w:tcPr>
          <w:p>
            <w:pPr>
              <w:spacing w:line="240" w:lineRule="auto"/>
              <w:ind w:firstLine="0" w:firstLineChars="0"/>
              <w:jc w:val="center"/>
              <w:rPr>
                <w:b/>
                <w:bCs/>
                <w:sz w:val="21"/>
                <w:szCs w:val="21"/>
              </w:rPr>
            </w:pPr>
            <w:r>
              <w:rPr>
                <w:rFonts w:hint="eastAsia"/>
                <w:b/>
                <w:bCs/>
                <w:sz w:val="21"/>
                <w:szCs w:val="21"/>
              </w:rPr>
              <w:t>是否为环境风险物质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PAC</w:t>
            </w:r>
          </w:p>
        </w:tc>
        <w:tc>
          <w:tcPr>
            <w:tcW w:w="567" w:type="pct"/>
            <w:vAlign w:val="center"/>
          </w:tcPr>
          <w:p>
            <w:pPr>
              <w:spacing w:line="240" w:lineRule="auto"/>
              <w:ind w:firstLine="0" w:firstLineChars="0"/>
              <w:jc w:val="center"/>
              <w:rPr>
                <w:sz w:val="21"/>
                <w:szCs w:val="21"/>
              </w:rPr>
            </w:pPr>
            <w:r>
              <w:rPr>
                <w:sz w:val="21"/>
                <w:szCs w:val="21"/>
              </w:rPr>
              <w:t>190</w:t>
            </w:r>
          </w:p>
        </w:tc>
        <w:tc>
          <w:tcPr>
            <w:tcW w:w="858" w:type="pct"/>
            <w:vAlign w:val="center"/>
          </w:tcPr>
          <w:p>
            <w:pPr>
              <w:spacing w:line="240" w:lineRule="auto"/>
              <w:ind w:firstLine="0" w:firstLineChars="0"/>
              <w:jc w:val="center"/>
              <w:rPr>
                <w:sz w:val="21"/>
                <w:szCs w:val="21"/>
              </w:rPr>
            </w:pPr>
            <w:r>
              <w:rPr>
                <w:rFonts w:hint="eastAsia"/>
                <w:sz w:val="21"/>
                <w:szCs w:val="21"/>
              </w:rPr>
              <w:t>固态</w:t>
            </w:r>
          </w:p>
        </w:tc>
        <w:tc>
          <w:tcPr>
            <w:tcW w:w="674" w:type="pct"/>
            <w:vAlign w:val="center"/>
          </w:tcPr>
          <w:p>
            <w:pPr>
              <w:spacing w:line="240" w:lineRule="auto"/>
              <w:ind w:firstLine="0" w:firstLineChars="0"/>
              <w:jc w:val="center"/>
              <w:rPr>
                <w:sz w:val="21"/>
                <w:szCs w:val="21"/>
              </w:rPr>
            </w:pPr>
            <w:r>
              <w:rPr>
                <w:sz w:val="21"/>
                <w:szCs w:val="21"/>
              </w:rPr>
              <w:t>具有腐蚀</w:t>
            </w:r>
          </w:p>
          <w:p>
            <w:pPr>
              <w:spacing w:line="240" w:lineRule="auto"/>
              <w:ind w:firstLine="0" w:firstLineChars="0"/>
              <w:jc w:val="center"/>
              <w:rPr>
                <w:sz w:val="21"/>
                <w:szCs w:val="21"/>
              </w:rPr>
            </w:pPr>
            <w:r>
              <w:rPr>
                <w:sz w:val="21"/>
                <w:szCs w:val="21"/>
              </w:rPr>
              <w:t>效应</w:t>
            </w:r>
          </w:p>
        </w:tc>
        <w:tc>
          <w:tcPr>
            <w:tcW w:w="909" w:type="pct"/>
            <w:vAlign w:val="center"/>
          </w:tcPr>
          <w:p>
            <w:pPr>
              <w:spacing w:line="240" w:lineRule="auto"/>
              <w:ind w:firstLine="0" w:firstLineChars="0"/>
              <w:jc w:val="center"/>
              <w:rPr>
                <w:sz w:val="21"/>
                <w:szCs w:val="21"/>
              </w:rPr>
            </w:pPr>
            <w:r>
              <w:rPr>
                <w:rFonts w:hint="eastAsia"/>
                <w:sz w:val="21"/>
                <w:szCs w:val="21"/>
              </w:rPr>
              <w:t>氯化氢</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PAM</w:t>
            </w:r>
          </w:p>
        </w:tc>
        <w:tc>
          <w:tcPr>
            <w:tcW w:w="567" w:type="pct"/>
            <w:vAlign w:val="center"/>
          </w:tcPr>
          <w:p>
            <w:pPr>
              <w:spacing w:line="240" w:lineRule="auto"/>
              <w:ind w:firstLine="420"/>
              <w:jc w:val="center"/>
              <w:rPr>
                <w:sz w:val="21"/>
                <w:szCs w:val="21"/>
              </w:rPr>
            </w:pPr>
            <w:r>
              <w:rPr>
                <w:rFonts w:hint="eastAsia"/>
                <w:sz w:val="21"/>
                <w:szCs w:val="21"/>
              </w:rPr>
              <w:t>--</w:t>
            </w:r>
          </w:p>
        </w:tc>
        <w:tc>
          <w:tcPr>
            <w:tcW w:w="858" w:type="pct"/>
            <w:vAlign w:val="center"/>
          </w:tcPr>
          <w:p>
            <w:pPr>
              <w:spacing w:line="240" w:lineRule="auto"/>
              <w:ind w:firstLine="0" w:firstLineChars="0"/>
              <w:jc w:val="center"/>
              <w:rPr>
                <w:sz w:val="21"/>
                <w:szCs w:val="21"/>
              </w:rPr>
            </w:pPr>
            <w:r>
              <w:rPr>
                <w:rFonts w:hint="eastAsia"/>
                <w:sz w:val="21"/>
                <w:szCs w:val="21"/>
              </w:rPr>
              <w:t>固态</w:t>
            </w:r>
          </w:p>
        </w:tc>
        <w:tc>
          <w:tcPr>
            <w:tcW w:w="674" w:type="pct"/>
            <w:vAlign w:val="center"/>
          </w:tcPr>
          <w:p>
            <w:pPr>
              <w:spacing w:line="240" w:lineRule="auto"/>
              <w:ind w:firstLine="0" w:firstLineChars="0"/>
              <w:jc w:val="center"/>
              <w:rPr>
                <w:sz w:val="21"/>
                <w:szCs w:val="21"/>
              </w:rPr>
            </w:pPr>
            <w:r>
              <w:rPr>
                <w:sz w:val="21"/>
                <w:szCs w:val="21"/>
              </w:rPr>
              <w:t>腐蚀性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氢氧化钠</w:t>
            </w:r>
          </w:p>
        </w:tc>
        <w:tc>
          <w:tcPr>
            <w:tcW w:w="567" w:type="pct"/>
            <w:vAlign w:val="center"/>
          </w:tcPr>
          <w:p>
            <w:pPr>
              <w:spacing w:line="240" w:lineRule="auto"/>
              <w:ind w:firstLine="0" w:firstLineChars="0"/>
              <w:jc w:val="center"/>
              <w:rPr>
                <w:sz w:val="21"/>
                <w:szCs w:val="21"/>
              </w:rPr>
            </w:pPr>
            <w:r>
              <w:rPr>
                <w:sz w:val="21"/>
                <w:szCs w:val="21"/>
              </w:rPr>
              <w:t>318.4</w:t>
            </w:r>
          </w:p>
        </w:tc>
        <w:tc>
          <w:tcPr>
            <w:tcW w:w="858" w:type="pct"/>
            <w:vAlign w:val="center"/>
          </w:tcPr>
          <w:p>
            <w:pPr>
              <w:spacing w:line="240" w:lineRule="auto"/>
              <w:ind w:firstLine="0" w:firstLineChars="0"/>
              <w:jc w:val="center"/>
              <w:rPr>
                <w:sz w:val="21"/>
                <w:szCs w:val="21"/>
              </w:rPr>
            </w:pPr>
            <w:r>
              <w:rPr>
                <w:rFonts w:hint="eastAsia"/>
                <w:sz w:val="21"/>
                <w:szCs w:val="21"/>
              </w:rPr>
              <w:t>固态</w:t>
            </w:r>
          </w:p>
        </w:tc>
        <w:tc>
          <w:tcPr>
            <w:tcW w:w="674" w:type="pct"/>
            <w:vAlign w:val="center"/>
          </w:tcPr>
          <w:p>
            <w:pPr>
              <w:spacing w:line="240" w:lineRule="auto"/>
              <w:ind w:firstLine="0" w:firstLineChars="0"/>
              <w:jc w:val="center"/>
              <w:rPr>
                <w:sz w:val="21"/>
                <w:szCs w:val="21"/>
              </w:rPr>
            </w:pPr>
            <w:r>
              <w:rPr>
                <w:sz w:val="21"/>
                <w:szCs w:val="21"/>
              </w:rPr>
              <w:t>强腐蚀性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硫酸</w:t>
            </w:r>
          </w:p>
        </w:tc>
        <w:tc>
          <w:tcPr>
            <w:tcW w:w="567" w:type="pct"/>
            <w:vAlign w:val="center"/>
          </w:tcPr>
          <w:p>
            <w:pPr>
              <w:spacing w:line="240" w:lineRule="auto"/>
              <w:ind w:firstLine="0" w:firstLineChars="0"/>
              <w:jc w:val="center"/>
              <w:rPr>
                <w:sz w:val="21"/>
                <w:szCs w:val="21"/>
              </w:rPr>
            </w:pPr>
            <w:r>
              <w:rPr>
                <w:rFonts w:hint="eastAsia"/>
                <w:sz w:val="21"/>
                <w:szCs w:val="21"/>
              </w:rPr>
              <w:t>10.371</w:t>
            </w:r>
          </w:p>
        </w:tc>
        <w:tc>
          <w:tcPr>
            <w:tcW w:w="858" w:type="pct"/>
            <w:vAlign w:val="center"/>
          </w:tcPr>
          <w:p>
            <w:pPr>
              <w:spacing w:line="240" w:lineRule="auto"/>
              <w:ind w:firstLine="0" w:firstLineChars="0"/>
              <w:jc w:val="center"/>
              <w:rPr>
                <w:sz w:val="21"/>
                <w:szCs w:val="21"/>
              </w:rPr>
            </w:pPr>
            <w:r>
              <w:rPr>
                <w:rFonts w:hint="eastAsia"/>
                <w:sz w:val="21"/>
                <w:szCs w:val="21"/>
              </w:rPr>
              <w:t>液体</w:t>
            </w:r>
          </w:p>
        </w:tc>
        <w:tc>
          <w:tcPr>
            <w:tcW w:w="674" w:type="pct"/>
            <w:vAlign w:val="center"/>
          </w:tcPr>
          <w:p>
            <w:pPr>
              <w:spacing w:line="240" w:lineRule="auto"/>
              <w:ind w:firstLine="0" w:firstLineChars="0"/>
              <w:jc w:val="center"/>
              <w:rPr>
                <w:sz w:val="21"/>
                <w:szCs w:val="21"/>
              </w:rPr>
            </w:pPr>
            <w:r>
              <w:rPr>
                <w:sz w:val="21"/>
                <w:szCs w:val="21"/>
              </w:rPr>
              <w:t>强腐蚀性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双氧水</w:t>
            </w:r>
          </w:p>
        </w:tc>
        <w:tc>
          <w:tcPr>
            <w:tcW w:w="567" w:type="pct"/>
            <w:vAlign w:val="center"/>
          </w:tcPr>
          <w:p>
            <w:pPr>
              <w:spacing w:line="240" w:lineRule="auto"/>
              <w:ind w:firstLine="0" w:firstLineChars="0"/>
              <w:jc w:val="center"/>
              <w:rPr>
                <w:sz w:val="21"/>
                <w:szCs w:val="21"/>
              </w:rPr>
            </w:pPr>
            <w:r>
              <w:rPr>
                <w:rFonts w:hint="eastAsia"/>
                <w:sz w:val="21"/>
                <w:szCs w:val="21"/>
              </w:rPr>
              <w:t>0.43</w:t>
            </w:r>
          </w:p>
        </w:tc>
        <w:tc>
          <w:tcPr>
            <w:tcW w:w="858" w:type="pct"/>
            <w:vAlign w:val="center"/>
          </w:tcPr>
          <w:p>
            <w:pPr>
              <w:spacing w:line="240" w:lineRule="auto"/>
              <w:ind w:firstLine="0" w:firstLineChars="0"/>
              <w:jc w:val="center"/>
              <w:rPr>
                <w:sz w:val="21"/>
                <w:szCs w:val="21"/>
              </w:rPr>
            </w:pPr>
            <w:r>
              <w:rPr>
                <w:rFonts w:hint="eastAsia"/>
                <w:sz w:val="21"/>
                <w:szCs w:val="21"/>
              </w:rPr>
              <w:t>液体</w:t>
            </w:r>
          </w:p>
        </w:tc>
        <w:tc>
          <w:tcPr>
            <w:tcW w:w="674" w:type="pct"/>
            <w:vAlign w:val="center"/>
          </w:tcPr>
          <w:p>
            <w:pPr>
              <w:spacing w:line="240" w:lineRule="auto"/>
              <w:ind w:firstLine="0" w:firstLineChars="0"/>
              <w:jc w:val="center"/>
              <w:rPr>
                <w:sz w:val="21"/>
                <w:szCs w:val="21"/>
              </w:rPr>
            </w:pPr>
            <w:r>
              <w:rPr>
                <w:sz w:val="21"/>
                <w:szCs w:val="21"/>
              </w:rPr>
              <w:t>具有腐蚀</w:t>
            </w:r>
          </w:p>
          <w:p>
            <w:pPr>
              <w:spacing w:line="240" w:lineRule="auto"/>
              <w:ind w:firstLine="0" w:firstLineChars="0"/>
              <w:jc w:val="center"/>
              <w:rPr>
                <w:sz w:val="21"/>
                <w:szCs w:val="21"/>
              </w:rPr>
            </w:pPr>
            <w:r>
              <w:rPr>
                <w:sz w:val="21"/>
                <w:szCs w:val="21"/>
              </w:rPr>
              <w:t>效应</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硫酸亚铁</w:t>
            </w:r>
          </w:p>
        </w:tc>
        <w:tc>
          <w:tcPr>
            <w:tcW w:w="567" w:type="pct"/>
            <w:vAlign w:val="center"/>
          </w:tcPr>
          <w:p>
            <w:pPr>
              <w:spacing w:line="240" w:lineRule="auto"/>
              <w:ind w:firstLine="0" w:firstLineChars="0"/>
              <w:jc w:val="center"/>
              <w:rPr>
                <w:sz w:val="21"/>
                <w:szCs w:val="21"/>
              </w:rPr>
            </w:pPr>
            <w:r>
              <w:rPr>
                <w:rFonts w:hint="eastAsia"/>
                <w:sz w:val="21"/>
                <w:szCs w:val="21"/>
              </w:rPr>
              <w:t>671</w:t>
            </w:r>
          </w:p>
        </w:tc>
        <w:tc>
          <w:tcPr>
            <w:tcW w:w="858" w:type="pct"/>
            <w:vAlign w:val="center"/>
          </w:tcPr>
          <w:p>
            <w:pPr>
              <w:spacing w:line="240" w:lineRule="auto"/>
              <w:ind w:firstLine="0" w:firstLineChars="0"/>
              <w:jc w:val="center"/>
              <w:rPr>
                <w:sz w:val="21"/>
                <w:szCs w:val="21"/>
              </w:rPr>
            </w:pPr>
            <w:r>
              <w:rPr>
                <w:rFonts w:hint="eastAsia"/>
                <w:sz w:val="21"/>
                <w:szCs w:val="21"/>
              </w:rPr>
              <w:t>固体</w:t>
            </w:r>
          </w:p>
        </w:tc>
        <w:tc>
          <w:tcPr>
            <w:tcW w:w="674" w:type="pct"/>
            <w:vAlign w:val="center"/>
          </w:tcPr>
          <w:p>
            <w:pPr>
              <w:spacing w:line="240" w:lineRule="auto"/>
              <w:ind w:firstLine="0" w:firstLineChars="0"/>
              <w:jc w:val="center"/>
              <w:rPr>
                <w:sz w:val="21"/>
                <w:szCs w:val="21"/>
              </w:rPr>
            </w:pPr>
            <w:r>
              <w:rPr>
                <w:rFonts w:hint="eastAsia"/>
                <w:sz w:val="21"/>
                <w:szCs w:val="21"/>
              </w:rPr>
              <w:t>具有刺激性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氢氧化钙</w:t>
            </w:r>
          </w:p>
        </w:tc>
        <w:tc>
          <w:tcPr>
            <w:tcW w:w="567" w:type="pct"/>
            <w:vAlign w:val="center"/>
          </w:tcPr>
          <w:p>
            <w:pPr>
              <w:spacing w:line="240" w:lineRule="auto"/>
              <w:ind w:firstLine="420"/>
              <w:jc w:val="center"/>
              <w:rPr>
                <w:sz w:val="21"/>
                <w:szCs w:val="21"/>
              </w:rPr>
            </w:pPr>
            <w:r>
              <w:rPr>
                <w:rFonts w:hint="eastAsia"/>
                <w:sz w:val="21"/>
                <w:szCs w:val="21"/>
              </w:rPr>
              <w:t>--</w:t>
            </w:r>
          </w:p>
        </w:tc>
        <w:tc>
          <w:tcPr>
            <w:tcW w:w="858" w:type="pct"/>
            <w:vAlign w:val="center"/>
          </w:tcPr>
          <w:p>
            <w:pPr>
              <w:spacing w:line="240" w:lineRule="auto"/>
              <w:ind w:firstLine="0" w:firstLineChars="0"/>
              <w:jc w:val="center"/>
              <w:rPr>
                <w:sz w:val="21"/>
                <w:szCs w:val="21"/>
              </w:rPr>
            </w:pPr>
            <w:r>
              <w:rPr>
                <w:rFonts w:hint="eastAsia"/>
                <w:sz w:val="21"/>
                <w:szCs w:val="21"/>
              </w:rPr>
              <w:t>液态</w:t>
            </w:r>
          </w:p>
        </w:tc>
        <w:tc>
          <w:tcPr>
            <w:tcW w:w="674" w:type="pct"/>
            <w:vAlign w:val="center"/>
          </w:tcPr>
          <w:p>
            <w:pPr>
              <w:spacing w:line="240" w:lineRule="auto"/>
              <w:ind w:firstLine="0" w:firstLineChars="0"/>
              <w:jc w:val="center"/>
              <w:rPr>
                <w:sz w:val="21"/>
                <w:szCs w:val="21"/>
              </w:rPr>
            </w:pPr>
            <w:r>
              <w:rPr>
                <w:sz w:val="21"/>
                <w:szCs w:val="21"/>
              </w:rPr>
              <w:t>强腐蚀性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2" w:type="pct"/>
            <w:vAlign w:val="center"/>
          </w:tcPr>
          <w:p>
            <w:pPr>
              <w:spacing w:line="240" w:lineRule="auto"/>
              <w:ind w:firstLine="0" w:firstLineChars="0"/>
              <w:jc w:val="center"/>
              <w:rPr>
                <w:sz w:val="21"/>
                <w:szCs w:val="21"/>
              </w:rPr>
            </w:pPr>
            <w:r>
              <w:rPr>
                <w:rFonts w:hint="eastAsia"/>
                <w:sz w:val="21"/>
                <w:szCs w:val="21"/>
              </w:rPr>
              <w:t>次氯酸钠</w:t>
            </w:r>
          </w:p>
        </w:tc>
        <w:tc>
          <w:tcPr>
            <w:tcW w:w="567" w:type="pct"/>
            <w:vAlign w:val="center"/>
          </w:tcPr>
          <w:p>
            <w:pPr>
              <w:spacing w:line="240" w:lineRule="auto"/>
              <w:ind w:firstLine="0" w:firstLineChars="0"/>
              <w:jc w:val="center"/>
              <w:rPr>
                <w:sz w:val="21"/>
                <w:szCs w:val="21"/>
              </w:rPr>
            </w:pPr>
            <w:r>
              <w:rPr>
                <w:sz w:val="21"/>
                <w:szCs w:val="21"/>
              </w:rPr>
              <w:t>-103</w:t>
            </w:r>
          </w:p>
        </w:tc>
        <w:tc>
          <w:tcPr>
            <w:tcW w:w="858" w:type="pct"/>
            <w:vAlign w:val="center"/>
          </w:tcPr>
          <w:p>
            <w:pPr>
              <w:spacing w:line="240" w:lineRule="auto"/>
              <w:ind w:firstLine="0" w:firstLineChars="0"/>
              <w:jc w:val="center"/>
              <w:rPr>
                <w:sz w:val="21"/>
                <w:szCs w:val="21"/>
              </w:rPr>
            </w:pPr>
            <w:r>
              <w:rPr>
                <w:rFonts w:hint="eastAsia"/>
                <w:sz w:val="21"/>
                <w:szCs w:val="21"/>
              </w:rPr>
              <w:t>液态</w:t>
            </w:r>
          </w:p>
        </w:tc>
        <w:tc>
          <w:tcPr>
            <w:tcW w:w="674" w:type="pct"/>
            <w:vAlign w:val="center"/>
          </w:tcPr>
          <w:p>
            <w:pPr>
              <w:spacing w:line="240" w:lineRule="auto"/>
              <w:ind w:firstLine="0" w:firstLineChars="0"/>
              <w:jc w:val="center"/>
              <w:rPr>
                <w:sz w:val="21"/>
                <w:szCs w:val="21"/>
              </w:rPr>
            </w:pPr>
            <w:r>
              <w:rPr>
                <w:sz w:val="21"/>
                <w:szCs w:val="21"/>
              </w:rPr>
              <w:t>易挥发腐蚀性</w:t>
            </w:r>
          </w:p>
        </w:tc>
        <w:tc>
          <w:tcPr>
            <w:tcW w:w="909" w:type="pct"/>
            <w:vAlign w:val="center"/>
          </w:tcPr>
          <w:p>
            <w:pPr>
              <w:spacing w:line="240" w:lineRule="auto"/>
              <w:ind w:firstLine="420"/>
              <w:jc w:val="center"/>
              <w:rPr>
                <w:sz w:val="21"/>
                <w:szCs w:val="21"/>
              </w:rPr>
            </w:pPr>
            <w:r>
              <w:rPr>
                <w:rFonts w:hint="eastAsia"/>
                <w:sz w:val="21"/>
                <w:szCs w:val="21"/>
              </w:rPr>
              <w:t>--</w:t>
            </w:r>
          </w:p>
        </w:tc>
        <w:tc>
          <w:tcPr>
            <w:tcW w:w="562" w:type="pct"/>
            <w:vAlign w:val="center"/>
          </w:tcPr>
          <w:p>
            <w:pPr>
              <w:spacing w:line="240" w:lineRule="auto"/>
              <w:ind w:firstLine="0" w:firstLineChars="0"/>
              <w:jc w:val="center"/>
              <w:rPr>
                <w:sz w:val="21"/>
                <w:szCs w:val="21"/>
              </w:rPr>
            </w:pPr>
            <w:r>
              <w:rPr>
                <w:rFonts w:hint="eastAsia"/>
                <w:sz w:val="21"/>
                <w:szCs w:val="21"/>
              </w:rPr>
              <w:t>有毒</w:t>
            </w:r>
          </w:p>
        </w:tc>
        <w:tc>
          <w:tcPr>
            <w:tcW w:w="715" w:type="pct"/>
            <w:vAlign w:val="center"/>
          </w:tcPr>
          <w:p>
            <w:pPr>
              <w:spacing w:line="240" w:lineRule="auto"/>
              <w:ind w:firstLine="0" w:firstLineChars="0"/>
              <w:jc w:val="center"/>
              <w:rPr>
                <w:sz w:val="21"/>
                <w:szCs w:val="21"/>
              </w:rPr>
            </w:pPr>
            <w:r>
              <w:rPr>
                <w:rFonts w:hint="eastAsia"/>
                <w:sz w:val="21"/>
                <w:szCs w:val="21"/>
              </w:rPr>
              <w:t>是</w:t>
            </w:r>
          </w:p>
        </w:tc>
      </w:tr>
    </w:tbl>
    <w:p>
      <w:pPr>
        <w:pStyle w:val="19"/>
        <w:spacing w:beforeLines="50" w:line="360" w:lineRule="auto"/>
        <w:ind w:firstLine="482" w:firstLineChars="200"/>
        <w:jc w:val="both"/>
        <w:rPr>
          <w:rFonts w:ascii="宋体" w:hAnsi="宋体" w:cs="宋体"/>
          <w:b/>
          <w:bCs/>
        </w:rPr>
      </w:pPr>
      <w:r>
        <w:rPr>
          <w:rFonts w:ascii="宋体" w:hAnsi="宋体" w:cs="宋体"/>
          <w:b/>
          <w:bCs/>
        </w:rPr>
        <w:t>3.</w:t>
      </w:r>
      <w:r>
        <w:rPr>
          <w:rFonts w:hint="eastAsia" w:ascii="宋体" w:hAnsi="宋体" w:cs="宋体"/>
          <w:b/>
          <w:bCs/>
          <w:lang w:val="en-US" w:eastAsia="zh-CN"/>
        </w:rPr>
        <w:t>7</w:t>
      </w:r>
      <w:r>
        <w:rPr>
          <w:rFonts w:ascii="宋体" w:hAnsi="宋体" w:cs="宋体"/>
          <w:b/>
          <w:bCs/>
        </w:rPr>
        <w:t xml:space="preserve"> 企业环境风险防控与应急措施评估</w:t>
      </w:r>
    </w:p>
    <w:p>
      <w:pPr>
        <w:ind w:firstLine="480"/>
        <w:rPr>
          <w:rFonts w:hAnsi="宋体"/>
          <w:b/>
          <w:color w:val="000000"/>
          <w:sz w:val="22"/>
          <w:szCs w:val="22"/>
        </w:rPr>
      </w:pPr>
      <w:r>
        <w:rPr>
          <w:rFonts w:hAnsi="宋体"/>
          <w:color w:val="000000"/>
        </w:rPr>
        <w:t>本公司现有环境风险防控与应急措施情况见</w:t>
      </w:r>
      <w:r>
        <w:rPr>
          <w:rFonts w:hint="eastAsia" w:hAnsi="宋体"/>
          <w:color w:val="000000"/>
        </w:rPr>
        <w:t>下表</w:t>
      </w:r>
      <w:r>
        <w:rPr>
          <w:rFonts w:hAnsi="宋体"/>
          <w:color w:val="000000"/>
        </w:rPr>
        <w:t>。</w:t>
      </w:r>
    </w:p>
    <w:p>
      <w:pPr>
        <w:pStyle w:val="19"/>
        <w:tabs>
          <w:tab w:val="center" w:pos="4153"/>
          <w:tab w:val="left" w:pos="6845"/>
        </w:tabs>
        <w:spacing w:line="360" w:lineRule="auto"/>
        <w:rPr>
          <w:b/>
          <w:bCs/>
        </w:rPr>
      </w:pPr>
      <w:r>
        <w:rPr>
          <w:rFonts w:hint="eastAsia"/>
          <w:b/>
          <w:bCs/>
        </w:rPr>
        <w:t>表3-18   公司现有环境风险防控与应急措施情况表</w:t>
      </w:r>
    </w:p>
    <w:tbl>
      <w:tblPr>
        <w:tblStyle w:val="21"/>
        <w:tblW w:w="0" w:type="auto"/>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637"/>
        <w:gridCol w:w="3822"/>
        <w:gridCol w:w="2694"/>
        <w:gridCol w:w="2218"/>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40" w:hRule="atLeast"/>
          <w:tblHeader/>
          <w:jc w:val="center"/>
        </w:trPr>
        <w:tc>
          <w:tcPr>
            <w:tcW w:w="637" w:type="dxa"/>
            <w:vAlign w:val="center"/>
          </w:tcPr>
          <w:p>
            <w:pPr>
              <w:pStyle w:val="42"/>
              <w:rPr>
                <w:b/>
                <w:bCs/>
                <w:color w:val="000000"/>
                <w:sz w:val="21"/>
                <w:szCs w:val="21"/>
              </w:rPr>
            </w:pPr>
            <w:r>
              <w:rPr>
                <w:rFonts w:hAnsi="宋体"/>
                <w:b/>
                <w:bCs/>
                <w:color w:val="000000"/>
                <w:sz w:val="21"/>
                <w:szCs w:val="21"/>
              </w:rPr>
              <w:t>序号</w:t>
            </w:r>
          </w:p>
        </w:tc>
        <w:tc>
          <w:tcPr>
            <w:tcW w:w="3822" w:type="dxa"/>
            <w:vAlign w:val="center"/>
          </w:tcPr>
          <w:p>
            <w:pPr>
              <w:pStyle w:val="42"/>
              <w:rPr>
                <w:b/>
                <w:bCs/>
                <w:color w:val="000000"/>
                <w:sz w:val="21"/>
                <w:szCs w:val="21"/>
              </w:rPr>
            </w:pPr>
            <w:r>
              <w:rPr>
                <w:rFonts w:hAnsi="宋体"/>
                <w:b/>
                <w:bCs/>
                <w:color w:val="000000"/>
                <w:sz w:val="21"/>
                <w:szCs w:val="21"/>
              </w:rPr>
              <w:t>相关要求</w:t>
            </w:r>
          </w:p>
        </w:tc>
        <w:tc>
          <w:tcPr>
            <w:tcW w:w="2694" w:type="dxa"/>
            <w:vAlign w:val="center"/>
          </w:tcPr>
          <w:p>
            <w:pPr>
              <w:pStyle w:val="42"/>
              <w:rPr>
                <w:b/>
                <w:bCs/>
                <w:color w:val="000000"/>
                <w:sz w:val="21"/>
                <w:szCs w:val="21"/>
              </w:rPr>
            </w:pPr>
            <w:r>
              <w:rPr>
                <w:rFonts w:hAnsi="宋体"/>
                <w:b/>
                <w:bCs/>
                <w:color w:val="000000"/>
                <w:sz w:val="21"/>
                <w:szCs w:val="21"/>
              </w:rPr>
              <w:t>实际情况</w:t>
            </w:r>
          </w:p>
        </w:tc>
        <w:tc>
          <w:tcPr>
            <w:tcW w:w="2218" w:type="dxa"/>
            <w:vAlign w:val="center"/>
          </w:tcPr>
          <w:p>
            <w:pPr>
              <w:pStyle w:val="42"/>
              <w:rPr>
                <w:b/>
                <w:bCs/>
                <w:color w:val="000000"/>
                <w:sz w:val="21"/>
                <w:szCs w:val="21"/>
              </w:rPr>
            </w:pPr>
            <w:r>
              <w:rPr>
                <w:rFonts w:hAnsi="宋体"/>
                <w:b/>
                <w:bCs/>
                <w:color w:val="000000"/>
                <w:sz w:val="21"/>
                <w:szCs w:val="21"/>
              </w:rPr>
              <w:t>岗位职责及落实情况</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963" w:hRule="atLeast"/>
          <w:jc w:val="center"/>
        </w:trPr>
        <w:tc>
          <w:tcPr>
            <w:tcW w:w="637" w:type="dxa"/>
            <w:vAlign w:val="center"/>
          </w:tcPr>
          <w:p>
            <w:pPr>
              <w:pStyle w:val="42"/>
              <w:rPr>
                <w:color w:val="000000"/>
                <w:sz w:val="21"/>
                <w:szCs w:val="21"/>
              </w:rPr>
            </w:pPr>
            <w:r>
              <w:rPr>
                <w:color w:val="000000"/>
                <w:sz w:val="21"/>
                <w:szCs w:val="21"/>
              </w:rPr>
              <w:t>1</w:t>
            </w:r>
          </w:p>
        </w:tc>
        <w:tc>
          <w:tcPr>
            <w:tcW w:w="3822" w:type="dxa"/>
            <w:vAlign w:val="center"/>
          </w:tcPr>
          <w:p>
            <w:pPr>
              <w:pStyle w:val="42"/>
              <w:spacing w:line="240" w:lineRule="exact"/>
              <w:rPr>
                <w:color w:val="000000"/>
                <w:sz w:val="21"/>
                <w:szCs w:val="21"/>
              </w:rPr>
            </w:pPr>
            <w:r>
              <w:rPr>
                <w:rFonts w:hAnsi="宋体"/>
                <w:color w:val="000000"/>
                <w:sz w:val="21"/>
                <w:szCs w:val="21"/>
              </w:rPr>
              <w:t>在废水、雨水和清净下水排放口对可能排除的环境风险物质，按照物质特性、危害，设置监视、控制措施</w:t>
            </w:r>
          </w:p>
        </w:tc>
        <w:tc>
          <w:tcPr>
            <w:tcW w:w="2694" w:type="dxa"/>
            <w:vAlign w:val="center"/>
          </w:tcPr>
          <w:p>
            <w:pPr>
              <w:pStyle w:val="42"/>
              <w:spacing w:line="240" w:lineRule="exact"/>
              <w:rPr>
                <w:color w:val="000000"/>
                <w:sz w:val="21"/>
                <w:szCs w:val="21"/>
              </w:rPr>
            </w:pPr>
            <w:r>
              <w:rPr>
                <w:rFonts w:hAnsi="宋体"/>
                <w:color w:val="000000"/>
                <w:sz w:val="21"/>
                <w:szCs w:val="21"/>
              </w:rPr>
              <w:t>厂内对废水、废气的排放进行定期委外监测</w:t>
            </w:r>
          </w:p>
        </w:tc>
        <w:tc>
          <w:tcPr>
            <w:tcW w:w="2218" w:type="dxa"/>
            <w:vAlign w:val="center"/>
          </w:tcPr>
          <w:p>
            <w:pPr>
              <w:pStyle w:val="42"/>
              <w:spacing w:line="240" w:lineRule="exact"/>
              <w:rPr>
                <w:color w:val="000000"/>
                <w:sz w:val="21"/>
                <w:szCs w:val="21"/>
              </w:rPr>
            </w:pPr>
            <w:r>
              <w:rPr>
                <w:rFonts w:hAnsi="宋体"/>
                <w:color w:val="000000"/>
                <w:sz w:val="21"/>
                <w:szCs w:val="21"/>
              </w:rPr>
              <w:t>由安全环保部安排厂区污染源的定期委外监测</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637" w:type="dxa"/>
            <w:vAlign w:val="center"/>
          </w:tcPr>
          <w:p>
            <w:pPr>
              <w:pStyle w:val="42"/>
              <w:rPr>
                <w:color w:val="000000"/>
                <w:sz w:val="21"/>
                <w:szCs w:val="21"/>
              </w:rPr>
            </w:pPr>
            <w:r>
              <w:rPr>
                <w:color w:val="000000"/>
                <w:sz w:val="21"/>
                <w:szCs w:val="21"/>
              </w:rPr>
              <w:t>2</w:t>
            </w:r>
          </w:p>
        </w:tc>
        <w:tc>
          <w:tcPr>
            <w:tcW w:w="3822" w:type="dxa"/>
            <w:vAlign w:val="center"/>
          </w:tcPr>
          <w:p>
            <w:pPr>
              <w:pStyle w:val="42"/>
              <w:spacing w:line="240" w:lineRule="exact"/>
              <w:rPr>
                <w:color w:val="000000"/>
                <w:sz w:val="21"/>
                <w:szCs w:val="21"/>
              </w:rPr>
            </w:pPr>
            <w:r>
              <w:rPr>
                <w:rFonts w:hAnsi="宋体"/>
                <w:color w:val="000000"/>
                <w:sz w:val="21"/>
                <w:szCs w:val="21"/>
              </w:rPr>
              <w:t>采取防止事故排水、污染物等扩散、排除厂界的措施（包括截流措施、事故排水收集措施、清净下水系统防控措施、雨水系统防控措施、生产废水处理系统防控措施等）</w:t>
            </w:r>
          </w:p>
        </w:tc>
        <w:tc>
          <w:tcPr>
            <w:tcW w:w="2694" w:type="dxa"/>
            <w:vAlign w:val="center"/>
          </w:tcPr>
          <w:p>
            <w:pPr>
              <w:pStyle w:val="42"/>
              <w:spacing w:line="240" w:lineRule="exact"/>
              <w:rPr>
                <w:color w:val="000000"/>
                <w:sz w:val="21"/>
                <w:szCs w:val="21"/>
              </w:rPr>
            </w:pPr>
            <w:r>
              <w:rPr>
                <w:rFonts w:hAnsi="宋体"/>
                <w:color w:val="000000"/>
                <w:sz w:val="21"/>
                <w:szCs w:val="21"/>
              </w:rPr>
              <w:t>已设置截流措施、事故排放收集措施、循环水池</w:t>
            </w:r>
          </w:p>
        </w:tc>
        <w:tc>
          <w:tcPr>
            <w:tcW w:w="2218" w:type="dxa"/>
            <w:vAlign w:val="center"/>
          </w:tcPr>
          <w:p>
            <w:pPr>
              <w:pStyle w:val="42"/>
              <w:spacing w:line="240" w:lineRule="exact"/>
              <w:rPr>
                <w:color w:val="000000"/>
                <w:sz w:val="21"/>
                <w:szCs w:val="21"/>
              </w:rPr>
            </w:pPr>
            <w:r>
              <w:rPr>
                <w:rFonts w:hAnsi="宋体"/>
                <w:color w:val="000000"/>
                <w:sz w:val="21"/>
                <w:szCs w:val="21"/>
              </w:rPr>
              <w:t>由生产部负责排污管道、废水处理系统等设施的完备</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665" w:hRule="atLeast"/>
          <w:jc w:val="center"/>
        </w:trPr>
        <w:tc>
          <w:tcPr>
            <w:tcW w:w="637" w:type="dxa"/>
            <w:vAlign w:val="center"/>
          </w:tcPr>
          <w:p>
            <w:pPr>
              <w:pStyle w:val="42"/>
              <w:rPr>
                <w:color w:val="000000"/>
                <w:sz w:val="21"/>
                <w:szCs w:val="21"/>
              </w:rPr>
            </w:pPr>
            <w:r>
              <w:rPr>
                <w:color w:val="000000"/>
                <w:sz w:val="21"/>
                <w:szCs w:val="21"/>
              </w:rPr>
              <w:t>3</w:t>
            </w:r>
          </w:p>
        </w:tc>
        <w:tc>
          <w:tcPr>
            <w:tcW w:w="3822" w:type="dxa"/>
            <w:vAlign w:val="center"/>
          </w:tcPr>
          <w:p>
            <w:pPr>
              <w:pStyle w:val="42"/>
              <w:spacing w:line="240" w:lineRule="exact"/>
              <w:rPr>
                <w:color w:val="000000"/>
                <w:sz w:val="21"/>
                <w:szCs w:val="21"/>
              </w:rPr>
            </w:pPr>
            <w:r>
              <w:rPr>
                <w:rFonts w:hAnsi="宋体"/>
                <w:color w:val="000000"/>
                <w:sz w:val="21"/>
                <w:szCs w:val="21"/>
              </w:rPr>
              <w:t>涉及</w:t>
            </w:r>
            <w:r>
              <w:rPr>
                <w:rFonts w:hint="eastAsia" w:hAnsi="宋体"/>
                <w:color w:val="000000"/>
                <w:sz w:val="21"/>
                <w:szCs w:val="21"/>
              </w:rPr>
              <w:t>危化品的</w:t>
            </w:r>
            <w:r>
              <w:rPr>
                <w:rFonts w:hAnsi="宋体"/>
                <w:color w:val="000000"/>
                <w:sz w:val="21"/>
                <w:szCs w:val="21"/>
              </w:rPr>
              <w:t>，设置</w:t>
            </w:r>
            <w:r>
              <w:rPr>
                <w:rFonts w:hint="eastAsia" w:hAnsi="宋体"/>
                <w:color w:val="000000"/>
                <w:sz w:val="21"/>
                <w:szCs w:val="21"/>
              </w:rPr>
              <w:t>危化品</w:t>
            </w:r>
            <w:r>
              <w:rPr>
                <w:rFonts w:hAnsi="宋体"/>
                <w:color w:val="000000"/>
                <w:sz w:val="21"/>
                <w:szCs w:val="21"/>
              </w:rPr>
              <w:t>紧急处置方法</w:t>
            </w:r>
          </w:p>
        </w:tc>
        <w:tc>
          <w:tcPr>
            <w:tcW w:w="2694" w:type="dxa"/>
            <w:vAlign w:val="center"/>
          </w:tcPr>
          <w:p>
            <w:pPr>
              <w:pStyle w:val="42"/>
              <w:spacing w:line="240" w:lineRule="exact"/>
              <w:rPr>
                <w:color w:val="000000"/>
                <w:sz w:val="21"/>
                <w:szCs w:val="21"/>
              </w:rPr>
            </w:pPr>
            <w:r>
              <w:rPr>
                <w:rFonts w:hint="eastAsia"/>
                <w:color w:val="000000"/>
                <w:sz w:val="21"/>
                <w:szCs w:val="21"/>
              </w:rPr>
              <w:t>各种危化品已按照相关要求存储（包括罐装存储、固体仓库存储）到位，并制定相关紧急处置方案</w:t>
            </w:r>
          </w:p>
        </w:tc>
        <w:tc>
          <w:tcPr>
            <w:tcW w:w="2218" w:type="dxa"/>
            <w:vAlign w:val="center"/>
          </w:tcPr>
          <w:p>
            <w:pPr>
              <w:pStyle w:val="42"/>
              <w:spacing w:line="240" w:lineRule="exact"/>
              <w:rPr>
                <w:color w:val="000000"/>
                <w:sz w:val="21"/>
                <w:szCs w:val="21"/>
              </w:rPr>
            </w:pPr>
            <w:r>
              <w:rPr>
                <w:rFonts w:hint="eastAsia"/>
                <w:color w:val="000000"/>
                <w:sz w:val="21"/>
                <w:szCs w:val="21"/>
              </w:rPr>
              <w:t>由环保部安排专人定期开展排查并记录，确保存储安全</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765" w:hRule="atLeast"/>
          <w:jc w:val="center"/>
        </w:trPr>
        <w:tc>
          <w:tcPr>
            <w:tcW w:w="637" w:type="dxa"/>
            <w:vAlign w:val="center"/>
          </w:tcPr>
          <w:p>
            <w:pPr>
              <w:pStyle w:val="42"/>
              <w:rPr>
                <w:color w:val="000000"/>
                <w:sz w:val="21"/>
                <w:szCs w:val="21"/>
              </w:rPr>
            </w:pPr>
            <w:r>
              <w:rPr>
                <w:color w:val="000000"/>
                <w:sz w:val="21"/>
                <w:szCs w:val="21"/>
              </w:rPr>
              <w:t>4</w:t>
            </w:r>
          </w:p>
        </w:tc>
        <w:tc>
          <w:tcPr>
            <w:tcW w:w="3822" w:type="dxa"/>
            <w:vAlign w:val="center"/>
          </w:tcPr>
          <w:p>
            <w:pPr>
              <w:pStyle w:val="42"/>
              <w:spacing w:line="240" w:lineRule="exact"/>
              <w:rPr>
                <w:color w:val="000000"/>
                <w:sz w:val="21"/>
                <w:szCs w:val="21"/>
              </w:rPr>
            </w:pPr>
            <w:r>
              <w:rPr>
                <w:rFonts w:hAnsi="宋体"/>
                <w:color w:val="000000"/>
                <w:sz w:val="21"/>
                <w:szCs w:val="21"/>
              </w:rPr>
              <w:t>有提醒周边公众紧急疏散的措施和手段</w:t>
            </w:r>
          </w:p>
        </w:tc>
        <w:tc>
          <w:tcPr>
            <w:tcW w:w="2694" w:type="dxa"/>
            <w:vAlign w:val="center"/>
          </w:tcPr>
          <w:p>
            <w:pPr>
              <w:pStyle w:val="42"/>
              <w:spacing w:line="240" w:lineRule="exact"/>
              <w:rPr>
                <w:color w:val="000000"/>
                <w:sz w:val="21"/>
                <w:szCs w:val="21"/>
              </w:rPr>
            </w:pPr>
            <w:r>
              <w:rPr>
                <w:rFonts w:hAnsi="宋体"/>
                <w:color w:val="000000"/>
                <w:sz w:val="21"/>
                <w:szCs w:val="21"/>
              </w:rPr>
              <w:t>应急架构有对外联系功能的设置</w:t>
            </w:r>
          </w:p>
        </w:tc>
        <w:tc>
          <w:tcPr>
            <w:tcW w:w="2218" w:type="dxa"/>
            <w:vAlign w:val="center"/>
          </w:tcPr>
          <w:p>
            <w:pPr>
              <w:pStyle w:val="42"/>
              <w:spacing w:line="240" w:lineRule="exact"/>
              <w:rPr>
                <w:color w:val="000000"/>
                <w:sz w:val="21"/>
                <w:szCs w:val="21"/>
              </w:rPr>
            </w:pPr>
            <w:r>
              <w:rPr>
                <w:rFonts w:hAnsi="宋体"/>
                <w:color w:val="000000"/>
                <w:sz w:val="21"/>
                <w:szCs w:val="21"/>
              </w:rPr>
              <w:t>由安全环保部统一对外联络沟通</w:t>
            </w:r>
          </w:p>
        </w:tc>
      </w:tr>
    </w:tbl>
    <w:p>
      <w:pPr>
        <w:pStyle w:val="19"/>
        <w:spacing w:beforeLines="50" w:line="360" w:lineRule="auto"/>
        <w:ind w:firstLine="482" w:firstLineChars="200"/>
        <w:jc w:val="both"/>
        <w:rPr>
          <w:rFonts w:ascii="宋体" w:hAnsi="宋体" w:cs="宋体"/>
          <w:b/>
          <w:bCs/>
        </w:rPr>
      </w:pPr>
      <w:bookmarkStart w:id="5" w:name="_Toc9371"/>
      <w:bookmarkStart w:id="6" w:name="_Toc529952558"/>
      <w:bookmarkStart w:id="7" w:name="_Toc529953234"/>
      <w:bookmarkStart w:id="8" w:name="_Toc12690_WPSOffice_Level1"/>
      <w:bookmarkStart w:id="9" w:name="_Toc9002586"/>
      <w:bookmarkStart w:id="10" w:name="_Toc5780668"/>
      <w:bookmarkStart w:id="11" w:name="_Toc5781215"/>
      <w:bookmarkStart w:id="12" w:name="_Toc9002325"/>
      <w:r>
        <w:rPr>
          <w:rFonts w:ascii="宋体" w:hAnsi="宋体" w:cs="宋体"/>
          <w:b/>
          <w:bCs/>
        </w:rPr>
        <w:t>3.</w:t>
      </w:r>
      <w:r>
        <w:rPr>
          <w:rFonts w:hint="eastAsia" w:ascii="宋体" w:hAnsi="宋体" w:cs="宋体"/>
          <w:b/>
          <w:bCs/>
          <w:lang w:val="en-US" w:eastAsia="zh-CN"/>
        </w:rPr>
        <w:t>8</w:t>
      </w:r>
      <w:r>
        <w:rPr>
          <w:rFonts w:ascii="宋体" w:hAnsi="宋体" w:cs="宋体"/>
          <w:b/>
          <w:bCs/>
        </w:rPr>
        <w:t>现有应急物资与装备</w:t>
      </w:r>
      <w:bookmarkEnd w:id="5"/>
      <w:r>
        <w:rPr>
          <w:rFonts w:ascii="宋体" w:hAnsi="宋体" w:cs="宋体"/>
          <w:b/>
          <w:bCs/>
        </w:rPr>
        <w:t>、救援队伍情况</w:t>
      </w:r>
      <w:bookmarkEnd w:id="6"/>
      <w:bookmarkEnd w:id="7"/>
      <w:bookmarkEnd w:id="8"/>
      <w:bookmarkEnd w:id="9"/>
      <w:bookmarkEnd w:id="10"/>
      <w:bookmarkEnd w:id="11"/>
      <w:bookmarkEnd w:id="12"/>
    </w:p>
    <w:p>
      <w:pPr>
        <w:pStyle w:val="19"/>
        <w:spacing w:line="360" w:lineRule="auto"/>
        <w:ind w:firstLine="480" w:firstLineChars="200"/>
        <w:jc w:val="both"/>
      </w:pPr>
      <w:r>
        <w:t>污水处理厂现设有专门的应急物资和相关应急设备，均由专人管理，能保证完好、有效、随时可用。公司现有应急物资和应急装备的具体情况见下表</w:t>
      </w:r>
      <w:r>
        <w:rPr>
          <w:rFonts w:hint="eastAsia"/>
        </w:rPr>
        <w:t>。</w:t>
      </w: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b/>
          <w:bCs/>
        </w:rPr>
      </w:pPr>
      <w:r>
        <w:rPr>
          <w:rFonts w:hint="eastAsia"/>
          <w:b/>
          <w:bCs/>
        </w:rPr>
        <w:t>表3-19  公司应急物资及设施装备情况表</w:t>
      </w:r>
    </w:p>
    <w:tbl>
      <w:tblPr>
        <w:tblStyle w:val="21"/>
        <w:tblW w:w="4997"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927"/>
        <w:gridCol w:w="1859"/>
        <w:gridCol w:w="1034"/>
        <w:gridCol w:w="990"/>
        <w:gridCol w:w="2287"/>
        <w:gridCol w:w="2638"/>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Align w:val="center"/>
          </w:tcPr>
          <w:p>
            <w:pPr>
              <w:spacing w:line="240" w:lineRule="auto"/>
              <w:ind w:firstLine="0" w:firstLineChars="0"/>
              <w:jc w:val="center"/>
              <w:rPr>
                <w:color w:val="000000"/>
                <w:sz w:val="21"/>
                <w:szCs w:val="21"/>
              </w:rPr>
            </w:pPr>
            <w:r>
              <w:rPr>
                <w:rFonts w:hint="eastAsia" w:hAnsi="宋体"/>
                <w:b/>
                <w:bCs/>
                <w:color w:val="000000"/>
                <w:sz w:val="21"/>
                <w:szCs w:val="21"/>
              </w:rPr>
              <w:t>类别</w:t>
            </w:r>
          </w:p>
        </w:tc>
        <w:tc>
          <w:tcPr>
            <w:tcW w:w="954" w:type="pct"/>
            <w:vAlign w:val="center"/>
          </w:tcPr>
          <w:p>
            <w:pPr>
              <w:spacing w:line="240" w:lineRule="auto"/>
              <w:ind w:firstLine="0" w:firstLineChars="0"/>
              <w:jc w:val="center"/>
              <w:rPr>
                <w:color w:val="000000"/>
                <w:sz w:val="21"/>
                <w:szCs w:val="21"/>
              </w:rPr>
            </w:pPr>
            <w:r>
              <w:rPr>
                <w:rFonts w:hAnsi="宋体"/>
                <w:b/>
                <w:bCs/>
                <w:color w:val="000000"/>
                <w:sz w:val="21"/>
                <w:szCs w:val="21"/>
              </w:rPr>
              <w:t>物品名称</w:t>
            </w:r>
          </w:p>
        </w:tc>
        <w:tc>
          <w:tcPr>
            <w:tcW w:w="531" w:type="pct"/>
            <w:vAlign w:val="center"/>
          </w:tcPr>
          <w:p>
            <w:pPr>
              <w:spacing w:line="240" w:lineRule="auto"/>
              <w:ind w:firstLine="0" w:firstLineChars="0"/>
              <w:jc w:val="center"/>
              <w:rPr>
                <w:color w:val="000000"/>
                <w:sz w:val="21"/>
                <w:szCs w:val="21"/>
              </w:rPr>
            </w:pPr>
            <w:r>
              <w:rPr>
                <w:rFonts w:hint="eastAsia" w:hAnsi="宋体"/>
                <w:b/>
                <w:bCs/>
                <w:color w:val="000000"/>
                <w:sz w:val="21"/>
                <w:szCs w:val="21"/>
              </w:rPr>
              <w:t>单位</w:t>
            </w:r>
          </w:p>
        </w:tc>
        <w:tc>
          <w:tcPr>
            <w:tcW w:w="508" w:type="pct"/>
            <w:vAlign w:val="center"/>
          </w:tcPr>
          <w:p>
            <w:pPr>
              <w:spacing w:line="240" w:lineRule="auto"/>
              <w:ind w:firstLine="0" w:firstLineChars="0"/>
              <w:jc w:val="center"/>
              <w:rPr>
                <w:color w:val="000000"/>
                <w:sz w:val="21"/>
                <w:szCs w:val="21"/>
              </w:rPr>
            </w:pPr>
            <w:r>
              <w:rPr>
                <w:rFonts w:hint="eastAsia" w:hAnsi="宋体"/>
                <w:b/>
                <w:bCs/>
                <w:color w:val="000000"/>
                <w:sz w:val="21"/>
                <w:szCs w:val="21"/>
              </w:rPr>
              <w:t>数量</w:t>
            </w:r>
          </w:p>
        </w:tc>
        <w:tc>
          <w:tcPr>
            <w:tcW w:w="1174" w:type="pct"/>
            <w:vAlign w:val="center"/>
          </w:tcPr>
          <w:p>
            <w:pPr>
              <w:spacing w:line="240" w:lineRule="auto"/>
              <w:ind w:firstLine="0" w:firstLineChars="0"/>
              <w:jc w:val="center"/>
              <w:rPr>
                <w:color w:val="000000"/>
                <w:sz w:val="21"/>
                <w:szCs w:val="21"/>
              </w:rPr>
            </w:pPr>
            <w:r>
              <w:rPr>
                <w:rFonts w:hint="eastAsia" w:hAnsi="宋体"/>
                <w:b/>
                <w:bCs/>
                <w:color w:val="000000"/>
                <w:sz w:val="21"/>
                <w:szCs w:val="21"/>
              </w:rPr>
              <w:t>存放地点</w:t>
            </w:r>
          </w:p>
        </w:tc>
        <w:tc>
          <w:tcPr>
            <w:tcW w:w="1354" w:type="pct"/>
            <w:vAlign w:val="center"/>
          </w:tcPr>
          <w:p>
            <w:pPr>
              <w:spacing w:line="240" w:lineRule="auto"/>
              <w:ind w:firstLine="0" w:firstLineChars="0"/>
              <w:jc w:val="center"/>
              <w:rPr>
                <w:color w:val="000000"/>
                <w:sz w:val="21"/>
                <w:szCs w:val="21"/>
              </w:rPr>
            </w:pPr>
            <w:r>
              <w:rPr>
                <w:rFonts w:hint="eastAsia" w:hAnsi="宋体"/>
                <w:b/>
                <w:bCs/>
                <w:color w:val="000000"/>
                <w:sz w:val="21"/>
                <w:szCs w:val="21"/>
              </w:rPr>
              <w:t>保管人员、联系电话</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restart"/>
            <w:vAlign w:val="center"/>
          </w:tcPr>
          <w:p>
            <w:pPr>
              <w:spacing w:line="240" w:lineRule="auto"/>
              <w:ind w:firstLine="0" w:firstLineChars="0"/>
              <w:jc w:val="center"/>
              <w:rPr>
                <w:color w:val="000000"/>
                <w:sz w:val="21"/>
                <w:szCs w:val="21"/>
              </w:rPr>
            </w:pPr>
          </w:p>
          <w:p>
            <w:pPr>
              <w:spacing w:line="240" w:lineRule="auto"/>
              <w:ind w:firstLine="0" w:firstLineChars="0"/>
              <w:jc w:val="center"/>
              <w:rPr>
                <w:color w:val="000000"/>
                <w:sz w:val="21"/>
                <w:szCs w:val="21"/>
              </w:rPr>
            </w:pPr>
          </w:p>
          <w:p>
            <w:pPr>
              <w:spacing w:line="240" w:lineRule="auto"/>
              <w:ind w:firstLine="0" w:firstLineChars="0"/>
              <w:jc w:val="center"/>
              <w:rPr>
                <w:color w:val="000000"/>
                <w:sz w:val="21"/>
                <w:szCs w:val="21"/>
              </w:rPr>
            </w:pPr>
            <w:r>
              <w:rPr>
                <w:rFonts w:hint="eastAsia"/>
                <w:color w:val="000000"/>
                <w:sz w:val="21"/>
                <w:szCs w:val="21"/>
              </w:rPr>
              <w:t>事故处置物资</w:t>
            </w: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干粉灭火器</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6</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化验室、辅助房</w:t>
            </w:r>
          </w:p>
        </w:tc>
        <w:tc>
          <w:tcPr>
            <w:tcW w:w="1354"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朱金波 15879266460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消防栓</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7</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综合楼各楼层</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消防泵</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4</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消防水池旁</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砂桶</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10</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值班车</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辆</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2</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厂区内</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人员防护物资</w:t>
            </w: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防酸碱手套</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双</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若干</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邓云雁 18160792648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防尘口罩</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套</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若干</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急救箱</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2</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纱布</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卷</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若干</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绷带</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卷</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若干</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救援保障物资</w:t>
            </w: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警戒线</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30</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李忠元 15170274191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对讲机</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6</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车间</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restart"/>
            <w:vAlign w:val="center"/>
          </w:tcPr>
          <w:p>
            <w:pPr>
              <w:spacing w:line="240" w:lineRule="auto"/>
              <w:ind w:firstLine="0" w:firstLineChars="0"/>
              <w:jc w:val="center"/>
              <w:rPr>
                <w:color w:val="000000"/>
                <w:sz w:val="21"/>
                <w:szCs w:val="21"/>
              </w:rPr>
            </w:pPr>
            <w:r>
              <w:rPr>
                <w:rFonts w:hint="eastAsia"/>
                <w:color w:val="000000"/>
                <w:sz w:val="21"/>
                <w:szCs w:val="21"/>
              </w:rPr>
              <w:t>应急措施</w:t>
            </w: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应急泵</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2</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各池体</w:t>
            </w:r>
          </w:p>
        </w:tc>
        <w:tc>
          <w:tcPr>
            <w:tcW w:w="1354" w:type="pct"/>
            <w:vMerge w:val="restart"/>
            <w:vAlign w:val="center"/>
          </w:tcPr>
          <w:p>
            <w:pPr>
              <w:spacing w:line="240" w:lineRule="auto"/>
              <w:ind w:firstLine="0" w:firstLineChars="0"/>
              <w:jc w:val="center"/>
              <w:rPr>
                <w:rFonts w:hint="eastAsia" w:ascii="Times New Roman" w:hAnsi="Times New Roman" w:eastAsia="宋体" w:cs="Times New Roman"/>
                <w:color w:val="FF0000"/>
                <w:sz w:val="21"/>
              </w:rPr>
            </w:pPr>
            <w:r>
              <w:rPr>
                <w:rFonts w:hint="eastAsia" w:ascii="Times New Roman" w:hAnsi="Times New Roman" w:eastAsia="宋体" w:cs="Times New Roman"/>
                <w:color w:val="FF0000"/>
                <w:sz w:val="21"/>
              </w:rPr>
              <w:t>A岗：</w:t>
            </w:r>
            <w:r>
              <w:rPr>
                <w:rFonts w:hint="eastAsia" w:ascii="Times New Roman" w:hAnsi="Times New Roman" w:eastAsia="宋体" w:cs="Times New Roman"/>
                <w:color w:val="FF0000"/>
                <w:sz w:val="21"/>
                <w:lang w:eastAsia="zh-CN"/>
              </w:rPr>
              <w:t>石禄</w:t>
            </w:r>
            <w:r>
              <w:rPr>
                <w:rFonts w:hint="eastAsia" w:ascii="Times New Roman" w:hAnsi="Times New Roman" w:eastAsia="宋体" w:cs="Times New Roman"/>
                <w:color w:val="FF0000"/>
                <w:sz w:val="21"/>
              </w:rPr>
              <w:t xml:space="preserve"> </w:t>
            </w:r>
            <w:r>
              <w:rPr>
                <w:rFonts w:hint="eastAsia" w:ascii="Times New Roman" w:hAnsi="Times New Roman" w:eastAsia="宋体" w:cs="Times New Roman"/>
                <w:color w:val="FF0000"/>
                <w:sz w:val="21"/>
                <w:lang w:val="en-US" w:eastAsia="zh-CN"/>
              </w:rPr>
              <w:t>18779</w:t>
            </w:r>
            <w:r>
              <w:rPr>
                <w:rFonts w:hint="eastAsia" w:ascii="Times New Roman" w:hAnsi="Times New Roman" w:eastAsia="宋体" w:cs="Times New Roman"/>
                <w:color w:val="FF0000"/>
                <w:sz w:val="21"/>
              </w:rPr>
              <w:t>255256</w:t>
            </w:r>
          </w:p>
          <w:p>
            <w:pPr>
              <w:spacing w:line="240" w:lineRule="auto"/>
              <w:ind w:firstLine="0" w:firstLineChars="0"/>
              <w:jc w:val="both"/>
              <w:rPr>
                <w:color w:val="000000"/>
                <w:sz w:val="21"/>
                <w:szCs w:val="21"/>
              </w:rPr>
            </w:pPr>
            <w:r>
              <w:rPr>
                <w:rFonts w:hint="eastAsia" w:ascii="Times New Roman" w:hAnsi="Times New Roman" w:eastAsia="宋体" w:cs="Times New Roman"/>
                <w:color w:val="FF0000"/>
                <w:sz w:val="21"/>
              </w:rPr>
              <w:t>B岗：李忠元18307062338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事故应急柜</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1</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综合楼</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应急灯</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个</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1</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辅助房</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应急事故池</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座</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1</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厂区西南角</w:t>
            </w:r>
          </w:p>
        </w:tc>
        <w:tc>
          <w:tcPr>
            <w:tcW w:w="1354" w:type="pct"/>
            <w:vMerge w:val="continue"/>
            <w:vAlign w:val="center"/>
          </w:tcPr>
          <w:p>
            <w:pPr>
              <w:spacing w:line="240" w:lineRule="auto"/>
              <w:ind w:firstLine="0" w:firstLineChars="0"/>
              <w:jc w:val="center"/>
              <w:rPr>
                <w:color w:val="00000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6" w:type="pct"/>
            <w:vMerge w:val="continue"/>
            <w:vAlign w:val="center"/>
          </w:tcPr>
          <w:p>
            <w:pPr>
              <w:spacing w:line="240" w:lineRule="auto"/>
              <w:ind w:firstLine="0" w:firstLineChars="0"/>
              <w:jc w:val="center"/>
              <w:rPr>
                <w:color w:val="000000"/>
                <w:sz w:val="21"/>
                <w:szCs w:val="21"/>
              </w:rPr>
            </w:pPr>
          </w:p>
        </w:tc>
        <w:tc>
          <w:tcPr>
            <w:tcW w:w="954" w:type="pct"/>
            <w:vAlign w:val="center"/>
          </w:tcPr>
          <w:p>
            <w:pPr>
              <w:spacing w:line="240" w:lineRule="auto"/>
              <w:ind w:firstLine="0" w:firstLineChars="0"/>
              <w:jc w:val="center"/>
              <w:rPr>
                <w:color w:val="000000"/>
                <w:sz w:val="21"/>
                <w:szCs w:val="21"/>
              </w:rPr>
            </w:pPr>
            <w:r>
              <w:rPr>
                <w:rFonts w:hint="eastAsia"/>
                <w:color w:val="000000"/>
                <w:sz w:val="21"/>
                <w:szCs w:val="21"/>
              </w:rPr>
              <w:t>消防水池</w:t>
            </w:r>
          </w:p>
        </w:tc>
        <w:tc>
          <w:tcPr>
            <w:tcW w:w="531" w:type="pct"/>
            <w:vAlign w:val="center"/>
          </w:tcPr>
          <w:p>
            <w:pPr>
              <w:spacing w:line="240" w:lineRule="auto"/>
              <w:ind w:firstLine="0" w:firstLineChars="0"/>
              <w:jc w:val="center"/>
              <w:rPr>
                <w:color w:val="000000"/>
                <w:sz w:val="21"/>
                <w:szCs w:val="21"/>
              </w:rPr>
            </w:pPr>
            <w:r>
              <w:rPr>
                <w:rFonts w:hint="eastAsia"/>
                <w:color w:val="000000"/>
                <w:sz w:val="21"/>
                <w:szCs w:val="21"/>
              </w:rPr>
              <w:t>座</w:t>
            </w:r>
          </w:p>
        </w:tc>
        <w:tc>
          <w:tcPr>
            <w:tcW w:w="508" w:type="pct"/>
            <w:vAlign w:val="center"/>
          </w:tcPr>
          <w:p>
            <w:pPr>
              <w:spacing w:line="240" w:lineRule="auto"/>
              <w:ind w:firstLine="0" w:firstLineChars="0"/>
              <w:jc w:val="center"/>
              <w:rPr>
                <w:color w:val="000000"/>
                <w:sz w:val="21"/>
                <w:szCs w:val="21"/>
              </w:rPr>
            </w:pPr>
            <w:r>
              <w:rPr>
                <w:rFonts w:hint="eastAsia"/>
                <w:color w:val="000000"/>
                <w:sz w:val="21"/>
                <w:szCs w:val="21"/>
              </w:rPr>
              <w:t>1</w:t>
            </w:r>
          </w:p>
        </w:tc>
        <w:tc>
          <w:tcPr>
            <w:tcW w:w="1174" w:type="pct"/>
            <w:vAlign w:val="center"/>
          </w:tcPr>
          <w:p>
            <w:pPr>
              <w:spacing w:line="240" w:lineRule="auto"/>
              <w:ind w:firstLine="0" w:firstLineChars="0"/>
              <w:jc w:val="center"/>
              <w:rPr>
                <w:color w:val="000000"/>
                <w:sz w:val="21"/>
                <w:szCs w:val="21"/>
              </w:rPr>
            </w:pPr>
            <w:r>
              <w:rPr>
                <w:rFonts w:hint="eastAsia"/>
                <w:color w:val="000000"/>
                <w:sz w:val="21"/>
                <w:szCs w:val="21"/>
              </w:rPr>
              <w:t>厂区西南角</w:t>
            </w:r>
          </w:p>
        </w:tc>
        <w:tc>
          <w:tcPr>
            <w:tcW w:w="1354" w:type="pct"/>
            <w:vMerge w:val="continue"/>
            <w:vAlign w:val="center"/>
          </w:tcPr>
          <w:p>
            <w:pPr>
              <w:spacing w:line="240" w:lineRule="auto"/>
              <w:ind w:firstLine="0" w:firstLineChars="0"/>
              <w:jc w:val="center"/>
              <w:rPr>
                <w:color w:val="000000"/>
                <w:sz w:val="21"/>
                <w:szCs w:val="21"/>
              </w:rPr>
            </w:pPr>
          </w:p>
        </w:tc>
      </w:tr>
    </w:tbl>
    <w:p>
      <w:pPr>
        <w:pStyle w:val="19"/>
        <w:spacing w:line="360" w:lineRule="auto"/>
        <w:ind w:firstLine="480" w:firstLineChars="200"/>
        <w:jc w:val="both"/>
      </w:pPr>
      <w:r>
        <w:rPr>
          <w:rFonts w:hint="eastAsia"/>
        </w:rPr>
        <w:t>本厂能立即组织应急救援队伍，应急救援由本厂领导（总指挥、副总指挥）统一指挥，下设立 4个应急处置小组：后勤联络组、应急处置组、警戒疏散组、应急监测组</w:t>
      </w:r>
      <w:r>
        <w:rPr>
          <w:rFonts w:hint="eastAsia"/>
          <w:lang w:eastAsia="zh-CN"/>
        </w:rPr>
        <w:t>、</w:t>
      </w:r>
      <w:r>
        <w:rPr>
          <w:rFonts w:hint="eastAsia" w:eastAsia="宋体"/>
          <w:color w:val="FF0000"/>
          <w:lang w:val="en-US" w:eastAsia="zh-CN"/>
        </w:rPr>
        <w:t>医疗救护组、物资保障组</w:t>
      </w:r>
      <w:r>
        <w:rPr>
          <w:rFonts w:hint="eastAsia"/>
        </w:rPr>
        <w:t xml:space="preserve">负责事故应急处理处置。 </w:t>
      </w:r>
    </w:p>
    <w:p>
      <w:pPr>
        <w:pStyle w:val="19"/>
        <w:spacing w:line="360" w:lineRule="auto"/>
        <w:ind w:firstLine="480" w:firstLineChars="200"/>
        <w:jc w:val="both"/>
      </w:pPr>
      <w:r>
        <w:rPr>
          <w:rFonts w:hint="eastAsia"/>
        </w:rPr>
        <w:t>当前公司内部应急救援队伍主要成员如下表所示：</w:t>
      </w:r>
    </w:p>
    <w:p>
      <w:pPr>
        <w:pStyle w:val="19"/>
        <w:tabs>
          <w:tab w:val="center" w:pos="4153"/>
          <w:tab w:val="left" w:pos="6845"/>
        </w:tabs>
        <w:spacing w:line="360" w:lineRule="auto"/>
        <w:rPr>
          <w:b/>
          <w:bCs/>
        </w:rPr>
      </w:pPr>
      <w:r>
        <w:rPr>
          <w:rFonts w:hint="eastAsia"/>
          <w:b/>
          <w:bCs/>
        </w:rPr>
        <w:t>表 3-20   现有环境应急人力资源情况表</w:t>
      </w:r>
    </w:p>
    <w:tbl>
      <w:tblPr>
        <w:tblStyle w:val="21"/>
        <w:tblW w:w="4990" w:type="pct"/>
        <w:jc w:val="center"/>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Layout w:type="autofit"/>
        <w:tblCellMar>
          <w:top w:w="15" w:type="dxa"/>
          <w:left w:w="108" w:type="dxa"/>
          <w:bottom w:w="15" w:type="dxa"/>
          <w:right w:w="108" w:type="dxa"/>
        </w:tblCellMar>
      </w:tblPr>
      <w:tblGrid>
        <w:gridCol w:w="811"/>
        <w:gridCol w:w="918"/>
        <w:gridCol w:w="1154"/>
        <w:gridCol w:w="1426"/>
        <w:gridCol w:w="5413"/>
      </w:tblGrid>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729" w:hRule="atLeast"/>
          <w:jc w:val="center"/>
        </w:trPr>
        <w:tc>
          <w:tcPr>
            <w:tcW w:w="889" w:type="pct"/>
            <w:gridSpan w:val="2"/>
            <w:vAlign w:val="center"/>
          </w:tcPr>
          <w:p>
            <w:pPr>
              <w:widowControl/>
              <w:adjustRightInd w:val="0"/>
              <w:snapToGrid w:val="0"/>
              <w:spacing w:line="240" w:lineRule="auto"/>
              <w:ind w:firstLine="0" w:firstLineChars="0"/>
              <w:jc w:val="center"/>
              <w:rPr>
                <w:b/>
                <w:bCs/>
                <w:kern w:val="21"/>
                <w:sz w:val="21"/>
              </w:rPr>
            </w:pPr>
            <w:r>
              <w:rPr>
                <w:b/>
                <w:bCs/>
                <w:kern w:val="21"/>
                <w:sz w:val="21"/>
              </w:rPr>
              <w:t>应急组织机构职位</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b/>
                <w:bCs/>
                <w:kern w:val="21"/>
                <w:sz w:val="21"/>
              </w:rPr>
            </w:pPr>
            <w:r>
              <w:rPr>
                <w:b/>
                <w:bCs/>
                <w:kern w:val="21"/>
                <w:sz w:val="21"/>
              </w:rPr>
              <w:t>姓名</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b/>
                <w:bCs/>
                <w:kern w:val="21"/>
                <w:sz w:val="21"/>
              </w:rPr>
            </w:pPr>
            <w:r>
              <w:rPr>
                <w:b/>
                <w:bCs/>
                <w:kern w:val="21"/>
                <w:sz w:val="21"/>
              </w:rPr>
              <w:t>联系电话</w:t>
            </w:r>
          </w:p>
        </w:tc>
        <w:tc>
          <w:tcPr>
            <w:tcW w:w="2783" w:type="pct"/>
            <w:vAlign w:val="center"/>
          </w:tcPr>
          <w:p>
            <w:pPr>
              <w:widowControl/>
              <w:adjustRightInd w:val="0"/>
              <w:snapToGrid w:val="0"/>
              <w:spacing w:line="240" w:lineRule="auto"/>
              <w:ind w:firstLine="0" w:firstLineChars="0"/>
              <w:jc w:val="center"/>
              <w:rPr>
                <w:b/>
                <w:bCs/>
                <w:kern w:val="21"/>
                <w:sz w:val="21"/>
              </w:rPr>
            </w:pPr>
            <w:r>
              <w:rPr>
                <w:b/>
                <w:bCs/>
                <w:kern w:val="21"/>
                <w:sz w:val="21"/>
              </w:rPr>
              <w:t>职责</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604" w:hRule="atLeast"/>
          <w:jc w:val="center"/>
        </w:trPr>
        <w:tc>
          <w:tcPr>
            <w:tcW w:w="889" w:type="pct"/>
            <w:gridSpan w:val="2"/>
            <w:vAlign w:val="center"/>
          </w:tcPr>
          <w:p>
            <w:pPr>
              <w:widowControl/>
              <w:adjustRightInd w:val="0"/>
              <w:snapToGrid w:val="0"/>
              <w:spacing w:line="240" w:lineRule="auto"/>
              <w:ind w:firstLine="0" w:firstLineChars="0"/>
              <w:jc w:val="center"/>
              <w:rPr>
                <w:kern w:val="21"/>
                <w:sz w:val="21"/>
              </w:rPr>
            </w:pPr>
            <w:r>
              <w:rPr>
                <w:kern w:val="21"/>
                <w:sz w:val="21"/>
              </w:rPr>
              <w:t>总指挥</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kern w:val="21"/>
                <w:sz w:val="21"/>
              </w:rPr>
              <w:t>黎宵月</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kern w:val="21"/>
                <w:sz w:val="21"/>
              </w:rPr>
              <w:t>18898812128</w:t>
            </w:r>
          </w:p>
        </w:tc>
        <w:tc>
          <w:tcPr>
            <w:tcW w:w="2783" w:type="pct"/>
            <w:vAlign w:val="center"/>
          </w:tcPr>
          <w:p>
            <w:pPr>
              <w:widowControl/>
              <w:adjustRightInd w:val="0"/>
              <w:snapToGrid w:val="0"/>
              <w:spacing w:line="240" w:lineRule="auto"/>
              <w:ind w:firstLine="0" w:firstLineChars="0"/>
              <w:jc w:val="center"/>
              <w:rPr>
                <w:kern w:val="21"/>
                <w:sz w:val="21"/>
              </w:rPr>
            </w:pPr>
            <w:r>
              <w:rPr>
                <w:kern w:val="21"/>
                <w:sz w:val="21"/>
              </w:rPr>
              <w:t>负责应急救援指挥工作，发布抢险救援命令，宣布应急预案的启动与终止，对特殊情况进行紧急决断，协调副总指挥工作，向上级指挥、调查机构报告事故情况及处置应对情况。</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921" w:hRule="atLeast"/>
          <w:jc w:val="center"/>
        </w:trPr>
        <w:tc>
          <w:tcPr>
            <w:tcW w:w="889" w:type="pct"/>
            <w:gridSpan w:val="2"/>
            <w:vAlign w:val="center"/>
          </w:tcPr>
          <w:p>
            <w:pPr>
              <w:widowControl/>
              <w:adjustRightInd w:val="0"/>
              <w:snapToGrid w:val="0"/>
              <w:spacing w:line="240" w:lineRule="auto"/>
              <w:ind w:firstLine="0" w:firstLineChars="0"/>
              <w:jc w:val="center"/>
              <w:rPr>
                <w:kern w:val="21"/>
                <w:sz w:val="21"/>
              </w:rPr>
            </w:pPr>
            <w:r>
              <w:rPr>
                <w:kern w:val="21"/>
                <w:sz w:val="21"/>
              </w:rPr>
              <w:t>副总指挥</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kern w:val="21"/>
                <w:sz w:val="21"/>
              </w:rPr>
              <w:t>彭辉金</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kern w:val="21"/>
                <w:sz w:val="21"/>
              </w:rPr>
              <w:t>15274409459</w:t>
            </w:r>
          </w:p>
        </w:tc>
        <w:tc>
          <w:tcPr>
            <w:tcW w:w="2783" w:type="pct"/>
            <w:vAlign w:val="center"/>
          </w:tcPr>
          <w:p>
            <w:pPr>
              <w:widowControl/>
              <w:adjustRightInd w:val="0"/>
              <w:snapToGrid w:val="0"/>
              <w:spacing w:line="240" w:lineRule="auto"/>
              <w:ind w:firstLine="0" w:firstLineChars="0"/>
              <w:jc w:val="center"/>
              <w:rPr>
                <w:kern w:val="21"/>
                <w:sz w:val="21"/>
              </w:rPr>
            </w:pPr>
            <w:r>
              <w:rPr>
                <w:kern w:val="21"/>
                <w:sz w:val="21"/>
              </w:rPr>
              <w:t>①负责协助总指挥作好抢险现场救灾工作的紧急组织，具体负责对各抢险小组的指挥工作，指挥技术人员对抢险、抢修作业根据技术规范和工艺情况，提供准确可行的抢险方案，并向总指挥报告情况，落实总指挥发布的抢险命令。 </w:t>
            </w:r>
          </w:p>
          <w:p>
            <w:pPr>
              <w:widowControl/>
              <w:adjustRightInd w:val="0"/>
              <w:snapToGrid w:val="0"/>
              <w:spacing w:line="240" w:lineRule="auto"/>
              <w:ind w:firstLine="0" w:firstLineChars="0"/>
              <w:jc w:val="center"/>
              <w:rPr>
                <w:kern w:val="21"/>
                <w:sz w:val="21"/>
              </w:rPr>
            </w:pPr>
            <w:r>
              <w:rPr>
                <w:kern w:val="21"/>
                <w:sz w:val="21"/>
              </w:rPr>
              <w:t>②负责指挥保安人员对现场进行疏散、保卫及周边警戒的工作，负责事发后善后及洗消工作，维护工作秩序，防止意外及此生事故发生。 </w:t>
            </w:r>
          </w:p>
          <w:p>
            <w:pPr>
              <w:widowControl/>
              <w:adjustRightInd w:val="0"/>
              <w:snapToGrid w:val="0"/>
              <w:spacing w:line="240" w:lineRule="auto"/>
              <w:ind w:firstLine="0" w:firstLineChars="0"/>
              <w:jc w:val="center"/>
              <w:rPr>
                <w:kern w:val="21"/>
                <w:sz w:val="21"/>
              </w:rPr>
            </w:pPr>
            <w:r>
              <w:rPr>
                <w:kern w:val="21"/>
                <w:sz w:val="21"/>
              </w:rPr>
              <w:t>③负责组织部署人力、物资与后勤保障，调集社会抢险救援力量，做好抢险救援队伍的补充，随时准备好按总指挥命令行动。</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38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后勤联络组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组长</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邓云雁</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18160792648</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kern w:val="21"/>
                <w:sz w:val="21"/>
              </w:rPr>
              <w:t>①责实施应急设备和所需物资的供应，保障现场抢险和抢险物资的供给，并组织维修人员抢修。</w:t>
            </w:r>
          </w:p>
          <w:p>
            <w:pPr>
              <w:widowControl/>
              <w:adjustRightInd w:val="0"/>
              <w:snapToGrid w:val="0"/>
              <w:spacing w:line="240" w:lineRule="auto"/>
              <w:ind w:firstLine="0" w:firstLineChars="0"/>
              <w:jc w:val="center"/>
              <w:rPr>
                <w:kern w:val="21"/>
                <w:sz w:val="21"/>
              </w:rPr>
            </w:pPr>
            <w:r>
              <w:rPr>
                <w:kern w:val="21"/>
                <w:sz w:val="21"/>
              </w:rPr>
              <w:t>②负责指挥抢险现场受伤人员的救助和对重伤员的转治，保障抢险人员人身安全，协调领导机构与工作机构各小组、外部抢险救援力量之间的通信联络。</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组员</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沈魏如</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15220065764</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pP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周卫红</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18307923505</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10"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应急处置组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组长</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朱金波</w:t>
            </w:r>
          </w:p>
        </w:tc>
        <w:tc>
          <w:tcPr>
            <w:tcW w:w="733" w:type="pct"/>
            <w:vAlign w:val="center"/>
          </w:tcPr>
          <w:p>
            <w:pPr>
              <w:widowControl/>
              <w:ind w:firstLine="0" w:firstLineChars="0"/>
              <w:textAlignment w:val="center"/>
              <w:rPr>
                <w:kern w:val="21"/>
                <w:sz w:val="21"/>
              </w:rPr>
            </w:pPr>
            <w:r>
              <w:rPr>
                <w:rFonts w:hint="eastAsia" w:ascii="宋体" w:hAnsi="宋体"/>
                <w:color w:val="000000"/>
                <w:kern w:val="0"/>
                <w:sz w:val="22"/>
                <w:szCs w:val="22"/>
              </w:rPr>
              <w:t xml:space="preserve">15879266460 </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kern w:val="21"/>
                <w:sz w:val="21"/>
              </w:rPr>
              <w:t>执行领导小组的命令、决定，并根据其精神，结合事故现场实际情况，按照应急预案认真协调实施事故发生环节的救援抢险工作，防止事故的扩大蔓延，力求将损失降低至最低。并负责应急响应结  束后，配合信息联络员对事故的现场调查、组织事故分析和事故的上报。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390"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组员</w:t>
            </w:r>
          </w:p>
        </w:tc>
        <w:tc>
          <w:tcPr>
            <w:tcW w:w="593" w:type="pct"/>
            <w:vAlign w:val="center"/>
          </w:tcPr>
          <w:p>
            <w:pPr>
              <w:pStyle w:val="20"/>
              <w:ind w:firstLine="0" w:firstLineChars="0"/>
              <w:jc w:val="center"/>
              <w:rPr>
                <w:kern w:val="21"/>
                <w:sz w:val="21"/>
              </w:rPr>
            </w:pPr>
            <w:r>
              <w:rPr>
                <w:rFonts w:hint="eastAsia"/>
                <w:sz w:val="21"/>
                <w:szCs w:val="21"/>
              </w:rPr>
              <w:t>汪建雄</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15870858516</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pPr>
          </w:p>
        </w:tc>
        <w:tc>
          <w:tcPr>
            <w:tcW w:w="593" w:type="pct"/>
            <w:vAlign w:val="center"/>
          </w:tcPr>
          <w:p>
            <w:pPr>
              <w:pStyle w:val="20"/>
              <w:ind w:firstLine="0" w:firstLineChars="0"/>
              <w:jc w:val="center"/>
              <w:rPr>
                <w:kern w:val="21"/>
                <w:sz w:val="21"/>
              </w:rPr>
            </w:pPr>
            <w:r>
              <w:rPr>
                <w:rFonts w:hint="eastAsia"/>
                <w:sz w:val="21"/>
                <w:szCs w:val="21"/>
              </w:rPr>
              <w:t>赵海伟</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18979221380</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392"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警戒疏散组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组长</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李忠元</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15170274191</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kern w:val="21"/>
                <w:sz w:val="21"/>
              </w:rPr>
              <w:t>负责在险情发生时，疏散人员至安全地点，同时隔离现场，设置警示标志，限制无关人员出入。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组员</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付小桂</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18172932062</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pP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沈大景</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13177800397</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0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应急监测组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组长</w:t>
            </w: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石禄</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18779255256</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kern w:val="21"/>
                <w:sz w:val="21"/>
              </w:rPr>
              <w:t>负责事故可能污染到范围内的环境监测（包括水环境、空气环境或地面固体废物环境污染），按照总指挥要求随时上报。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kern w:val="21"/>
                <w:sz w:val="21"/>
              </w:rPr>
            </w:pPr>
            <w:r>
              <w:rPr>
                <w:kern w:val="21"/>
                <w:sz w:val="21"/>
              </w:rPr>
              <w:t>组员</w:t>
            </w:r>
          </w:p>
        </w:tc>
        <w:tc>
          <w:tcPr>
            <w:tcW w:w="593" w:type="pct"/>
            <w:vAlign w:val="center"/>
          </w:tcPr>
          <w:p>
            <w:pPr>
              <w:pStyle w:val="20"/>
              <w:spacing w:line="240" w:lineRule="auto"/>
              <w:ind w:firstLine="0" w:firstLineChars="0"/>
              <w:jc w:val="center"/>
              <w:rPr>
                <w:kern w:val="21"/>
                <w:sz w:val="21"/>
              </w:rPr>
            </w:pPr>
            <w:r>
              <w:rPr>
                <w:rFonts w:hint="eastAsia"/>
                <w:sz w:val="21"/>
                <w:szCs w:val="21"/>
              </w:rPr>
              <w:t>杨细林</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18720232351</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pPr>
          </w:p>
        </w:tc>
        <w:tc>
          <w:tcPr>
            <w:tcW w:w="593" w:type="pct"/>
            <w:vAlign w:val="center"/>
          </w:tcPr>
          <w:p>
            <w:pPr>
              <w:widowControl/>
              <w:adjustRightInd w:val="0"/>
              <w:snapToGrid w:val="0"/>
              <w:spacing w:line="240" w:lineRule="auto"/>
              <w:ind w:firstLine="0" w:firstLineChars="0"/>
              <w:jc w:val="center"/>
              <w:rPr>
                <w:kern w:val="21"/>
                <w:sz w:val="21"/>
              </w:rPr>
            </w:pPr>
            <w:r>
              <w:rPr>
                <w:rFonts w:hint="eastAsia"/>
                <w:kern w:val="21"/>
                <w:sz w:val="21"/>
                <w:szCs w:val="21"/>
              </w:rPr>
              <w:t>曹芳玲</w:t>
            </w:r>
          </w:p>
        </w:tc>
        <w:tc>
          <w:tcPr>
            <w:tcW w:w="733" w:type="pct"/>
            <w:vAlign w:val="center"/>
          </w:tcPr>
          <w:p>
            <w:pPr>
              <w:widowControl/>
              <w:adjustRightInd w:val="0"/>
              <w:snapToGrid w:val="0"/>
              <w:spacing w:line="240" w:lineRule="auto"/>
              <w:ind w:firstLine="0" w:firstLineChars="0"/>
              <w:jc w:val="center"/>
              <w:rPr>
                <w:kern w:val="21"/>
                <w:sz w:val="21"/>
              </w:rPr>
            </w:pPr>
            <w:r>
              <w:rPr>
                <w:rFonts w:hint="eastAsia"/>
                <w:kern w:val="21"/>
                <w:sz w:val="21"/>
              </w:rPr>
              <w:t>15870879633</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宋体" w:hAnsi="宋体" w:eastAsia="宋体" w:cs="Times New Roman"/>
                <w:color w:val="FF0000"/>
                <w:kern w:val="2"/>
                <w:sz w:val="21"/>
                <w:szCs w:val="21"/>
                <w:lang w:val="en-US" w:eastAsia="zh-CN" w:bidi="ar-SA"/>
              </w:rPr>
              <w:t>医疗救护组</w:t>
            </w:r>
          </w:p>
        </w:tc>
        <w:tc>
          <w:tcPr>
            <w:tcW w:w="472" w:type="pc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组长</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color w:val="FF0000"/>
                <w:kern w:val="21"/>
                <w:sz w:val="21"/>
              </w:rPr>
              <w:t>吴金水</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ascii="Times New Roman" w:hAnsi="Times New Roman"/>
                <w:color w:val="FF0000"/>
                <w:kern w:val="21"/>
                <w:sz w:val="21"/>
              </w:rPr>
              <w:t>15170976466</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负责事故受害者的应急救助，按照总指挥要求随时赶到现场，随时开展救助。</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283"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restar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组员</w:t>
            </w:r>
          </w:p>
        </w:tc>
        <w:tc>
          <w:tcPr>
            <w:tcW w:w="593" w:type="pct"/>
            <w:vAlign w:val="center"/>
          </w:tcPr>
          <w:p>
            <w:pPr>
              <w:pStyle w:val="20"/>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color w:val="FF0000"/>
                <w:sz w:val="21"/>
              </w:rPr>
              <w:t>殷建平</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ascii="Times New Roman" w:hAnsi="Times New Roman"/>
                <w:color w:val="FF0000"/>
                <w:kern w:val="21"/>
                <w:sz w:val="21"/>
              </w:rPr>
              <w:t>15270278816</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kern w:val="21"/>
                <w:sz w:val="21"/>
              </w:rPr>
            </w:pP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color w:val="FF0000"/>
                <w:kern w:val="21"/>
                <w:sz w:val="21"/>
              </w:rPr>
              <w:t>郑晓亮</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ascii="Times New Roman" w:hAnsi="Times New Roman"/>
                <w:color w:val="FF0000"/>
                <w:kern w:val="21"/>
                <w:sz w:val="21"/>
              </w:rPr>
              <w:t>15679291688</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宋体" w:hAnsi="宋体" w:eastAsia="宋体" w:cs="Times New Roman"/>
                <w:color w:val="FF0000"/>
                <w:kern w:val="2"/>
                <w:sz w:val="21"/>
                <w:szCs w:val="21"/>
                <w:lang w:val="en-US" w:eastAsia="zh-CN" w:bidi="ar-SA"/>
              </w:rPr>
              <w:t>物资保障组</w:t>
            </w:r>
          </w:p>
        </w:tc>
        <w:tc>
          <w:tcPr>
            <w:tcW w:w="472" w:type="pc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组长</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color w:val="FF0000"/>
                <w:kern w:val="21"/>
                <w:sz w:val="21"/>
              </w:rPr>
              <w:t>吴世球</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ascii="Times New Roman" w:hAnsi="Times New Roman"/>
                <w:color w:val="FF0000"/>
                <w:kern w:val="21"/>
                <w:sz w:val="21"/>
              </w:rPr>
              <w:t>18779272297</w:t>
            </w:r>
          </w:p>
        </w:tc>
        <w:tc>
          <w:tcPr>
            <w:tcW w:w="2783" w:type="pct"/>
            <w:vMerge w:val="restart"/>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负责应急物资的看管和派发。定期开展物资清点，确保应急物资组足质足量。按照总指挥要求及时把应急物资配置到事故现场。</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kern w:val="21"/>
                <w:sz w:val="21"/>
              </w:rPr>
            </w:pPr>
          </w:p>
        </w:tc>
        <w:tc>
          <w:tcPr>
            <w:tcW w:w="472" w:type="pct"/>
            <w:tcBorders>
              <w:left w:val="single" w:color="auto" w:sz="4" w:space="0"/>
            </w:tcBorders>
            <w:vAlign w:val="center"/>
          </w:tcPr>
          <w:p>
            <w:pPr>
              <w:widowControl/>
              <w:adjustRightInd w:val="0"/>
              <w:snapToGrid w:val="0"/>
              <w:spacing w:line="240" w:lineRule="auto"/>
              <w:ind w:firstLine="0" w:firstLineChars="0"/>
              <w:jc w:val="center"/>
              <w:rPr>
                <w:kern w:val="21"/>
                <w:sz w:val="21"/>
              </w:rPr>
            </w:pPr>
            <w:r>
              <w:rPr>
                <w:rFonts w:hint="eastAsia" w:ascii="Times New Roman" w:hAnsi="Times New Roman"/>
                <w:color w:val="FF0000"/>
                <w:kern w:val="21"/>
                <w:sz w:val="21"/>
                <w:lang w:eastAsia="zh-CN"/>
              </w:rPr>
              <w:t>组员</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color w:val="FF0000"/>
                <w:kern w:val="21"/>
                <w:sz w:val="21"/>
              </w:rPr>
              <w:t>沈浪</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smallCaps/>
                <w:color w:val="FF0000"/>
                <w:kern w:val="21"/>
                <w:sz w:val="21"/>
                <w:szCs w:val="21"/>
                <w:lang w:val="en-US" w:eastAsia="zh-CN" w:bidi="ar-SA"/>
              </w:rPr>
            </w:pPr>
            <w:r>
              <w:rPr>
                <w:rFonts w:hint="eastAsia" w:ascii="Times New Roman" w:hAnsi="Times New Roman"/>
                <w:color w:val="FF0000"/>
                <w:kern w:val="21"/>
                <w:sz w:val="21"/>
              </w:rPr>
              <w:t>18879227992</w:t>
            </w:r>
          </w:p>
        </w:tc>
        <w:tc>
          <w:tcPr>
            <w:tcW w:w="2783" w:type="pct"/>
            <w:vMerge w:val="continue"/>
            <w:vAlign w:val="center"/>
          </w:tcPr>
          <w:p>
            <w:pPr>
              <w:widowControl/>
              <w:adjustRightInd w:val="0"/>
              <w:snapToGrid w:val="0"/>
              <w:spacing w:line="240" w:lineRule="auto"/>
              <w:ind w:firstLine="0" w:firstLineChars="0"/>
              <w:jc w:val="center"/>
              <w:rPr>
                <w:kern w:val="21"/>
                <w:sz w:val="21"/>
              </w:rPr>
            </w:pPr>
          </w:p>
        </w:tc>
      </w:tr>
    </w:tbl>
    <w:p>
      <w:pPr>
        <w:pStyle w:val="19"/>
        <w:spacing w:line="360" w:lineRule="auto"/>
        <w:ind w:firstLine="480" w:firstLineChars="200"/>
        <w:jc w:val="both"/>
      </w:pPr>
      <w:r>
        <w:rPr>
          <w:rFonts w:hint="eastAsia"/>
        </w:rPr>
        <w:t>此外，发生突发环境事件时，若救援行动已超出公司内部救援队伍能力范围时，可提请外部力量支援。外部救援名单及联系方式如下。</w:t>
      </w:r>
    </w:p>
    <w:p>
      <w:pPr>
        <w:pStyle w:val="19"/>
        <w:tabs>
          <w:tab w:val="center" w:pos="4153"/>
          <w:tab w:val="left" w:pos="6845"/>
        </w:tabs>
        <w:spacing w:line="360" w:lineRule="auto"/>
        <w:rPr>
          <w:b/>
          <w:bCs/>
        </w:rPr>
      </w:pPr>
    </w:p>
    <w:p>
      <w:pPr>
        <w:pStyle w:val="19"/>
        <w:tabs>
          <w:tab w:val="center" w:pos="4153"/>
          <w:tab w:val="left" w:pos="6845"/>
        </w:tabs>
        <w:spacing w:line="360" w:lineRule="auto"/>
        <w:rPr>
          <w:b/>
          <w:bCs/>
        </w:rPr>
      </w:pPr>
      <w:r>
        <w:rPr>
          <w:rFonts w:hint="eastAsia"/>
          <w:b/>
          <w:bCs/>
        </w:rPr>
        <w:t>表3-21    外部救援联系方式表</w:t>
      </w:r>
    </w:p>
    <w:tbl>
      <w:tblPr>
        <w:tblStyle w:val="21"/>
        <w:tblpPr w:leftFromText="180" w:rightFromText="180" w:vertAnchor="text" w:tblpXSpec="center" w:tblpY="1"/>
        <w:tblOverlap w:val="never"/>
        <w:tblW w:w="9286"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2745"/>
        <w:gridCol w:w="2747"/>
        <w:gridCol w:w="3794"/>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2745" w:type="dxa"/>
            <w:vAlign w:val="center"/>
          </w:tcPr>
          <w:p>
            <w:pPr>
              <w:pStyle w:val="45"/>
              <w:framePr w:wrap="auto" w:vAnchor="margin" w:hAnchor="text" w:yAlign="inline"/>
              <w:rPr>
                <w:b/>
                <w:bCs/>
                <w:color w:val="000000"/>
              </w:rPr>
            </w:pPr>
            <w:r>
              <w:rPr>
                <w:rFonts w:hint="eastAsia"/>
                <w:b/>
                <w:bCs/>
                <w:color w:val="000000"/>
              </w:rPr>
              <w:t>顺序</w:t>
            </w:r>
          </w:p>
        </w:tc>
        <w:tc>
          <w:tcPr>
            <w:tcW w:w="2747" w:type="dxa"/>
            <w:vAlign w:val="center"/>
          </w:tcPr>
          <w:p>
            <w:pPr>
              <w:pStyle w:val="45"/>
              <w:framePr w:wrap="auto" w:vAnchor="margin" w:hAnchor="text" w:yAlign="inline"/>
              <w:rPr>
                <w:b/>
                <w:bCs/>
                <w:color w:val="000000"/>
              </w:rPr>
            </w:pPr>
            <w:r>
              <w:rPr>
                <w:rFonts w:hint="eastAsia"/>
                <w:b/>
                <w:bCs/>
                <w:color w:val="000000"/>
              </w:rPr>
              <w:t>部门</w:t>
            </w:r>
          </w:p>
        </w:tc>
        <w:tc>
          <w:tcPr>
            <w:tcW w:w="3794" w:type="dxa"/>
            <w:vAlign w:val="center"/>
          </w:tcPr>
          <w:p>
            <w:pPr>
              <w:pStyle w:val="45"/>
              <w:framePr w:wrap="auto" w:vAnchor="margin" w:hAnchor="text" w:yAlign="inline"/>
              <w:rPr>
                <w:b/>
                <w:bCs/>
                <w:color w:val="000000"/>
              </w:rPr>
            </w:pPr>
            <w:r>
              <w:rPr>
                <w:rFonts w:hint="eastAsia"/>
                <w:b/>
                <w:bCs/>
                <w:color w:val="000000"/>
              </w:rPr>
              <w:t>联系电话</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2745" w:type="dxa"/>
            <w:vAlign w:val="center"/>
          </w:tcPr>
          <w:p>
            <w:pPr>
              <w:pStyle w:val="45"/>
              <w:framePr w:wrap="auto" w:vAnchor="margin" w:hAnchor="text" w:yAlign="inline"/>
              <w:rPr>
                <w:color w:val="000000"/>
                <w:kern w:val="2"/>
              </w:rPr>
            </w:pPr>
            <w:r>
              <w:rPr>
                <w:color w:val="000000"/>
                <w:kern w:val="2"/>
              </w:rPr>
              <w:t>1</w:t>
            </w:r>
          </w:p>
        </w:tc>
        <w:tc>
          <w:tcPr>
            <w:tcW w:w="2747" w:type="dxa"/>
            <w:vAlign w:val="center"/>
          </w:tcPr>
          <w:p>
            <w:pPr>
              <w:pStyle w:val="45"/>
              <w:framePr w:wrap="auto" w:vAnchor="margin" w:hAnchor="text" w:yAlign="inline"/>
              <w:rPr>
                <w:color w:val="000000"/>
                <w:kern w:val="2"/>
              </w:rPr>
            </w:pPr>
            <w:r>
              <w:rPr>
                <w:rFonts w:hint="eastAsia"/>
                <w:color w:val="000000"/>
                <w:kern w:val="2"/>
              </w:rPr>
              <w:t>公安局</w:t>
            </w:r>
          </w:p>
        </w:tc>
        <w:tc>
          <w:tcPr>
            <w:tcW w:w="3794" w:type="dxa"/>
            <w:vAlign w:val="center"/>
          </w:tcPr>
          <w:p>
            <w:pPr>
              <w:pStyle w:val="45"/>
              <w:framePr w:wrap="auto" w:vAnchor="margin" w:hAnchor="text" w:yAlign="inline"/>
              <w:rPr>
                <w:color w:val="000000"/>
                <w:kern w:val="2"/>
              </w:rPr>
            </w:pPr>
            <w:r>
              <w:rPr>
                <w:color w:val="000000"/>
                <w:kern w:val="2"/>
              </w:rPr>
              <w:t>110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2745" w:type="dxa"/>
            <w:vAlign w:val="center"/>
          </w:tcPr>
          <w:p>
            <w:pPr>
              <w:pStyle w:val="45"/>
              <w:framePr w:wrap="auto" w:vAnchor="margin" w:hAnchor="text" w:yAlign="inline"/>
              <w:rPr>
                <w:color w:val="000000"/>
                <w:kern w:val="2"/>
              </w:rPr>
            </w:pPr>
            <w:r>
              <w:rPr>
                <w:color w:val="000000"/>
                <w:kern w:val="2"/>
              </w:rPr>
              <w:t>2</w:t>
            </w:r>
          </w:p>
        </w:tc>
        <w:tc>
          <w:tcPr>
            <w:tcW w:w="2747" w:type="dxa"/>
            <w:vAlign w:val="center"/>
          </w:tcPr>
          <w:p>
            <w:pPr>
              <w:pStyle w:val="45"/>
              <w:framePr w:wrap="auto" w:vAnchor="margin" w:hAnchor="text" w:yAlign="inline"/>
              <w:rPr>
                <w:color w:val="000000"/>
                <w:kern w:val="2"/>
              </w:rPr>
            </w:pPr>
            <w:r>
              <w:rPr>
                <w:rFonts w:hint="eastAsia"/>
                <w:color w:val="000000"/>
                <w:kern w:val="2"/>
              </w:rPr>
              <w:t>消防电话</w:t>
            </w:r>
          </w:p>
        </w:tc>
        <w:tc>
          <w:tcPr>
            <w:tcW w:w="3794" w:type="dxa"/>
            <w:vAlign w:val="center"/>
          </w:tcPr>
          <w:p>
            <w:pPr>
              <w:pStyle w:val="45"/>
              <w:framePr w:wrap="auto" w:vAnchor="margin" w:hAnchor="text" w:yAlign="inline"/>
              <w:rPr>
                <w:color w:val="000000"/>
                <w:kern w:val="2"/>
              </w:rPr>
            </w:pPr>
            <w:r>
              <w:rPr>
                <w:color w:val="000000"/>
                <w:kern w:val="2"/>
              </w:rPr>
              <w:t>119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2745" w:type="dxa"/>
            <w:vAlign w:val="center"/>
          </w:tcPr>
          <w:p>
            <w:pPr>
              <w:pStyle w:val="45"/>
              <w:framePr w:wrap="auto" w:vAnchor="margin" w:hAnchor="text" w:yAlign="inline"/>
              <w:rPr>
                <w:color w:val="000000"/>
                <w:kern w:val="2"/>
              </w:rPr>
            </w:pPr>
            <w:r>
              <w:rPr>
                <w:color w:val="000000"/>
                <w:kern w:val="2"/>
              </w:rPr>
              <w:t>3</w:t>
            </w:r>
          </w:p>
        </w:tc>
        <w:tc>
          <w:tcPr>
            <w:tcW w:w="2747" w:type="dxa"/>
            <w:vAlign w:val="center"/>
          </w:tcPr>
          <w:p>
            <w:pPr>
              <w:pStyle w:val="45"/>
              <w:framePr w:wrap="auto" w:vAnchor="margin" w:hAnchor="text" w:yAlign="inline"/>
              <w:rPr>
                <w:color w:val="000000"/>
                <w:kern w:val="2"/>
              </w:rPr>
            </w:pPr>
            <w:r>
              <w:rPr>
                <w:rFonts w:hint="eastAsia"/>
                <w:color w:val="000000"/>
                <w:kern w:val="2"/>
              </w:rPr>
              <w:t>急救电话</w:t>
            </w:r>
          </w:p>
        </w:tc>
        <w:tc>
          <w:tcPr>
            <w:tcW w:w="3794" w:type="dxa"/>
            <w:vAlign w:val="center"/>
          </w:tcPr>
          <w:p>
            <w:pPr>
              <w:pStyle w:val="45"/>
              <w:framePr w:wrap="auto" w:vAnchor="margin" w:hAnchor="text" w:yAlign="inline"/>
              <w:rPr>
                <w:color w:val="000000"/>
                <w:kern w:val="2"/>
              </w:rPr>
            </w:pPr>
            <w:r>
              <w:rPr>
                <w:color w:val="000000"/>
                <w:kern w:val="2"/>
              </w:rPr>
              <w:t>120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2745" w:type="dxa"/>
            <w:vAlign w:val="center"/>
          </w:tcPr>
          <w:p>
            <w:pPr>
              <w:pStyle w:val="45"/>
              <w:framePr w:wrap="auto" w:vAnchor="margin" w:hAnchor="text" w:yAlign="inline"/>
              <w:rPr>
                <w:color w:val="000000"/>
                <w:kern w:val="2"/>
              </w:rPr>
            </w:pPr>
            <w:r>
              <w:rPr>
                <w:color w:val="000000"/>
                <w:kern w:val="2"/>
              </w:rPr>
              <w:t>4</w:t>
            </w:r>
          </w:p>
        </w:tc>
        <w:tc>
          <w:tcPr>
            <w:tcW w:w="2747" w:type="dxa"/>
            <w:vAlign w:val="center"/>
          </w:tcPr>
          <w:p>
            <w:pPr>
              <w:pStyle w:val="45"/>
              <w:framePr w:wrap="auto" w:vAnchor="margin" w:hAnchor="text" w:yAlign="inline"/>
              <w:rPr>
                <w:color w:val="000000"/>
                <w:kern w:val="2"/>
              </w:rPr>
            </w:pPr>
            <w:r>
              <w:rPr>
                <w:rFonts w:hint="eastAsia"/>
                <w:color w:val="000000"/>
                <w:kern w:val="2"/>
              </w:rPr>
              <w:t>环境监督举报电话</w:t>
            </w:r>
          </w:p>
        </w:tc>
        <w:tc>
          <w:tcPr>
            <w:tcW w:w="3794" w:type="dxa"/>
            <w:vAlign w:val="center"/>
          </w:tcPr>
          <w:p>
            <w:pPr>
              <w:pStyle w:val="45"/>
              <w:framePr w:wrap="auto" w:vAnchor="margin" w:hAnchor="text" w:yAlign="inline"/>
              <w:rPr>
                <w:color w:val="000000"/>
                <w:kern w:val="2"/>
              </w:rPr>
            </w:pPr>
            <w:r>
              <w:rPr>
                <w:color w:val="000000"/>
                <w:kern w:val="2"/>
              </w:rPr>
              <w:t>12369</w:t>
            </w:r>
          </w:p>
        </w:tc>
      </w:tr>
    </w:tbl>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rFonts w:hint="eastAsia"/>
          <w:b/>
          <w:bCs/>
        </w:rPr>
      </w:pPr>
    </w:p>
    <w:p>
      <w:pPr>
        <w:pStyle w:val="19"/>
        <w:tabs>
          <w:tab w:val="center" w:pos="4153"/>
          <w:tab w:val="left" w:pos="6845"/>
        </w:tabs>
        <w:spacing w:line="360" w:lineRule="auto"/>
        <w:rPr>
          <w:b/>
          <w:bCs/>
        </w:rPr>
      </w:pPr>
      <w:r>
        <w:rPr>
          <w:rFonts w:hint="eastAsia"/>
          <w:b/>
          <w:bCs/>
        </w:rPr>
        <w:t>表3-22  外部主管部门应急联系方式表</w:t>
      </w:r>
    </w:p>
    <w:tbl>
      <w:tblPr>
        <w:tblStyle w:val="21"/>
        <w:tblpPr w:leftFromText="180" w:rightFromText="180" w:vertAnchor="text" w:tblpXSpec="center" w:tblpY="1"/>
        <w:tblOverlap w:val="never"/>
        <w:tblW w:w="9286"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809"/>
        <w:gridCol w:w="3683"/>
        <w:gridCol w:w="3794"/>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b/>
                <w:bCs/>
                <w:color w:val="000000"/>
              </w:rPr>
            </w:pPr>
            <w:r>
              <w:rPr>
                <w:rFonts w:hint="eastAsia"/>
                <w:b/>
                <w:bCs/>
                <w:color w:val="000000"/>
              </w:rPr>
              <w:t>顺序</w:t>
            </w:r>
          </w:p>
        </w:tc>
        <w:tc>
          <w:tcPr>
            <w:tcW w:w="3683" w:type="dxa"/>
            <w:vAlign w:val="center"/>
          </w:tcPr>
          <w:p>
            <w:pPr>
              <w:pStyle w:val="45"/>
              <w:framePr w:wrap="auto" w:vAnchor="margin" w:hAnchor="text" w:yAlign="inline"/>
              <w:rPr>
                <w:b/>
                <w:bCs/>
                <w:color w:val="000000"/>
              </w:rPr>
            </w:pPr>
            <w:r>
              <w:rPr>
                <w:rFonts w:hint="eastAsia"/>
                <w:b/>
                <w:bCs/>
                <w:color w:val="000000"/>
              </w:rPr>
              <w:t>部门</w:t>
            </w:r>
          </w:p>
        </w:tc>
        <w:tc>
          <w:tcPr>
            <w:tcW w:w="3794" w:type="dxa"/>
            <w:vAlign w:val="center"/>
          </w:tcPr>
          <w:p>
            <w:pPr>
              <w:pStyle w:val="45"/>
              <w:framePr w:wrap="auto" w:vAnchor="margin" w:hAnchor="text" w:yAlign="inline"/>
              <w:rPr>
                <w:b/>
                <w:bCs/>
                <w:color w:val="000000"/>
              </w:rPr>
            </w:pPr>
            <w:r>
              <w:rPr>
                <w:rFonts w:hint="eastAsia"/>
                <w:b/>
                <w:bCs/>
                <w:color w:val="000000"/>
              </w:rPr>
              <w:t>联系电话</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color w:val="000000"/>
                <w:kern w:val="2"/>
              </w:rPr>
            </w:pPr>
            <w:r>
              <w:rPr>
                <w:color w:val="000000"/>
                <w:kern w:val="2"/>
              </w:rPr>
              <w:t>1</w:t>
            </w:r>
          </w:p>
        </w:tc>
        <w:tc>
          <w:tcPr>
            <w:tcW w:w="3683" w:type="dxa"/>
            <w:vAlign w:val="center"/>
          </w:tcPr>
          <w:p>
            <w:pPr>
              <w:pStyle w:val="45"/>
              <w:framePr w:wrap="auto" w:vAnchor="margin" w:hAnchor="text" w:yAlign="inline"/>
              <w:rPr>
                <w:color w:val="000000"/>
                <w:kern w:val="2"/>
              </w:rPr>
            </w:pPr>
            <w:r>
              <w:rPr>
                <w:rFonts w:hint="eastAsia"/>
                <w:color w:val="000000"/>
              </w:rPr>
              <w:t>湖口县</w:t>
            </w:r>
            <w:r>
              <w:rPr>
                <w:rFonts w:hint="eastAsia"/>
                <w:color w:val="000000"/>
                <w:kern w:val="2"/>
              </w:rPr>
              <w:t>政府应急办</w:t>
            </w:r>
          </w:p>
        </w:tc>
        <w:tc>
          <w:tcPr>
            <w:tcW w:w="3794" w:type="dxa"/>
            <w:vAlign w:val="center"/>
          </w:tcPr>
          <w:p>
            <w:pPr>
              <w:pStyle w:val="46"/>
              <w:spacing w:before="72" w:after="72"/>
              <w:ind w:firstLine="0"/>
              <w:jc w:val="center"/>
              <w:rPr>
                <w:color w:val="000000"/>
              </w:rPr>
            </w:pPr>
            <w:r>
              <w:rPr>
                <w:color w:val="000000"/>
              </w:rPr>
              <w:t>0792-6332113</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color w:val="000000"/>
                <w:kern w:val="2"/>
              </w:rPr>
            </w:pPr>
            <w:r>
              <w:rPr>
                <w:color w:val="000000"/>
                <w:kern w:val="2"/>
              </w:rPr>
              <w:t>2</w:t>
            </w:r>
          </w:p>
        </w:tc>
        <w:tc>
          <w:tcPr>
            <w:tcW w:w="3683" w:type="dxa"/>
            <w:vAlign w:val="center"/>
          </w:tcPr>
          <w:p>
            <w:pPr>
              <w:pStyle w:val="45"/>
              <w:framePr w:wrap="auto" w:vAnchor="margin" w:hAnchor="text" w:yAlign="inline"/>
              <w:rPr>
                <w:color w:val="000000"/>
                <w:kern w:val="2"/>
              </w:rPr>
            </w:pPr>
            <w:r>
              <w:rPr>
                <w:rFonts w:hint="eastAsia"/>
                <w:color w:val="000000"/>
                <w:lang w:eastAsia="zh-CN"/>
              </w:rPr>
              <w:t>九江市</w:t>
            </w:r>
            <w:r>
              <w:rPr>
                <w:rFonts w:hint="eastAsia"/>
                <w:color w:val="000000"/>
              </w:rPr>
              <w:t>湖口</w:t>
            </w:r>
            <w:r>
              <w:rPr>
                <w:rFonts w:hint="eastAsia"/>
                <w:color w:val="000000"/>
                <w:kern w:val="2"/>
                <w:lang w:eastAsia="zh-CN"/>
              </w:rPr>
              <w:t>生态环境局</w:t>
            </w:r>
            <w:r>
              <w:rPr>
                <w:rFonts w:hint="eastAsia"/>
                <w:color w:val="000000"/>
                <w:kern w:val="2"/>
              </w:rPr>
              <w:t>应急值班电话</w:t>
            </w:r>
          </w:p>
        </w:tc>
        <w:tc>
          <w:tcPr>
            <w:tcW w:w="3794" w:type="dxa"/>
            <w:vAlign w:val="center"/>
          </w:tcPr>
          <w:p>
            <w:pPr>
              <w:pStyle w:val="46"/>
              <w:spacing w:before="72" w:after="72"/>
              <w:ind w:firstLine="0"/>
              <w:jc w:val="center"/>
              <w:rPr>
                <w:color w:val="000000"/>
              </w:rPr>
            </w:pPr>
            <w:r>
              <w:rPr>
                <w:color w:val="000000"/>
              </w:rPr>
              <w:t>0792-6322117</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color w:val="000000"/>
                <w:kern w:val="2"/>
              </w:rPr>
            </w:pPr>
            <w:r>
              <w:rPr>
                <w:color w:val="000000"/>
                <w:kern w:val="2"/>
              </w:rPr>
              <w:t>3</w:t>
            </w:r>
          </w:p>
        </w:tc>
        <w:tc>
          <w:tcPr>
            <w:tcW w:w="3683" w:type="dxa"/>
            <w:vAlign w:val="center"/>
          </w:tcPr>
          <w:p>
            <w:pPr>
              <w:pStyle w:val="45"/>
              <w:framePr w:wrap="auto" w:vAnchor="margin" w:hAnchor="text" w:yAlign="inline"/>
              <w:rPr>
                <w:color w:val="000000"/>
                <w:kern w:val="2"/>
              </w:rPr>
            </w:pPr>
            <w:r>
              <w:rPr>
                <w:rFonts w:hint="eastAsia"/>
                <w:color w:val="000000"/>
              </w:rPr>
              <w:t>九江市政府应急办</w:t>
            </w:r>
          </w:p>
        </w:tc>
        <w:tc>
          <w:tcPr>
            <w:tcW w:w="3794" w:type="dxa"/>
            <w:vAlign w:val="center"/>
          </w:tcPr>
          <w:p>
            <w:pPr>
              <w:pStyle w:val="46"/>
              <w:spacing w:before="72" w:after="72"/>
              <w:ind w:firstLine="0"/>
              <w:jc w:val="center"/>
              <w:rPr>
                <w:color w:val="000000"/>
              </w:rPr>
            </w:pPr>
            <w:r>
              <w:rPr>
                <w:color w:val="000000"/>
              </w:rPr>
              <w:t>0792-8223172</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color w:val="000000"/>
                <w:kern w:val="2"/>
              </w:rPr>
            </w:pPr>
            <w:r>
              <w:rPr>
                <w:color w:val="000000"/>
                <w:kern w:val="2"/>
              </w:rPr>
              <w:t>4</w:t>
            </w:r>
          </w:p>
        </w:tc>
        <w:tc>
          <w:tcPr>
            <w:tcW w:w="3683" w:type="dxa"/>
            <w:vAlign w:val="center"/>
          </w:tcPr>
          <w:p>
            <w:pPr>
              <w:pStyle w:val="45"/>
              <w:framePr w:wrap="auto" w:vAnchor="margin" w:hAnchor="text" w:yAlign="inline"/>
              <w:rPr>
                <w:color w:val="000000"/>
                <w:kern w:val="2"/>
              </w:rPr>
            </w:pPr>
            <w:r>
              <w:rPr>
                <w:rFonts w:hint="eastAsia"/>
                <w:color w:val="000000"/>
              </w:rPr>
              <w:t>九江市</w:t>
            </w:r>
            <w:r>
              <w:rPr>
                <w:rFonts w:hint="eastAsia"/>
                <w:color w:val="000000"/>
                <w:kern w:val="2"/>
                <w:lang w:eastAsia="zh-CN"/>
              </w:rPr>
              <w:t>生态环境局</w:t>
            </w:r>
            <w:r>
              <w:rPr>
                <w:rFonts w:hint="eastAsia"/>
                <w:color w:val="000000"/>
                <w:kern w:val="2"/>
              </w:rPr>
              <w:t>应急值班电话</w:t>
            </w:r>
          </w:p>
        </w:tc>
        <w:tc>
          <w:tcPr>
            <w:tcW w:w="3794" w:type="dxa"/>
            <w:vAlign w:val="center"/>
          </w:tcPr>
          <w:p>
            <w:pPr>
              <w:pStyle w:val="46"/>
              <w:spacing w:before="72" w:after="72"/>
              <w:ind w:firstLine="0"/>
              <w:jc w:val="center"/>
              <w:rPr>
                <w:color w:val="000000"/>
              </w:rPr>
            </w:pPr>
            <w:r>
              <w:rPr>
                <w:color w:val="000000"/>
              </w:rPr>
              <w:t>0792-8584349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84" w:hRule="atLeast"/>
          <w:jc w:val="center"/>
        </w:trPr>
        <w:tc>
          <w:tcPr>
            <w:tcW w:w="1809" w:type="dxa"/>
            <w:vAlign w:val="center"/>
          </w:tcPr>
          <w:p>
            <w:pPr>
              <w:pStyle w:val="45"/>
              <w:framePr w:wrap="auto" w:vAnchor="margin" w:hAnchor="text" w:yAlign="inline"/>
              <w:rPr>
                <w:color w:val="000000"/>
                <w:kern w:val="2"/>
              </w:rPr>
            </w:pPr>
            <w:r>
              <w:rPr>
                <w:color w:val="000000"/>
                <w:kern w:val="2"/>
              </w:rPr>
              <w:t>5</w:t>
            </w:r>
          </w:p>
        </w:tc>
        <w:tc>
          <w:tcPr>
            <w:tcW w:w="3683" w:type="dxa"/>
            <w:vAlign w:val="center"/>
          </w:tcPr>
          <w:p>
            <w:pPr>
              <w:pStyle w:val="45"/>
              <w:framePr w:wrap="auto" w:vAnchor="margin" w:hAnchor="text" w:yAlign="inline"/>
              <w:rPr>
                <w:color w:val="000000"/>
                <w:kern w:val="2"/>
              </w:rPr>
            </w:pPr>
            <w:r>
              <w:rPr>
                <w:rFonts w:hint="eastAsia"/>
                <w:color w:val="000000"/>
                <w:kern w:val="2"/>
              </w:rPr>
              <w:t>江西省</w:t>
            </w:r>
            <w:r>
              <w:rPr>
                <w:rFonts w:hint="eastAsia"/>
                <w:color w:val="000000"/>
                <w:kern w:val="2"/>
                <w:lang w:eastAsia="zh-CN"/>
              </w:rPr>
              <w:t>生态环境厅</w:t>
            </w:r>
            <w:r>
              <w:rPr>
                <w:rFonts w:hint="eastAsia"/>
                <w:color w:val="000000"/>
                <w:kern w:val="2"/>
              </w:rPr>
              <w:t>应急值班电话</w:t>
            </w:r>
          </w:p>
        </w:tc>
        <w:tc>
          <w:tcPr>
            <w:tcW w:w="3794" w:type="dxa"/>
            <w:vAlign w:val="center"/>
          </w:tcPr>
          <w:p>
            <w:pPr>
              <w:pStyle w:val="46"/>
              <w:spacing w:before="72" w:after="72"/>
              <w:ind w:firstLine="0"/>
              <w:jc w:val="center"/>
              <w:rPr>
                <w:color w:val="000000"/>
              </w:rPr>
            </w:pPr>
            <w:r>
              <w:rPr>
                <w:color w:val="000000"/>
              </w:rPr>
              <w:t>0791-8596532</w:t>
            </w:r>
          </w:p>
        </w:tc>
      </w:tr>
    </w:tbl>
    <w:p>
      <w:pPr>
        <w:pStyle w:val="19"/>
        <w:spacing w:beforeLines="50" w:line="360" w:lineRule="auto"/>
        <w:ind w:firstLine="482" w:firstLineChars="200"/>
        <w:jc w:val="both"/>
        <w:rPr>
          <w:rFonts w:ascii="宋体" w:hAnsi="宋体" w:cs="宋体"/>
          <w:b/>
          <w:bCs/>
        </w:rPr>
      </w:pPr>
      <w:r>
        <w:rPr>
          <w:rFonts w:hint="eastAsia" w:ascii="宋体" w:hAnsi="宋体" w:cs="宋体"/>
          <w:b/>
          <w:bCs/>
        </w:rPr>
        <w:t>3.</w:t>
      </w:r>
      <w:r>
        <w:rPr>
          <w:rFonts w:hint="eastAsia" w:ascii="宋体" w:hAnsi="宋体" w:cs="宋体"/>
          <w:b/>
          <w:bCs/>
          <w:lang w:val="en-US" w:eastAsia="zh-CN"/>
        </w:rPr>
        <w:t>9</w:t>
      </w:r>
      <w:r>
        <w:rPr>
          <w:rFonts w:hint="eastAsia" w:ascii="宋体" w:hAnsi="宋体" w:cs="宋体"/>
          <w:b/>
          <w:bCs/>
        </w:rPr>
        <w:t xml:space="preserve">  安全生产管理</w:t>
      </w:r>
    </w:p>
    <w:p>
      <w:pPr>
        <w:pStyle w:val="20"/>
        <w:ind w:firstLine="480"/>
      </w:pPr>
      <w:r>
        <w:rPr>
          <w:rFonts w:hint="eastAsia"/>
        </w:rPr>
        <w:t xml:space="preserve">经过多年的发展，目前污水处理厂已经在安全、环保管理方面形成了较为完善的规章制度和组织机构，如部长、班长岗位责任制、交接班制度、安全生产运营责任制，以及各个岗位的操作规程。除此之外，公司领导班子还在组织机构上加强了对安全、环保的管理，成立了事故应急指挥中心、环保领导小组等机构，配备有专职安全环保管理人员，具体负责公司日常的安全环保管理、检查和技术措施的落实，事故隐患整改、安全教育组织培训，这在一定程度上降低了事故发生的可能性。环境保护制度和标准化作业规范包括但不限于以下环境管理作业规范： </w:t>
      </w:r>
    </w:p>
    <w:p>
      <w:pPr>
        <w:pStyle w:val="20"/>
        <w:ind w:firstLine="480"/>
      </w:pPr>
      <w:r>
        <w:rPr>
          <w:rFonts w:hint="eastAsia"/>
        </w:rPr>
        <w:t xml:space="preserve">（1）新、改、扩建项目严格执行环境保护“三同时”制度； </w:t>
      </w:r>
    </w:p>
    <w:p>
      <w:pPr>
        <w:pStyle w:val="20"/>
        <w:ind w:firstLine="480"/>
      </w:pPr>
      <w:r>
        <w:rPr>
          <w:rFonts w:hint="eastAsia"/>
        </w:rPr>
        <w:t xml:space="preserve">（2）污水检测和日常检查制度； </w:t>
      </w:r>
    </w:p>
    <w:p>
      <w:pPr>
        <w:pStyle w:val="20"/>
        <w:ind w:firstLine="480"/>
      </w:pPr>
      <w:r>
        <w:rPr>
          <w:rFonts w:hint="eastAsia"/>
        </w:rPr>
        <w:t xml:space="preserve">（3）污水处理设施操作规程； </w:t>
      </w:r>
    </w:p>
    <w:p>
      <w:pPr>
        <w:pStyle w:val="20"/>
        <w:ind w:firstLine="480"/>
      </w:pPr>
      <w:r>
        <w:rPr>
          <w:rFonts w:hint="eastAsia"/>
        </w:rPr>
        <w:t xml:space="preserve">（4）化学药品、污泥运输安全管理制度； </w:t>
      </w:r>
    </w:p>
    <w:p>
      <w:pPr>
        <w:pStyle w:val="20"/>
        <w:ind w:firstLine="480"/>
      </w:pPr>
      <w:r>
        <w:rPr>
          <w:rFonts w:hint="eastAsia"/>
        </w:rPr>
        <w:t xml:space="preserve">（5）各个车间如污泥车间等安全管理制度； </w:t>
      </w:r>
    </w:p>
    <w:p>
      <w:pPr>
        <w:pStyle w:val="20"/>
        <w:ind w:firstLine="480"/>
      </w:pPr>
      <w:r>
        <w:rPr>
          <w:rFonts w:hint="eastAsia"/>
        </w:rPr>
        <w:t>（6）现场各设施运维作业操作规定等。</w:t>
      </w:r>
    </w:p>
    <w:p>
      <w:pPr>
        <w:pStyle w:val="19"/>
        <w:spacing w:line="360" w:lineRule="auto"/>
        <w:ind w:firstLine="480" w:firstLineChars="200"/>
        <w:jc w:val="both"/>
      </w:pPr>
    </w:p>
    <w:p>
      <w:pPr>
        <w:pStyle w:val="19"/>
        <w:spacing w:line="360" w:lineRule="auto"/>
        <w:ind w:firstLine="480" w:firstLineChars="200"/>
        <w:jc w:val="both"/>
      </w:pPr>
    </w:p>
    <w:p>
      <w:pPr>
        <w:pStyle w:val="19"/>
        <w:spacing w:line="360" w:lineRule="auto"/>
        <w:ind w:firstLine="480" w:firstLineChars="200"/>
        <w:jc w:val="both"/>
      </w:pPr>
    </w:p>
    <w:p>
      <w:pPr>
        <w:pStyle w:val="35"/>
        <w:ind w:firstLine="0" w:firstLineChars="0"/>
        <w:rPr>
          <w:rFonts w:hint="eastAsia"/>
          <w:color w:val="000000"/>
        </w:rPr>
      </w:pPr>
      <w:bookmarkStart w:id="13" w:name="_Toc4587"/>
      <w:bookmarkStart w:id="14" w:name="_Toc5780669"/>
      <w:bookmarkStart w:id="15" w:name="_Toc529952559"/>
      <w:bookmarkStart w:id="16" w:name="_Toc9002587"/>
      <w:bookmarkStart w:id="17" w:name="_Toc529953235"/>
      <w:bookmarkStart w:id="18" w:name="_Toc31307_WPSOffice_Level1"/>
      <w:bookmarkStart w:id="19" w:name="_Toc5781216"/>
      <w:bookmarkStart w:id="20" w:name="_Toc9002326"/>
    </w:p>
    <w:p>
      <w:pPr>
        <w:pStyle w:val="35"/>
        <w:ind w:firstLine="0" w:firstLineChars="0"/>
        <w:rPr>
          <w:rFonts w:hint="eastAsia"/>
          <w:color w:val="000000"/>
        </w:rPr>
      </w:pPr>
    </w:p>
    <w:p>
      <w:pPr>
        <w:pStyle w:val="35"/>
        <w:ind w:firstLine="0" w:firstLineChars="0"/>
        <w:rPr>
          <w:rFonts w:hint="eastAsia"/>
          <w:color w:val="000000"/>
        </w:rPr>
      </w:pPr>
    </w:p>
    <w:p>
      <w:pPr>
        <w:pStyle w:val="35"/>
        <w:ind w:firstLine="0" w:firstLineChars="0"/>
        <w:rPr>
          <w:rFonts w:hint="eastAsia"/>
          <w:color w:val="000000"/>
        </w:rPr>
      </w:pPr>
    </w:p>
    <w:p>
      <w:pPr>
        <w:pStyle w:val="35"/>
        <w:ind w:firstLine="0" w:firstLineChars="0"/>
        <w:rPr>
          <w:rFonts w:hint="eastAsia"/>
          <w:color w:val="000000"/>
        </w:rPr>
      </w:pPr>
    </w:p>
    <w:p>
      <w:pPr>
        <w:pStyle w:val="35"/>
        <w:ind w:firstLine="0" w:firstLineChars="0"/>
        <w:rPr>
          <w:rFonts w:hint="eastAsia"/>
          <w:color w:val="000000"/>
        </w:rPr>
      </w:pPr>
    </w:p>
    <w:p>
      <w:pPr>
        <w:pStyle w:val="35"/>
        <w:ind w:firstLine="0" w:firstLineChars="0"/>
        <w:rPr>
          <w:rFonts w:hint="eastAsia"/>
          <w:color w:val="000000"/>
        </w:rPr>
      </w:pPr>
    </w:p>
    <w:p>
      <w:pPr>
        <w:pStyle w:val="3"/>
        <w:jc w:val="both"/>
        <w:rPr>
          <w:color w:val="000000"/>
        </w:rPr>
      </w:pPr>
      <w:r>
        <w:rPr>
          <w:color w:val="000000"/>
        </w:rPr>
        <w:t>4</w:t>
      </w:r>
      <w:r>
        <w:rPr>
          <w:rFonts w:hAnsi="宋体"/>
          <w:color w:val="000000"/>
        </w:rPr>
        <w:t>突发环境事件及后果分析</w:t>
      </w:r>
      <w:bookmarkEnd w:id="13"/>
      <w:bookmarkEnd w:id="14"/>
      <w:bookmarkEnd w:id="15"/>
      <w:bookmarkEnd w:id="16"/>
      <w:bookmarkEnd w:id="17"/>
      <w:bookmarkEnd w:id="18"/>
      <w:bookmarkEnd w:id="19"/>
      <w:bookmarkEnd w:id="20"/>
    </w:p>
    <w:p>
      <w:pPr>
        <w:pStyle w:val="5"/>
        <w:ind w:firstLine="482" w:firstLineChars="200"/>
        <w:rPr>
          <w:color w:val="000000"/>
        </w:rPr>
      </w:pPr>
      <w:bookmarkStart w:id="21" w:name="_Toc9002327"/>
      <w:bookmarkStart w:id="22" w:name="_Toc25460_WPSOffice_Level1"/>
      <w:bookmarkStart w:id="23" w:name="_Toc17603"/>
      <w:bookmarkStart w:id="24" w:name="_Toc529953236"/>
      <w:bookmarkStart w:id="25" w:name="_Toc5780670"/>
      <w:bookmarkStart w:id="26" w:name="_Toc9002588"/>
      <w:bookmarkStart w:id="27" w:name="_Toc529952560"/>
      <w:bookmarkStart w:id="28" w:name="_Toc5781217"/>
      <w:r>
        <w:rPr>
          <w:color w:val="000000"/>
        </w:rPr>
        <w:t>4.1</w:t>
      </w:r>
      <w:r>
        <w:rPr>
          <w:rFonts w:hAnsi="宋体"/>
          <w:color w:val="000000"/>
        </w:rPr>
        <w:t>突发环境事件情景分析</w:t>
      </w:r>
      <w:bookmarkEnd w:id="21"/>
      <w:bookmarkEnd w:id="22"/>
      <w:bookmarkEnd w:id="23"/>
      <w:bookmarkEnd w:id="24"/>
      <w:bookmarkEnd w:id="25"/>
      <w:bookmarkEnd w:id="26"/>
      <w:bookmarkEnd w:id="27"/>
      <w:bookmarkEnd w:id="28"/>
    </w:p>
    <w:p>
      <w:pPr>
        <w:pStyle w:val="5"/>
        <w:ind w:firstLine="482" w:firstLineChars="200"/>
        <w:rPr>
          <w:color w:val="000000"/>
        </w:rPr>
      </w:pPr>
      <w:bookmarkStart w:id="29" w:name="_Toc9002589"/>
      <w:bookmarkStart w:id="30" w:name="_Toc428904851"/>
      <w:bookmarkStart w:id="31" w:name="_Toc31569"/>
      <w:bookmarkStart w:id="32" w:name="_Toc9002328"/>
      <w:bookmarkStart w:id="33" w:name="_Toc529953237"/>
      <w:bookmarkStart w:id="34" w:name="_Toc5781218"/>
      <w:bookmarkStart w:id="35" w:name="_Toc10521"/>
      <w:bookmarkStart w:id="36" w:name="_Toc455741294"/>
      <w:bookmarkStart w:id="37" w:name="_Toc529952561"/>
      <w:r>
        <w:rPr>
          <w:color w:val="000000"/>
        </w:rPr>
        <w:t>4.1.1国内外同类企业突发环境事件资料</w:t>
      </w:r>
      <w:bookmarkEnd w:id="29"/>
      <w:bookmarkEnd w:id="30"/>
      <w:bookmarkEnd w:id="31"/>
      <w:bookmarkEnd w:id="32"/>
      <w:bookmarkEnd w:id="33"/>
      <w:bookmarkEnd w:id="34"/>
      <w:bookmarkEnd w:id="35"/>
      <w:bookmarkEnd w:id="36"/>
      <w:bookmarkEnd w:id="37"/>
    </w:p>
    <w:p>
      <w:pPr>
        <w:pStyle w:val="20"/>
        <w:ind w:firstLine="480"/>
      </w:pPr>
      <w:r>
        <w:rPr>
          <w:rFonts w:hint="eastAsia"/>
        </w:rPr>
        <w:t>①、</w:t>
      </w:r>
      <w:r>
        <w:t xml:space="preserve">2018 </w:t>
      </w:r>
      <w:r>
        <w:rPr>
          <w:rFonts w:hint="eastAsia"/>
        </w:rPr>
        <w:t xml:space="preserve">年 </w:t>
      </w:r>
      <w:r>
        <w:t xml:space="preserve">3 </w:t>
      </w:r>
      <w:r>
        <w:rPr>
          <w:rFonts w:hint="eastAsia"/>
        </w:rPr>
        <w:t xml:space="preserve">月 </w:t>
      </w:r>
      <w:r>
        <w:t xml:space="preserve">9 </w:t>
      </w:r>
      <w:r>
        <w:rPr>
          <w:rFonts w:hint="eastAsia"/>
        </w:rPr>
        <w:t xml:space="preserve">日彭泽县矶山工业园污水处理厂总排口总氮排放超标，排放浓度为 </w:t>
      </w:r>
      <w:r>
        <w:t>60.5 mg/L</w:t>
      </w:r>
      <w:r>
        <w:rPr>
          <w:rFonts w:hint="eastAsia"/>
        </w:rPr>
        <w:t xml:space="preserve">，超标 </w:t>
      </w:r>
      <w:r>
        <w:t xml:space="preserve">3 </w:t>
      </w:r>
      <w:r>
        <w:rPr>
          <w:rFonts w:hint="eastAsia"/>
        </w:rPr>
        <w:t xml:space="preserve">倍，江西省环境保护厅对其处以罚款六十万元的行政处罚。 </w:t>
      </w:r>
    </w:p>
    <w:p>
      <w:pPr>
        <w:ind w:firstLine="480"/>
      </w:pPr>
      <w:r>
        <w:rPr>
          <w:rFonts w:hint="eastAsia"/>
        </w:rPr>
        <w:t>②2017 年 1 月 9 日，江阴市环保局对江阴市华丰污水处理有限公司进行监督监测，对该公司排放口所采水样分析，总磷排放浓度为 1.93mg/L，超过国家标准 2.86 倍。2017 年 1 月23 日江阴市环保局对该公司下发责令改正违法行为决定书，责令其立即停止违法排污行为，并处罚款 6.3242 万元。2017 年 2 月 13 日进行现场复查，对该公司排放口所采水样分析，总磷排放浓度为 0.966mg/L，超过国家标准 0.93 倍，其超标排污行为仍未得到改正。江阴市环保局对该公司拒不改正废水超标排放的环境违法行为实施按日连续处罚，处罚款 132.8082万元。</w:t>
      </w:r>
    </w:p>
    <w:p>
      <w:pPr>
        <w:ind w:firstLine="482"/>
        <w:rPr>
          <w:b/>
          <w:bCs/>
        </w:rPr>
      </w:pPr>
      <w:bookmarkStart w:id="38" w:name="_Toc29558"/>
      <w:r>
        <w:rPr>
          <w:b/>
          <w:bCs/>
        </w:rPr>
        <w:t>4.</w:t>
      </w:r>
      <w:r>
        <w:rPr>
          <w:rFonts w:hint="eastAsia"/>
          <w:b/>
          <w:bCs/>
        </w:rPr>
        <w:t>1.2</w:t>
      </w:r>
      <w:r>
        <w:rPr>
          <w:b/>
          <w:bCs/>
        </w:rPr>
        <w:t>突发环境事故类型分析</w:t>
      </w:r>
      <w:bookmarkEnd w:id="38"/>
    </w:p>
    <w:p>
      <w:pPr>
        <w:ind w:firstLine="480"/>
      </w:pPr>
      <w:r>
        <w:rPr>
          <w:rFonts w:hint="eastAsia"/>
        </w:rPr>
        <w:t>根据国内外事故统计资料以及污水行业本身的实际情况来看，污水处理行业事故发生通常有以下情况：</w:t>
      </w:r>
    </w:p>
    <w:p>
      <w:pPr>
        <w:ind w:firstLine="480"/>
        <w:rPr>
          <w:rFonts w:cs="Times New Roman"/>
        </w:rPr>
      </w:pPr>
      <w:r>
        <w:rPr>
          <w:rFonts w:hint="eastAsia" w:cs="Times New Roman"/>
        </w:rPr>
        <w:t>（1）出水数据超标；</w:t>
      </w:r>
    </w:p>
    <w:p>
      <w:pPr>
        <w:ind w:firstLine="480"/>
      </w:pPr>
      <w:r>
        <w:rPr>
          <w:rFonts w:hint="eastAsia"/>
        </w:rPr>
        <w:t>（2）突降暴雨（水量突增）；</w:t>
      </w:r>
    </w:p>
    <w:p>
      <w:pPr>
        <w:ind w:firstLine="480"/>
      </w:pPr>
      <w:r>
        <w:rPr>
          <w:rFonts w:hint="eastAsia"/>
        </w:rPr>
        <w:t>（3）电力中断、设备故障；</w:t>
      </w:r>
    </w:p>
    <w:p>
      <w:pPr>
        <w:pStyle w:val="12"/>
        <w:ind w:firstLine="480"/>
      </w:pPr>
      <w:r>
        <w:rPr>
          <w:rFonts w:hint="eastAsia" w:hAnsi="宋体" w:cs="Times New Roman"/>
        </w:rPr>
        <w:t>（4）危废的泄漏</w:t>
      </w:r>
    </w:p>
    <w:p>
      <w:pPr>
        <w:pStyle w:val="5"/>
        <w:ind w:firstLine="482" w:firstLineChars="200"/>
      </w:pPr>
      <w:bookmarkStart w:id="39" w:name="_Toc22992"/>
      <w:bookmarkStart w:id="40" w:name="_Toc4055"/>
      <w:bookmarkStart w:id="41" w:name="_Toc7762_WPSOffice_Level2"/>
      <w:bookmarkStart w:id="42" w:name="_Toc23909"/>
      <w:bookmarkStart w:id="43" w:name="_Toc1254"/>
      <w:bookmarkStart w:id="44" w:name="_Toc29624"/>
      <w:bookmarkStart w:id="45" w:name="_Toc27536"/>
      <w:r>
        <w:t>4.1.2</w:t>
      </w:r>
      <w:r>
        <w:rPr>
          <w:rFonts w:hint="eastAsia"/>
        </w:rPr>
        <w:t>.1出水超标</w:t>
      </w:r>
      <w:bookmarkEnd w:id="39"/>
    </w:p>
    <w:p>
      <w:pPr>
        <w:ind w:firstLine="480"/>
      </w:pPr>
      <w:r>
        <w:rPr>
          <w:rFonts w:hint="eastAsia"/>
        </w:rPr>
        <w:t>出水水质是验证污水处理厂是否正常运行的重要指标。污水处理厂出水超标将对排入的</w:t>
      </w:r>
      <w:r>
        <w:rPr>
          <w:rFonts w:hint="eastAsia"/>
          <w:lang w:eastAsia="zh-CN"/>
        </w:rPr>
        <w:t>长江</w:t>
      </w:r>
      <w:r>
        <w:rPr>
          <w:rFonts w:hint="eastAsia"/>
        </w:rPr>
        <w:t>造成严重的危害。如果影响是短期的，通过</w:t>
      </w:r>
      <w:r>
        <w:rPr>
          <w:rFonts w:hint="eastAsia"/>
          <w:lang w:eastAsia="zh-CN"/>
        </w:rPr>
        <w:t>长江</w:t>
      </w:r>
      <w:r>
        <w:rPr>
          <w:rFonts w:hint="eastAsia"/>
        </w:rPr>
        <w:t>的稀释、自然净化等作用后，危害会逐步减少，如果是长期的超标，将严重污染排入的长江，造成严重的经济和环境损失。</w:t>
      </w:r>
    </w:p>
    <w:p>
      <w:pPr>
        <w:pStyle w:val="5"/>
        <w:ind w:firstLine="482" w:firstLineChars="200"/>
      </w:pPr>
      <w:bookmarkStart w:id="46" w:name="_Toc14191"/>
      <w:r>
        <w:rPr>
          <w:rFonts w:hint="eastAsia"/>
        </w:rPr>
        <w:t>4.1.2.2突降暴雨（水量突增）</w:t>
      </w:r>
      <w:bookmarkEnd w:id="46"/>
    </w:p>
    <w:p>
      <w:pPr>
        <w:ind w:firstLine="480"/>
      </w:pPr>
      <w:r>
        <w:rPr>
          <w:rFonts w:hint="eastAsia"/>
        </w:rPr>
        <w:t>夏季经常有暴雨出现,暴雨对污水处理厂所造成的影响，一方面是水量增加，影响处理工艺，另一方面是雨量增加,可能淹没配电房和风机房，导致系统崩溃，污水处理厂停运。由于进水口有闸门，所以当汛期</w:t>
      </w:r>
      <w:r>
        <w:rPr>
          <w:rFonts w:hint="eastAsia"/>
          <w:lang w:eastAsia="zh-CN"/>
        </w:rPr>
        <w:t>长江</w:t>
      </w:r>
      <w:r>
        <w:rPr>
          <w:rFonts w:hint="eastAsia"/>
        </w:rPr>
        <w:t>水位上涨时，关闭闸门，河水不会倒灌进入厂区，所以在汛期也不会出现河水倒灌污水厂的现象。</w:t>
      </w:r>
    </w:p>
    <w:p>
      <w:pPr>
        <w:pStyle w:val="5"/>
        <w:ind w:firstLine="482" w:firstLineChars="200"/>
      </w:pPr>
      <w:bookmarkStart w:id="47" w:name="_Toc3323"/>
      <w:r>
        <w:rPr>
          <w:rFonts w:hint="eastAsia"/>
        </w:rPr>
        <w:t>4.1.2.3电力中断、设备故障</w:t>
      </w:r>
      <w:bookmarkEnd w:id="47"/>
    </w:p>
    <w:p>
      <w:pPr>
        <w:ind w:firstLine="480"/>
      </w:pPr>
      <w:r>
        <w:rPr>
          <w:rFonts w:hint="eastAsia"/>
        </w:rPr>
        <w:t>污水处理厂是城市重要的基础公用设施，污水处理厂运行过程中突发事故会导致处理效率下降或污水处理厂无法工作，使大量污水下泄，对地表水环境造成影响。</w:t>
      </w:r>
    </w:p>
    <w:p>
      <w:pPr>
        <w:ind w:firstLine="480"/>
      </w:pPr>
      <w:r>
        <w:rPr>
          <w:rFonts w:hint="eastAsia"/>
        </w:rPr>
        <w:t>根据污水厂生产工艺分析，废水处理过程中存在的风险主要有以下几种。</w:t>
      </w:r>
    </w:p>
    <w:p>
      <w:pPr>
        <w:ind w:firstLine="480"/>
      </w:pPr>
      <w:r>
        <w:rPr>
          <w:rFonts w:hint="eastAsia"/>
        </w:rPr>
        <w:t>（1）长时间停水造成的环境危险性分析</w:t>
      </w:r>
    </w:p>
    <w:p>
      <w:pPr>
        <w:ind w:firstLine="480"/>
      </w:pPr>
      <w:r>
        <w:rPr>
          <w:rFonts w:hint="eastAsia"/>
        </w:rPr>
        <w:t>城市污水排水干网破裂,导致污水厂废水进水量大幅减少，引起微生物死亡，在通水恢复后，细菌无法及时恢复，导致污水处理厂在一定时间内无法达到设计处理效率，从而造成污水超标排放。</w:t>
      </w:r>
    </w:p>
    <w:p>
      <w:pPr>
        <w:ind w:firstLine="480"/>
      </w:pPr>
      <w:r>
        <w:rPr>
          <w:rFonts w:hint="eastAsia"/>
        </w:rPr>
        <w:t>（2）计划停电及临时停电造成的环境危险性分析</w:t>
      </w:r>
    </w:p>
    <w:p>
      <w:pPr>
        <w:ind w:firstLine="480"/>
      </w:pPr>
      <w:r>
        <w:rPr>
          <w:rFonts w:hint="eastAsia"/>
        </w:rPr>
        <w:t>区域计划停电或临时停电导致污水处理厂设备停止运行，尤其长时间停产事故，泵机无法运行，污水在调节池内满溢后直接排放，导致废水超标排放。</w:t>
      </w:r>
    </w:p>
    <w:p>
      <w:pPr>
        <w:ind w:firstLine="480"/>
      </w:pPr>
      <w:r>
        <w:rPr>
          <w:rFonts w:hint="eastAsia"/>
        </w:rPr>
        <w:t>（3）污水处理厂发生故障造成的环境危险</w:t>
      </w:r>
    </w:p>
    <w:p>
      <w:pPr>
        <w:ind w:firstLine="480"/>
      </w:pPr>
      <w:r>
        <w:rPr>
          <w:rFonts w:hint="eastAsia"/>
        </w:rPr>
        <w:t>主要是污水处理厂设备发生故障或设备大修而无备用设备，或备用设备无法启用，将导致讲场废水得不到处理从而引起超标排放，处理水池管道渗漏、堵塞也会引起污水超标排放的环境风险。</w:t>
      </w:r>
    </w:p>
    <w:p>
      <w:pPr>
        <w:pStyle w:val="5"/>
        <w:ind w:firstLine="482" w:firstLineChars="200"/>
      </w:pPr>
      <w:bookmarkStart w:id="48" w:name="_Toc8144"/>
      <w:r>
        <w:rPr>
          <w:rFonts w:hint="eastAsia"/>
        </w:rPr>
        <w:t>4.1.2.4</w:t>
      </w:r>
      <w:r>
        <w:t>危险废物泄露</w:t>
      </w:r>
      <w:bookmarkEnd w:id="48"/>
    </w:p>
    <w:p>
      <w:pPr>
        <w:ind w:firstLine="480"/>
        <w:rPr>
          <w:rFonts w:hAnsi="宋体"/>
        </w:rPr>
      </w:pPr>
      <w:r>
        <w:rPr>
          <w:rFonts w:hAnsi="宋体"/>
        </w:rPr>
        <w:t>危险废弃物是具有腐蚀性、毒性、易燃性、反应性或感染性等一种或几种危险特性的物质。存在危险废弃物不按要求贮存，现场乱扔乱放，运输过程中抛洒、泄露，随意排放、贮存，受雨水冲刷或本身渗滤液通过地面往地下渗入、扩散，会污染水体和土壤，以及危险废物不处理或不规范处理处置也会所带来的大气、水源、土壤等的污染。</w:t>
      </w:r>
    </w:p>
    <w:p>
      <w:pPr>
        <w:pStyle w:val="5"/>
        <w:ind w:firstLine="482" w:firstLineChars="200"/>
      </w:pPr>
      <w:bookmarkStart w:id="49" w:name="_Toc20695"/>
      <w:r>
        <w:rPr>
          <w:rFonts w:hint="eastAsia"/>
        </w:rPr>
        <w:t>4.1.2.5其他突发事件情景分析</w:t>
      </w:r>
      <w:bookmarkEnd w:id="49"/>
    </w:p>
    <w:p>
      <w:pPr>
        <w:ind w:firstLine="480"/>
      </w:pPr>
      <w:r>
        <w:rPr>
          <w:rFonts w:hint="eastAsia"/>
        </w:rPr>
        <w:t>（1）进水水质过低；</w:t>
      </w:r>
    </w:p>
    <w:p>
      <w:pPr>
        <w:ind w:firstLine="480"/>
      </w:pPr>
      <w:r>
        <w:rPr>
          <w:rFonts w:hint="eastAsia"/>
        </w:rPr>
        <w:t>（2）管道破损；</w:t>
      </w:r>
    </w:p>
    <w:p>
      <w:pPr>
        <w:ind w:firstLine="480"/>
      </w:pPr>
      <w:r>
        <w:rPr>
          <w:rFonts w:hint="eastAsia"/>
        </w:rPr>
        <w:t>（3）污泥膨胀；</w:t>
      </w:r>
    </w:p>
    <w:p>
      <w:pPr>
        <w:ind w:firstLine="480"/>
      </w:pPr>
      <w:r>
        <w:rPr>
          <w:rFonts w:hint="eastAsia"/>
        </w:rPr>
        <w:t>（4）中毒、坠池。</w:t>
      </w:r>
    </w:p>
    <w:bookmarkEnd w:id="40"/>
    <w:bookmarkEnd w:id="41"/>
    <w:bookmarkEnd w:id="42"/>
    <w:bookmarkEnd w:id="43"/>
    <w:bookmarkEnd w:id="44"/>
    <w:bookmarkEnd w:id="45"/>
    <w:p>
      <w:pPr>
        <w:pStyle w:val="4"/>
        <w:spacing w:before="120"/>
        <w:ind w:firstLine="482"/>
      </w:pPr>
      <w:bookmarkStart w:id="50" w:name="_Toc27239_WPSOffice_Level1"/>
      <w:bookmarkStart w:id="51" w:name="_Toc21851"/>
      <w:bookmarkStart w:id="52" w:name="_Toc23794"/>
      <w:bookmarkStart w:id="53" w:name="_Toc29230"/>
      <w:bookmarkStart w:id="54" w:name="_Toc17804"/>
      <w:bookmarkStart w:id="55" w:name="_Toc25417"/>
      <w:bookmarkStart w:id="56" w:name="_Toc10004"/>
      <w:bookmarkStart w:id="57" w:name="_Toc18164"/>
      <w:r>
        <w:rPr>
          <w:rFonts w:hint="eastAsia" w:ascii="宋体" w:hAnsi="宋体"/>
          <w:b/>
          <w:bCs/>
          <w:sz w:val="24"/>
          <w:szCs w:val="24"/>
        </w:rPr>
        <w:t>4.2环境风险物质扩散途径、环境风险防控措施、应急资源分析</w:t>
      </w:r>
      <w:bookmarkEnd w:id="50"/>
      <w:bookmarkEnd w:id="51"/>
      <w:bookmarkEnd w:id="52"/>
      <w:bookmarkEnd w:id="53"/>
      <w:bookmarkEnd w:id="54"/>
      <w:bookmarkEnd w:id="55"/>
      <w:bookmarkEnd w:id="56"/>
      <w:bookmarkEnd w:id="57"/>
    </w:p>
    <w:p>
      <w:pPr>
        <w:ind w:firstLine="480"/>
      </w:pPr>
      <w:bookmarkStart w:id="58" w:name="_Toc4380"/>
      <w:bookmarkStart w:id="59" w:name="_Toc104"/>
      <w:bookmarkStart w:id="60" w:name="_Toc18167"/>
      <w:bookmarkStart w:id="61" w:name="_Toc10582_WPSOffice_Level2"/>
      <w:bookmarkStart w:id="62" w:name="_Toc9931"/>
      <w:bookmarkStart w:id="63" w:name="_Toc735"/>
      <w:r>
        <w:rPr>
          <w:rFonts w:hint="eastAsia"/>
        </w:rPr>
        <w:t>本项目属于主要为生活污水处理工艺，前端增设工业污水预处理设施用来处理少量工业废水。主要危险事故有：进水水质、尾水排放超标、管道故障、设备故障、电力中断、极端天气（暴雨）、</w:t>
      </w:r>
      <w:r>
        <w:t>危险废物泄露</w:t>
      </w:r>
      <w:r>
        <w:rPr>
          <w:rFonts w:hint="eastAsia"/>
        </w:rPr>
        <w:t>、人员中毒和坠池等。</w:t>
      </w:r>
    </w:p>
    <w:p>
      <w:pPr>
        <w:pStyle w:val="4"/>
        <w:spacing w:before="120"/>
        <w:ind w:firstLine="482"/>
        <w:rPr>
          <w:rFonts w:ascii="宋体" w:hAnsi="宋体"/>
          <w:b/>
          <w:bCs/>
          <w:sz w:val="24"/>
          <w:szCs w:val="24"/>
        </w:rPr>
      </w:pPr>
      <w:bookmarkStart w:id="64" w:name="_Toc17522"/>
      <w:r>
        <w:rPr>
          <w:rFonts w:hint="eastAsia" w:ascii="宋体" w:hAnsi="宋体"/>
          <w:b/>
          <w:bCs/>
          <w:sz w:val="24"/>
          <w:szCs w:val="24"/>
        </w:rPr>
        <w:t>4.2.1进水水质、尾水排放超标</w:t>
      </w:r>
      <w:bookmarkEnd w:id="64"/>
    </w:p>
    <w:p>
      <w:pPr>
        <w:pStyle w:val="4"/>
        <w:spacing w:before="120"/>
        <w:ind w:firstLine="482"/>
        <w:rPr>
          <w:rFonts w:ascii="宋体" w:hAnsi="宋体"/>
          <w:b/>
          <w:bCs/>
          <w:sz w:val="24"/>
          <w:szCs w:val="24"/>
        </w:rPr>
      </w:pPr>
      <w:r>
        <w:rPr>
          <w:rFonts w:hint="eastAsia" w:ascii="宋体" w:hAnsi="宋体"/>
          <w:b/>
          <w:bCs/>
          <w:sz w:val="24"/>
          <w:szCs w:val="24"/>
        </w:rPr>
        <w:t>4.2.1.1释放环境风险物质的扩散途径分析</w:t>
      </w:r>
    </w:p>
    <w:p>
      <w:pPr>
        <w:pStyle w:val="54"/>
        <w:ind w:firstLine="480"/>
      </w:pPr>
      <w:r>
        <w:rPr>
          <w:rFonts w:hint="eastAsia"/>
        </w:rPr>
        <w:t>污水处理厂进水超标一般为市政污水收集进水一项或多项指标严重超标；排水超标一般为系统出现异常，导致系统异常情况则有多种原因：员工操作失误、设备异常、管道堵塞、污泥膨胀、污泥脱水系统处理量跟不上、来水超过设计量、来水水质异常、水温异常（过高/过低）、人员中毒等。</w:t>
      </w:r>
    </w:p>
    <w:p>
      <w:pPr>
        <w:ind w:firstLine="482"/>
        <w:rPr>
          <w:b/>
          <w:bCs/>
        </w:rPr>
      </w:pPr>
      <w:r>
        <w:rPr>
          <w:rFonts w:hint="eastAsia"/>
          <w:b/>
          <w:bCs/>
        </w:rPr>
        <w:t>4.2.1.2涉及环境风险防控与应急措施分析</w:t>
      </w:r>
    </w:p>
    <w:p>
      <w:pPr>
        <w:ind w:firstLine="480"/>
      </w:pPr>
      <w:r>
        <w:t>（1）防控措施分析：</w:t>
      </w:r>
    </w:p>
    <w:p>
      <w:pPr>
        <w:ind w:firstLine="480"/>
        <w:rPr>
          <w:lang w:val="zh-CN"/>
        </w:rPr>
      </w:pPr>
      <w:r>
        <w:t>①操作人员应严格按照操作规程进行操作，防止因检查不周或失误造成事故。</w:t>
      </w:r>
    </w:p>
    <w:p>
      <w:pPr>
        <w:ind w:firstLine="480"/>
      </w:pPr>
      <w:r>
        <w:t>②做好污水管道的日常清理工作，保持管道的畅通。</w:t>
      </w:r>
    </w:p>
    <w:p>
      <w:pPr>
        <w:ind w:firstLine="480"/>
      </w:pPr>
      <w:r>
        <w:t>③关注汛期台风暴雨天气预报，做好防汛排涝准备工作。</w:t>
      </w:r>
    </w:p>
    <w:p>
      <w:pPr>
        <w:ind w:firstLine="480"/>
      </w:pPr>
      <w:r>
        <w:rPr>
          <w:rFonts w:hint="eastAsia"/>
        </w:rPr>
        <w:t>④对进出水实行24小时在线监测。</w:t>
      </w:r>
    </w:p>
    <w:p>
      <w:pPr>
        <w:numPr>
          <w:ilvl w:val="0"/>
          <w:numId w:val="2"/>
        </w:numPr>
        <w:tabs>
          <w:tab w:val="left" w:pos="3535"/>
        </w:tabs>
        <w:ind w:firstLine="560" w:firstLineChars="0"/>
        <w:rPr>
          <w:rFonts w:hAnsi="宋体"/>
          <w:bCs/>
          <w:kern w:val="0"/>
        </w:rPr>
      </w:pPr>
      <w:r>
        <w:rPr>
          <w:rFonts w:hAnsi="宋体"/>
          <w:bCs/>
          <w:kern w:val="0"/>
        </w:rPr>
        <w:t>应急措施分析：</w:t>
      </w:r>
    </w:p>
    <w:p>
      <w:pPr>
        <w:ind w:firstLine="480"/>
        <w:rPr>
          <w:rFonts w:ascii="宋体" w:hAnsi="宋体"/>
          <w:szCs w:val="30"/>
        </w:rPr>
      </w:pPr>
      <w:r>
        <w:rPr>
          <w:rFonts w:hint="eastAsia"/>
        </w:rPr>
        <w:t>进水超标应急工作领导小组应安排化验人员定时检测水质的变化情况，并调查造成水质异常的原因，适时切断超标水源。根据水质的变化及时调整工艺参数。</w:t>
      </w:r>
    </w:p>
    <w:p>
      <w:pPr>
        <w:ind w:firstLine="480"/>
      </w:pPr>
      <w:r>
        <w:rPr>
          <w:rFonts w:hint="eastAsia"/>
        </w:rPr>
        <w:t>尾水排放超标是立即把水切换到粗细格栅中，请系统处理工程师来现场判定解决超标问题需要的时间，粗细格许可时间之内，则自行解决，如果超出事故应急许可时间，必须立即同相关部门联系，减少来水水量。</w:t>
      </w:r>
    </w:p>
    <w:p>
      <w:pPr>
        <w:ind w:firstLine="482"/>
        <w:rPr>
          <w:b/>
          <w:bCs/>
        </w:rPr>
      </w:pPr>
      <w:r>
        <w:rPr>
          <w:b/>
          <w:bCs/>
        </w:rPr>
        <w:t>4.2.</w:t>
      </w:r>
      <w:r>
        <w:rPr>
          <w:rFonts w:hint="eastAsia"/>
          <w:b/>
          <w:bCs/>
        </w:rPr>
        <w:t>1</w:t>
      </w:r>
      <w:r>
        <w:rPr>
          <w:b/>
          <w:bCs/>
        </w:rPr>
        <w:t>.3应急资源分析</w:t>
      </w:r>
    </w:p>
    <w:p>
      <w:pPr>
        <w:pStyle w:val="48"/>
        <w:spacing w:beforeLines="0" w:line="360" w:lineRule="auto"/>
        <w:ind w:firstLine="420" w:firstLineChars="200"/>
        <w:jc w:val="left"/>
        <w:rPr>
          <w:rFonts w:hAnsi="宋体"/>
          <w:b w:val="0"/>
        </w:rPr>
      </w:pPr>
      <w:r>
        <w:rPr>
          <w:rFonts w:hint="eastAsia" w:hAnsi="宋体"/>
          <w:b w:val="0"/>
        </w:rPr>
        <w:t>厂区配备了pH值、COD、氨氮检测仪器，防汛用的相关物质等</w:t>
      </w:r>
      <w:r>
        <w:rPr>
          <w:rFonts w:hAnsi="宋体"/>
          <w:b w:val="0"/>
        </w:rPr>
        <w:t>。</w:t>
      </w:r>
    </w:p>
    <w:p>
      <w:pPr>
        <w:ind w:firstLine="482"/>
        <w:rPr>
          <w:b/>
          <w:bCs/>
        </w:rPr>
      </w:pPr>
      <w:bookmarkStart w:id="65" w:name="_Toc30456"/>
      <w:r>
        <w:rPr>
          <w:b/>
          <w:bCs/>
        </w:rPr>
        <w:t>4.2.</w:t>
      </w:r>
      <w:r>
        <w:rPr>
          <w:rFonts w:hint="eastAsia"/>
          <w:b/>
          <w:bCs/>
        </w:rPr>
        <w:t>2管道故障</w:t>
      </w:r>
      <w:bookmarkEnd w:id="65"/>
    </w:p>
    <w:p>
      <w:pPr>
        <w:ind w:firstLine="482"/>
        <w:rPr>
          <w:b/>
          <w:bCs/>
        </w:rPr>
      </w:pPr>
      <w:r>
        <w:rPr>
          <w:b/>
          <w:bCs/>
        </w:rPr>
        <w:t>4.2.</w:t>
      </w:r>
      <w:r>
        <w:rPr>
          <w:rFonts w:hint="eastAsia"/>
          <w:b/>
          <w:bCs/>
        </w:rPr>
        <w:t>2.</w:t>
      </w:r>
      <w:r>
        <w:rPr>
          <w:b/>
          <w:bCs/>
        </w:rPr>
        <w:t>1释放环境风险物质的扩散途径分析</w:t>
      </w:r>
    </w:p>
    <w:p>
      <w:pPr>
        <w:ind w:firstLine="480"/>
      </w:pPr>
      <w:r>
        <w:rPr>
          <w:rFonts w:hint="eastAsia"/>
        </w:rPr>
        <w:t>管道故障一般表现为管道堵塞或破损泄漏，生活污水处理厂的污水来自生活垃圾较多，因此在污水输送的过程中容易造成管道堵塞，而管道的长时间的使用，来自污水的冲刷和腐蚀会导致管道的破损。</w:t>
      </w:r>
    </w:p>
    <w:p>
      <w:pPr>
        <w:ind w:firstLine="482"/>
        <w:rPr>
          <w:b/>
          <w:bCs/>
        </w:rPr>
      </w:pPr>
      <w:r>
        <w:rPr>
          <w:b/>
          <w:bCs/>
        </w:rPr>
        <w:t>4.2.</w:t>
      </w:r>
      <w:r>
        <w:rPr>
          <w:rFonts w:hint="eastAsia"/>
          <w:b/>
          <w:bCs/>
        </w:rPr>
        <w:t>2</w:t>
      </w:r>
      <w:r>
        <w:rPr>
          <w:b/>
          <w:bCs/>
        </w:rPr>
        <w:t>.2涉及环境风险防控与应急措施分析</w:t>
      </w:r>
    </w:p>
    <w:p>
      <w:pPr>
        <w:tabs>
          <w:tab w:val="left" w:pos="3535"/>
        </w:tabs>
        <w:ind w:firstLine="560" w:firstLineChars="0"/>
        <w:rPr>
          <w:bCs/>
          <w:kern w:val="0"/>
        </w:rPr>
      </w:pPr>
      <w:r>
        <w:rPr>
          <w:rFonts w:hAnsi="宋体"/>
          <w:bCs/>
          <w:kern w:val="0"/>
        </w:rPr>
        <w:t>应急措施分析：</w:t>
      </w:r>
    </w:p>
    <w:p>
      <w:pPr>
        <w:ind w:firstLine="480"/>
      </w:pPr>
      <w:r>
        <w:rPr>
          <w:rFonts w:hint="eastAsia"/>
        </w:rPr>
        <w:t>管道堵塞可以通过对来水进行格栅处理减小管道故障的概率；污水处理厂内可以通过安装备用管道或临时管道来争取管道维修和疏通的时间。</w:t>
      </w:r>
    </w:p>
    <w:p>
      <w:pPr>
        <w:ind w:firstLine="482"/>
        <w:rPr>
          <w:b/>
          <w:bCs/>
        </w:rPr>
      </w:pPr>
      <w:bookmarkStart w:id="66" w:name="_Toc16118"/>
      <w:r>
        <w:rPr>
          <w:b/>
          <w:bCs/>
        </w:rPr>
        <w:t>4.2.</w:t>
      </w:r>
      <w:r>
        <w:rPr>
          <w:rFonts w:hint="eastAsia"/>
          <w:b/>
          <w:bCs/>
        </w:rPr>
        <w:t>3</w:t>
      </w:r>
      <w:r>
        <w:rPr>
          <w:b/>
          <w:bCs/>
        </w:rPr>
        <w:t>危险废物泄露</w:t>
      </w:r>
      <w:bookmarkEnd w:id="66"/>
    </w:p>
    <w:p>
      <w:pPr>
        <w:ind w:firstLine="482"/>
        <w:rPr>
          <w:b/>
          <w:bCs/>
        </w:rPr>
      </w:pPr>
      <w:r>
        <w:rPr>
          <w:b/>
          <w:bCs/>
        </w:rPr>
        <w:t>4.2.</w:t>
      </w:r>
      <w:r>
        <w:rPr>
          <w:rFonts w:hint="eastAsia"/>
          <w:b/>
          <w:bCs/>
        </w:rPr>
        <w:t>3</w:t>
      </w:r>
      <w:r>
        <w:rPr>
          <w:b/>
          <w:bCs/>
        </w:rPr>
        <w:t>.1释放环境风险物质的扩散途径分析</w:t>
      </w:r>
    </w:p>
    <w:p>
      <w:pPr>
        <w:ind w:firstLine="480"/>
      </w:pPr>
      <w:r>
        <w:rPr>
          <w:rFonts w:hAnsi="宋体"/>
        </w:rPr>
        <w:t>危险废弃物随意排放、贮存，受雨水冲刷或本身渗滤液通过地面往地下渗入、扩散，会污染水体和土壤，以及危险废物不处理或不规范处理处置也会所带来的大气、水源、土壤等的污染。</w:t>
      </w:r>
    </w:p>
    <w:p>
      <w:pPr>
        <w:ind w:firstLine="482"/>
        <w:rPr>
          <w:b/>
          <w:bCs/>
        </w:rPr>
      </w:pPr>
      <w:r>
        <w:rPr>
          <w:b/>
          <w:bCs/>
        </w:rPr>
        <w:t>4.2.</w:t>
      </w:r>
      <w:r>
        <w:rPr>
          <w:rFonts w:hint="eastAsia"/>
          <w:b/>
          <w:bCs/>
        </w:rPr>
        <w:t>3</w:t>
      </w:r>
      <w:r>
        <w:rPr>
          <w:b/>
          <w:bCs/>
        </w:rPr>
        <w:t>.2涉及环境风险防控与应急措施分析</w:t>
      </w:r>
    </w:p>
    <w:p>
      <w:pPr>
        <w:ind w:firstLine="560" w:firstLineChars="0"/>
        <w:rPr>
          <w:bCs/>
          <w:kern w:val="0"/>
        </w:rPr>
      </w:pPr>
      <w:r>
        <w:rPr>
          <w:rFonts w:hAnsi="宋体"/>
          <w:bCs/>
          <w:kern w:val="0"/>
        </w:rPr>
        <w:t>（</w:t>
      </w:r>
      <w:r>
        <w:rPr>
          <w:bCs/>
          <w:kern w:val="0"/>
        </w:rPr>
        <w:t>1</w:t>
      </w:r>
      <w:r>
        <w:rPr>
          <w:rFonts w:hAnsi="宋体"/>
          <w:bCs/>
          <w:kern w:val="0"/>
        </w:rPr>
        <w:t>）防控措施分析：</w:t>
      </w:r>
    </w:p>
    <w:p>
      <w:pPr>
        <w:ind w:firstLine="480"/>
      </w:pPr>
      <w:r>
        <w:rPr>
          <w:rFonts w:hAnsi="宋体"/>
          <w:bCs/>
          <w:kern w:val="0"/>
        </w:rPr>
        <w:t>①</w:t>
      </w:r>
      <w:r>
        <w:rPr>
          <w:rFonts w:hAnsi="宋体"/>
        </w:rPr>
        <w:t>不跟品种危险废物麼分别存放在不和容器中，不得混合。</w:t>
      </w:r>
    </w:p>
    <w:p>
      <w:pPr>
        <w:ind w:firstLine="480"/>
      </w:pPr>
      <w:r>
        <w:rPr>
          <w:rFonts w:hAnsi="宋体"/>
          <w:bCs/>
          <w:kern w:val="0"/>
        </w:rPr>
        <w:t>②</w:t>
      </w:r>
      <w:r>
        <w:rPr>
          <w:rFonts w:hAnsi="宋体"/>
        </w:rPr>
        <w:t>每个危险废物的容器上粘贴</w:t>
      </w:r>
      <w:r>
        <w:t>“</w:t>
      </w:r>
      <w:r>
        <w:rPr>
          <w:rFonts w:hAnsi="宋体"/>
        </w:rPr>
        <w:t>危险废物</w:t>
      </w:r>
      <w:r>
        <w:t>”</w:t>
      </w:r>
      <w:r>
        <w:rPr>
          <w:rFonts w:hAnsi="宋体"/>
        </w:rPr>
        <w:t>标签。</w:t>
      </w:r>
    </w:p>
    <w:p>
      <w:pPr>
        <w:ind w:firstLine="480"/>
      </w:pPr>
      <w:r>
        <w:rPr>
          <w:rFonts w:hAnsi="宋体"/>
          <w:bCs/>
          <w:kern w:val="0"/>
        </w:rPr>
        <w:t>③</w:t>
      </w:r>
      <w:r>
        <w:rPr>
          <w:rFonts w:hAnsi="宋体"/>
        </w:rPr>
        <w:t>固体危险废物：包装完整，不渗落。</w:t>
      </w:r>
    </w:p>
    <w:p>
      <w:pPr>
        <w:ind w:firstLine="480"/>
      </w:pPr>
      <w:r>
        <w:rPr>
          <w:rFonts w:hAnsi="宋体"/>
          <w:bCs/>
          <w:kern w:val="0"/>
        </w:rPr>
        <w:t>④</w:t>
      </w:r>
      <w:r>
        <w:rPr>
          <w:rFonts w:hAnsi="宋体"/>
        </w:rPr>
        <w:t>液体危险废物：容器密封、有盖子。</w:t>
      </w:r>
    </w:p>
    <w:p>
      <w:pPr>
        <w:ind w:firstLine="480"/>
      </w:pPr>
      <w:r>
        <w:rPr>
          <w:rFonts w:hAnsi="宋体"/>
          <w:bCs/>
          <w:kern w:val="0"/>
        </w:rPr>
        <w:t>⑤</w:t>
      </w:r>
      <w:r>
        <w:rPr>
          <w:rFonts w:hAnsi="宋体"/>
        </w:rPr>
        <w:t>危险废液暂时存放应采取防渗落、防外溢措施。</w:t>
      </w:r>
    </w:p>
    <w:p>
      <w:pPr>
        <w:ind w:firstLine="480"/>
      </w:pPr>
      <w:r>
        <w:rPr>
          <w:rFonts w:hAnsi="宋体"/>
        </w:rPr>
        <w:t>⑥废弃或暂时不用的空油桶应送交废弃库存集中存放，避免油污点污染地面比雨水洗刷后污染地水。</w:t>
      </w:r>
    </w:p>
    <w:p>
      <w:pPr>
        <w:tabs>
          <w:tab w:val="left" w:pos="3535"/>
        </w:tabs>
        <w:ind w:firstLine="560" w:firstLineChars="0"/>
        <w:rPr>
          <w:bCs/>
          <w:kern w:val="0"/>
        </w:rPr>
      </w:pPr>
      <w:r>
        <w:rPr>
          <w:rFonts w:hAnsi="宋体"/>
          <w:bCs/>
          <w:kern w:val="0"/>
        </w:rPr>
        <w:t>（</w:t>
      </w:r>
      <w:r>
        <w:rPr>
          <w:bCs/>
          <w:kern w:val="0"/>
        </w:rPr>
        <w:t>2</w:t>
      </w:r>
      <w:r>
        <w:rPr>
          <w:rFonts w:hAnsi="宋体"/>
          <w:bCs/>
          <w:kern w:val="0"/>
        </w:rPr>
        <w:t>）应急措施分析：</w:t>
      </w:r>
    </w:p>
    <w:p>
      <w:pPr>
        <w:tabs>
          <w:tab w:val="left" w:pos="3535"/>
        </w:tabs>
        <w:ind w:firstLine="560" w:firstLineChars="0"/>
        <w:rPr>
          <w:bCs/>
          <w:kern w:val="0"/>
        </w:rPr>
      </w:pPr>
      <w:r>
        <w:rPr>
          <w:rFonts w:hAnsi="宋体"/>
          <w:bCs/>
          <w:kern w:val="0"/>
        </w:rPr>
        <w:t>泄漏处理一般包括泄漏源控制及泄漏物处理两大部分。</w:t>
      </w:r>
    </w:p>
    <w:p>
      <w:pPr>
        <w:tabs>
          <w:tab w:val="left" w:pos="3535"/>
        </w:tabs>
        <w:ind w:firstLine="560" w:firstLineChars="0"/>
        <w:rPr>
          <w:bCs/>
          <w:kern w:val="0"/>
        </w:rPr>
      </w:pPr>
      <w:r>
        <w:rPr>
          <w:rFonts w:hAnsi="宋体"/>
          <w:bCs/>
          <w:kern w:val="0"/>
        </w:rPr>
        <w:t>①在发生泄漏时，首先熄灭所有明火，隔绝一切火源，防止发生燃烧和爆炸；</w:t>
      </w:r>
    </w:p>
    <w:p>
      <w:pPr>
        <w:tabs>
          <w:tab w:val="left" w:pos="3535"/>
        </w:tabs>
        <w:ind w:firstLine="560" w:firstLineChars="0"/>
        <w:rPr>
          <w:bCs/>
          <w:kern w:val="0"/>
        </w:rPr>
      </w:pPr>
      <w:r>
        <w:rPr>
          <w:rFonts w:hAnsi="宋体"/>
          <w:bCs/>
          <w:kern w:val="0"/>
        </w:rPr>
        <w:t>②现场处理人员必须佩戴防毒面具及符合要求的防护用品，严禁单独行动，要有监护人，必要时使用水枪掩护；</w:t>
      </w:r>
    </w:p>
    <w:p>
      <w:pPr>
        <w:tabs>
          <w:tab w:val="left" w:pos="3535"/>
        </w:tabs>
        <w:ind w:firstLine="560" w:firstLineChars="0"/>
        <w:rPr>
          <w:bCs/>
          <w:kern w:val="0"/>
        </w:rPr>
      </w:pPr>
      <w:r>
        <w:rPr>
          <w:rFonts w:hAnsi="宋体"/>
          <w:bCs/>
          <w:kern w:val="0"/>
        </w:rPr>
        <w:t>③现场用沙土围堤，回收物料，避免流入下水道等密闭系统；</w:t>
      </w:r>
    </w:p>
    <w:p>
      <w:pPr>
        <w:tabs>
          <w:tab w:val="left" w:pos="3535"/>
        </w:tabs>
        <w:ind w:firstLine="560" w:firstLineChars="0"/>
        <w:rPr>
          <w:bCs/>
          <w:kern w:val="0"/>
        </w:rPr>
      </w:pPr>
      <w:r>
        <w:rPr>
          <w:rFonts w:hAnsi="宋体"/>
          <w:bCs/>
          <w:kern w:val="0"/>
        </w:rPr>
        <w:t>④不得用水冲洗地面，防止污染区域扩大；</w:t>
      </w:r>
    </w:p>
    <w:p>
      <w:pPr>
        <w:tabs>
          <w:tab w:val="left" w:pos="3535"/>
        </w:tabs>
        <w:ind w:firstLine="560" w:firstLineChars="0"/>
        <w:rPr>
          <w:bCs/>
          <w:kern w:val="0"/>
        </w:rPr>
      </w:pPr>
      <w:r>
        <w:rPr>
          <w:rFonts w:hAnsi="宋体"/>
          <w:bCs/>
          <w:kern w:val="0"/>
        </w:rPr>
        <w:t>⑤可通过控制泄漏源来消除危废品的溢出或泄漏；</w:t>
      </w:r>
    </w:p>
    <w:p>
      <w:pPr>
        <w:tabs>
          <w:tab w:val="left" w:pos="3535"/>
        </w:tabs>
        <w:ind w:firstLine="560" w:firstLineChars="0"/>
        <w:rPr>
          <w:bCs/>
          <w:kern w:val="0"/>
        </w:rPr>
      </w:pPr>
      <w:r>
        <w:rPr>
          <w:rFonts w:hAnsi="宋体"/>
        </w:rPr>
        <w:t>⑥</w:t>
      </w:r>
      <w:r>
        <w:rPr>
          <w:rFonts w:hAnsi="宋体"/>
          <w:bCs/>
          <w:kern w:val="0"/>
        </w:rPr>
        <w:t>现场泄漏物及时进行覆盖、收容、稀释处理，使泄漏物得到安全可靠的处理，防止二次事故的发生。</w:t>
      </w:r>
    </w:p>
    <w:p>
      <w:pPr>
        <w:ind w:firstLine="482"/>
        <w:rPr>
          <w:b/>
          <w:bCs/>
        </w:rPr>
      </w:pPr>
      <w:r>
        <w:rPr>
          <w:b/>
          <w:bCs/>
        </w:rPr>
        <w:t>4.2.</w:t>
      </w:r>
      <w:r>
        <w:rPr>
          <w:rFonts w:hint="eastAsia"/>
          <w:b/>
          <w:bCs/>
        </w:rPr>
        <w:t>3</w:t>
      </w:r>
      <w:r>
        <w:rPr>
          <w:b/>
          <w:bCs/>
        </w:rPr>
        <w:t>.3应急资源分析</w:t>
      </w:r>
    </w:p>
    <w:p>
      <w:pPr>
        <w:pStyle w:val="48"/>
        <w:spacing w:beforeLines="0" w:line="360" w:lineRule="auto"/>
        <w:ind w:firstLine="420" w:firstLineChars="200"/>
        <w:jc w:val="left"/>
        <w:rPr>
          <w:b w:val="0"/>
        </w:rPr>
      </w:pPr>
      <w:r>
        <w:rPr>
          <w:rFonts w:hAnsi="宋体"/>
          <w:b w:val="0"/>
        </w:rPr>
        <w:t>配备了</w:t>
      </w:r>
      <w:r>
        <w:rPr>
          <w:rFonts w:hint="eastAsia" w:hAnsi="宋体"/>
          <w:b w:val="0"/>
        </w:rPr>
        <w:t>轻型防化服</w:t>
      </w:r>
      <w:r>
        <w:rPr>
          <w:rFonts w:hAnsi="宋体"/>
          <w:b w:val="0"/>
        </w:rPr>
        <w:t>、防毒面罩等。</w:t>
      </w:r>
    </w:p>
    <w:bookmarkEnd w:id="58"/>
    <w:bookmarkEnd w:id="59"/>
    <w:bookmarkEnd w:id="60"/>
    <w:bookmarkEnd w:id="61"/>
    <w:bookmarkEnd w:id="62"/>
    <w:bookmarkEnd w:id="63"/>
    <w:p>
      <w:pPr>
        <w:ind w:firstLine="482"/>
        <w:rPr>
          <w:b/>
          <w:bCs/>
        </w:rPr>
      </w:pPr>
      <w:bookmarkStart w:id="67" w:name="_Toc27518"/>
      <w:r>
        <w:rPr>
          <w:b/>
          <w:bCs/>
        </w:rPr>
        <w:t>4.2.</w:t>
      </w:r>
      <w:r>
        <w:rPr>
          <w:rFonts w:hint="eastAsia"/>
          <w:b/>
          <w:bCs/>
        </w:rPr>
        <w:t>4污泥膨胀</w:t>
      </w:r>
      <w:bookmarkEnd w:id="67"/>
    </w:p>
    <w:p>
      <w:pPr>
        <w:ind w:firstLine="482"/>
        <w:rPr>
          <w:b/>
          <w:bCs/>
        </w:rPr>
      </w:pPr>
      <w:r>
        <w:rPr>
          <w:b/>
          <w:bCs/>
        </w:rPr>
        <w:t>4.2.</w:t>
      </w:r>
      <w:r>
        <w:rPr>
          <w:rFonts w:hint="eastAsia"/>
          <w:b/>
          <w:bCs/>
        </w:rPr>
        <w:t>4</w:t>
      </w:r>
      <w:r>
        <w:rPr>
          <w:b/>
          <w:bCs/>
        </w:rPr>
        <w:t>.1释放环境风险物质的扩散途径分析</w:t>
      </w:r>
    </w:p>
    <w:p>
      <w:pPr>
        <w:ind w:firstLine="480"/>
      </w:pPr>
      <w:r>
        <w:rPr>
          <w:rFonts w:hint="eastAsia" w:hAnsi="宋体"/>
        </w:rPr>
        <w:t>污水处理厂水温过高、pH偏低、</w:t>
      </w:r>
      <w:r>
        <w:rPr>
          <w:rFonts w:hint="eastAsia" w:cs="Times New Roman"/>
        </w:rPr>
        <w:t>曝气池中的污泥负荷高</w:t>
      </w:r>
      <w:r>
        <w:rPr>
          <w:rFonts w:hint="eastAsia" w:hAnsi="宋体"/>
        </w:rPr>
        <w:t>、营养失调，且有毒有害工业废水进入厂区都能造成污泥膨胀</w:t>
      </w:r>
      <w:r>
        <w:rPr>
          <w:rFonts w:hAnsi="宋体"/>
        </w:rPr>
        <w:t>。</w:t>
      </w:r>
    </w:p>
    <w:p>
      <w:pPr>
        <w:ind w:firstLine="482"/>
        <w:rPr>
          <w:b/>
          <w:bCs/>
        </w:rPr>
      </w:pPr>
      <w:r>
        <w:rPr>
          <w:b/>
          <w:bCs/>
        </w:rPr>
        <w:t>4.2.</w:t>
      </w:r>
      <w:r>
        <w:rPr>
          <w:rFonts w:hint="eastAsia"/>
          <w:b/>
          <w:bCs/>
        </w:rPr>
        <w:t>4</w:t>
      </w:r>
      <w:r>
        <w:rPr>
          <w:b/>
          <w:bCs/>
        </w:rPr>
        <w:t>.2涉及环境风险防控与应急措施分析</w:t>
      </w:r>
    </w:p>
    <w:p>
      <w:pPr>
        <w:ind w:firstLine="560" w:firstLineChars="0"/>
        <w:rPr>
          <w:bCs/>
          <w:kern w:val="0"/>
        </w:rPr>
      </w:pPr>
      <w:r>
        <w:rPr>
          <w:rFonts w:hAnsi="宋体"/>
          <w:bCs/>
          <w:kern w:val="0"/>
        </w:rPr>
        <w:t>（</w:t>
      </w:r>
      <w:r>
        <w:rPr>
          <w:bCs/>
          <w:kern w:val="0"/>
        </w:rPr>
        <w:t>1</w:t>
      </w:r>
      <w:r>
        <w:rPr>
          <w:rFonts w:hAnsi="宋体"/>
          <w:bCs/>
          <w:kern w:val="0"/>
        </w:rPr>
        <w:t>）防控措施分析：</w:t>
      </w:r>
    </w:p>
    <w:p>
      <w:pPr>
        <w:pStyle w:val="2"/>
        <w:spacing w:line="360" w:lineRule="auto"/>
        <w:ind w:left="480" w:leftChars="200" w:firstLine="240" w:firstLineChars="100"/>
        <w:rPr>
          <w:rFonts w:ascii="Times New Roman" w:hAnsi="Times New Roman" w:cs="Times New Roman"/>
          <w:color w:val="auto"/>
          <w:kern w:val="2"/>
        </w:rPr>
      </w:pPr>
      <w:r>
        <w:rPr>
          <w:rFonts w:hAnsi="宋体"/>
          <w:bCs/>
          <w:color w:val="auto"/>
        </w:rPr>
        <w:t>①</w:t>
      </w:r>
      <w:r>
        <w:rPr>
          <w:rFonts w:hint="eastAsia" w:hAnsi="宋体"/>
          <w:bCs/>
          <w:color w:val="auto"/>
        </w:rPr>
        <w:t>日常加强管理，</w:t>
      </w:r>
      <w:r>
        <w:rPr>
          <w:rFonts w:hint="eastAsia" w:ascii="Times New Roman" w:cs="Times New Roman"/>
          <w:color w:val="auto"/>
          <w:kern w:val="2"/>
        </w:rPr>
        <w:t>调整好水、气、泥的三者关系，保持良好的运转</w:t>
      </w:r>
      <w:r>
        <w:rPr>
          <w:rFonts w:hint="eastAsia" w:ascii="Times New Roman" w:hAnsi="Times New Roman" w:cs="Times New Roman"/>
          <w:color w:val="auto"/>
          <w:kern w:val="2"/>
        </w:rPr>
        <w:t>；</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②</w:t>
      </w:r>
      <w:r>
        <w:rPr>
          <w:rFonts w:hint="eastAsia" w:ascii="Times New Roman" w:cs="Times New Roman"/>
          <w:color w:val="auto"/>
          <w:kern w:val="2"/>
        </w:rPr>
        <w:t>做好日常的巡视管理，及时发现问题</w:t>
      </w:r>
      <w:r>
        <w:rPr>
          <w:rFonts w:hint="eastAsia" w:ascii="Times New Roman" w:hAnsi="Times New Roman" w:cs="Times New Roman"/>
          <w:color w:val="auto"/>
          <w:kern w:val="2"/>
        </w:rPr>
        <w:t>；</w:t>
      </w:r>
    </w:p>
    <w:p>
      <w:pPr>
        <w:tabs>
          <w:tab w:val="left" w:pos="3535"/>
        </w:tabs>
        <w:ind w:firstLine="560" w:firstLineChars="0"/>
        <w:rPr>
          <w:bCs/>
          <w:kern w:val="0"/>
        </w:rPr>
      </w:pPr>
      <w:r>
        <w:rPr>
          <w:rFonts w:hAnsi="宋体"/>
          <w:bCs/>
          <w:kern w:val="0"/>
        </w:rPr>
        <w:t>（</w:t>
      </w:r>
      <w:r>
        <w:rPr>
          <w:bCs/>
          <w:kern w:val="0"/>
        </w:rPr>
        <w:t>2</w:t>
      </w:r>
      <w:r>
        <w:rPr>
          <w:rFonts w:hAnsi="宋体"/>
          <w:bCs/>
          <w:kern w:val="0"/>
        </w:rPr>
        <w:t>）应急措施分析：</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①</w:t>
      </w:r>
      <w:r>
        <w:rPr>
          <w:rFonts w:hint="eastAsia" w:ascii="Times New Roman" w:hAnsi="Times New Roman" w:cs="Times New Roman"/>
          <w:color w:val="auto"/>
          <w:kern w:val="2"/>
        </w:rPr>
        <w:t>控制曝气量，使曝气池好氧段保持适量的溶解氧（不低于1～2毫克/升，不超过4毫克/升）；</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②</w:t>
      </w:r>
      <w:r>
        <w:rPr>
          <w:rFonts w:hint="eastAsia" w:ascii="Times New Roman" w:hAnsi="Times New Roman" w:cs="Times New Roman"/>
          <w:color w:val="auto"/>
          <w:kern w:val="2"/>
        </w:rPr>
        <w:t>调整PH值至中性左右；</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③</w:t>
      </w:r>
      <w:r>
        <w:rPr>
          <w:rFonts w:hint="eastAsia" w:ascii="Times New Roman" w:hAnsi="Times New Roman" w:cs="Times New Roman"/>
          <w:color w:val="auto"/>
          <w:kern w:val="2"/>
        </w:rPr>
        <w:t>如氮、磷的比例失调，可适量投加氮化合物和磷化合物；</w:t>
      </w:r>
    </w:p>
    <w:p>
      <w:pPr>
        <w:pStyle w:val="2"/>
        <w:spacing w:line="360" w:lineRule="auto"/>
        <w:ind w:left="480" w:leftChars="200" w:firstLine="240" w:firstLineChars="100"/>
        <w:rPr>
          <w:rFonts w:ascii="Times New Roman" w:hAnsi="Times New Roman" w:cs="Times New Roman"/>
          <w:color w:val="auto"/>
          <w:kern w:val="2"/>
        </w:rPr>
      </w:pPr>
      <w:r>
        <w:rPr>
          <w:rFonts w:hint="eastAsia" w:ascii="Times New Roman" w:hAnsi="Times New Roman" w:cs="Times New Roman"/>
          <w:color w:val="auto"/>
          <w:kern w:val="2"/>
        </w:rPr>
        <w:t>④调整污泥负荷，若污泥负荷过高，可适当提高MLSS值；</w:t>
      </w:r>
    </w:p>
    <w:p>
      <w:pPr>
        <w:pStyle w:val="2"/>
        <w:spacing w:line="360" w:lineRule="auto"/>
        <w:ind w:left="480" w:leftChars="200" w:firstLine="240" w:firstLineChars="100"/>
        <w:rPr>
          <w:color w:val="auto"/>
        </w:rPr>
      </w:pPr>
      <w:r>
        <w:rPr>
          <w:rFonts w:hint="eastAsia" w:ascii="Times New Roman" w:hAnsi="Times New Roman" w:cs="Times New Roman"/>
          <w:color w:val="auto"/>
          <w:kern w:val="2"/>
        </w:rPr>
        <w:t>⑤投加一些化学药剂（如铁盐絮凝剂、有机阳离子絮凝剂，黄泥等惰性物质以及漂白粉等）。但投加药剂费用较贵，停止加药后又会恢复膨胀，并且并不是对各类膨胀都有效。</w:t>
      </w:r>
    </w:p>
    <w:p>
      <w:pPr>
        <w:ind w:firstLine="482"/>
        <w:rPr>
          <w:b/>
          <w:bCs/>
        </w:rPr>
      </w:pPr>
      <w:r>
        <w:rPr>
          <w:b/>
          <w:bCs/>
        </w:rPr>
        <w:t>4.2.</w:t>
      </w:r>
      <w:r>
        <w:rPr>
          <w:rFonts w:hint="eastAsia"/>
          <w:b/>
          <w:bCs/>
        </w:rPr>
        <w:t>4</w:t>
      </w:r>
      <w:r>
        <w:rPr>
          <w:b/>
          <w:bCs/>
        </w:rPr>
        <w:t>.3应急资源分析</w:t>
      </w:r>
    </w:p>
    <w:p>
      <w:pPr>
        <w:pStyle w:val="48"/>
        <w:spacing w:beforeLines="0" w:line="360" w:lineRule="auto"/>
        <w:ind w:firstLine="420" w:firstLineChars="200"/>
        <w:jc w:val="left"/>
        <w:rPr>
          <w:b w:val="0"/>
        </w:rPr>
      </w:pPr>
      <w:r>
        <w:rPr>
          <w:rFonts w:hAnsi="宋体"/>
          <w:b w:val="0"/>
        </w:rPr>
        <w:t>配备了</w:t>
      </w:r>
      <w:r>
        <w:rPr>
          <w:rFonts w:hint="eastAsia" w:hAnsi="宋体"/>
          <w:b w:val="0"/>
        </w:rPr>
        <w:t>如絮凝剂、有机阳离子絮凝剂，黄泥等惰性物质以及漂白粉</w:t>
      </w:r>
      <w:r>
        <w:rPr>
          <w:rFonts w:hAnsi="宋体"/>
          <w:b w:val="0"/>
        </w:rPr>
        <w:t>等</w:t>
      </w:r>
      <w:r>
        <w:rPr>
          <w:rFonts w:hint="eastAsia" w:hAnsi="宋体"/>
          <w:b w:val="0"/>
        </w:rPr>
        <w:t>化学药剂</w:t>
      </w:r>
      <w:r>
        <w:rPr>
          <w:rFonts w:hAnsi="宋体"/>
          <w:b w:val="0"/>
        </w:rPr>
        <w:t>。</w:t>
      </w:r>
    </w:p>
    <w:p>
      <w:pPr>
        <w:ind w:firstLine="482"/>
        <w:rPr>
          <w:b/>
          <w:bCs/>
        </w:rPr>
      </w:pPr>
      <w:bookmarkStart w:id="68" w:name="_Toc11981"/>
      <w:r>
        <w:rPr>
          <w:b/>
          <w:bCs/>
        </w:rPr>
        <w:t>4.2.</w:t>
      </w:r>
      <w:r>
        <w:rPr>
          <w:rFonts w:hint="eastAsia"/>
          <w:b/>
          <w:bCs/>
        </w:rPr>
        <w:t>5人员中毒和坠池</w:t>
      </w:r>
      <w:bookmarkEnd w:id="68"/>
    </w:p>
    <w:p>
      <w:pPr>
        <w:ind w:firstLine="482"/>
        <w:rPr>
          <w:b/>
          <w:bCs/>
        </w:rPr>
      </w:pPr>
      <w:r>
        <w:rPr>
          <w:b/>
          <w:bCs/>
        </w:rPr>
        <w:t>4.2.</w:t>
      </w:r>
      <w:r>
        <w:rPr>
          <w:rFonts w:hint="eastAsia"/>
          <w:b/>
          <w:bCs/>
        </w:rPr>
        <w:t>5</w:t>
      </w:r>
      <w:r>
        <w:rPr>
          <w:b/>
          <w:bCs/>
        </w:rPr>
        <w:t>.</w:t>
      </w:r>
      <w:r>
        <w:rPr>
          <w:rFonts w:hint="eastAsia"/>
          <w:b/>
          <w:bCs/>
        </w:rPr>
        <w:t>1</w:t>
      </w:r>
      <w:r>
        <w:rPr>
          <w:b/>
          <w:bCs/>
        </w:rPr>
        <w:t>涉及环境风险防控与应急措施分析</w:t>
      </w:r>
    </w:p>
    <w:p>
      <w:pPr>
        <w:ind w:firstLine="560" w:firstLineChars="0"/>
        <w:rPr>
          <w:bCs/>
          <w:kern w:val="0"/>
        </w:rPr>
      </w:pPr>
      <w:r>
        <w:rPr>
          <w:rFonts w:hAnsi="宋体"/>
          <w:bCs/>
          <w:kern w:val="0"/>
        </w:rPr>
        <w:t>（</w:t>
      </w:r>
      <w:r>
        <w:rPr>
          <w:bCs/>
          <w:kern w:val="0"/>
        </w:rPr>
        <w:t>1</w:t>
      </w:r>
      <w:r>
        <w:rPr>
          <w:rFonts w:hAnsi="宋体"/>
          <w:bCs/>
          <w:kern w:val="0"/>
        </w:rPr>
        <w:t>）防控措施分析：</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①</w:t>
      </w:r>
      <w:r>
        <w:rPr>
          <w:rFonts w:hint="eastAsia" w:ascii="Times New Roman" w:hAnsi="Times New Roman" w:cs="Times New Roman"/>
          <w:color w:val="auto"/>
          <w:kern w:val="2"/>
        </w:rPr>
        <w:t>对现场维修、操作人员经常性进行安全教育，并监督其安全操作；</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②</w:t>
      </w:r>
      <w:r>
        <w:rPr>
          <w:rFonts w:hint="eastAsia" w:ascii="Times New Roman" w:hAnsi="Times New Roman" w:cs="Times New Roman"/>
          <w:color w:val="auto"/>
          <w:kern w:val="2"/>
        </w:rPr>
        <w:t>随时配备安全工具：安全绳、安全帽、救生圈、防毒面具等；</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③</w:t>
      </w:r>
      <w:r>
        <w:rPr>
          <w:rFonts w:hint="eastAsia" w:ascii="Times New Roman" w:hAnsi="Times New Roman" w:cs="Times New Roman"/>
          <w:color w:val="auto"/>
          <w:kern w:val="2"/>
        </w:rPr>
        <w:t>对员工进行“如何救护他人”相关方法进行培训；</w:t>
      </w:r>
    </w:p>
    <w:p>
      <w:pPr>
        <w:tabs>
          <w:tab w:val="left" w:pos="3535"/>
        </w:tabs>
        <w:ind w:firstLine="560" w:firstLineChars="0"/>
        <w:rPr>
          <w:bCs/>
          <w:kern w:val="0"/>
        </w:rPr>
      </w:pPr>
      <w:r>
        <w:rPr>
          <w:rFonts w:hAnsi="宋体"/>
          <w:bCs/>
          <w:kern w:val="0"/>
        </w:rPr>
        <w:t>（</w:t>
      </w:r>
      <w:r>
        <w:rPr>
          <w:bCs/>
          <w:kern w:val="0"/>
        </w:rPr>
        <w:t>2</w:t>
      </w:r>
      <w:r>
        <w:rPr>
          <w:rFonts w:hAnsi="宋体"/>
          <w:bCs/>
          <w:kern w:val="0"/>
        </w:rPr>
        <w:t>）应急措施分析：</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①</w:t>
      </w:r>
      <w:r>
        <w:rPr>
          <w:rFonts w:hint="eastAsia" w:ascii="Times New Roman" w:hAnsi="Times New Roman" w:cs="Times New Roman"/>
          <w:color w:val="auto"/>
          <w:kern w:val="2"/>
        </w:rPr>
        <w:t>立即通知上级领导和拨打120；</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②</w:t>
      </w:r>
      <w:r>
        <w:rPr>
          <w:rFonts w:hint="eastAsia" w:ascii="Times New Roman" w:hAnsi="Times New Roman" w:cs="Times New Roman"/>
          <w:color w:val="auto"/>
          <w:kern w:val="2"/>
        </w:rPr>
        <w:t>在知道如何救援情况下进行施救；</w:t>
      </w:r>
    </w:p>
    <w:p>
      <w:pPr>
        <w:ind w:firstLine="482"/>
        <w:rPr>
          <w:b/>
          <w:bCs/>
        </w:rPr>
      </w:pPr>
      <w:r>
        <w:rPr>
          <w:b/>
          <w:bCs/>
        </w:rPr>
        <w:t>4.2.</w:t>
      </w:r>
      <w:r>
        <w:rPr>
          <w:rFonts w:hint="eastAsia"/>
          <w:b/>
          <w:bCs/>
        </w:rPr>
        <w:t>5</w:t>
      </w:r>
      <w:r>
        <w:rPr>
          <w:b/>
          <w:bCs/>
        </w:rPr>
        <w:t>.3应急资源分析</w:t>
      </w:r>
    </w:p>
    <w:p>
      <w:pPr>
        <w:pStyle w:val="48"/>
        <w:spacing w:beforeLines="0" w:line="360" w:lineRule="auto"/>
        <w:ind w:firstLine="420" w:firstLineChars="200"/>
        <w:jc w:val="left"/>
        <w:rPr>
          <w:b w:val="0"/>
        </w:rPr>
      </w:pPr>
      <w:r>
        <w:rPr>
          <w:rFonts w:hint="eastAsia" w:hAnsi="宋体"/>
          <w:b w:val="0"/>
        </w:rPr>
        <w:t>厂区配置防毒面具、正压式空气呼吸器、救生圈等应急物资</w:t>
      </w:r>
      <w:r>
        <w:rPr>
          <w:rFonts w:hAnsi="宋体"/>
          <w:b w:val="0"/>
        </w:rPr>
        <w:t>。</w:t>
      </w:r>
    </w:p>
    <w:p>
      <w:pPr>
        <w:ind w:firstLine="482"/>
        <w:rPr>
          <w:b/>
          <w:bCs/>
        </w:rPr>
      </w:pPr>
      <w:bookmarkStart w:id="69" w:name="_Toc18139"/>
      <w:r>
        <w:rPr>
          <w:b/>
          <w:bCs/>
        </w:rPr>
        <w:t>4.2.</w:t>
      </w:r>
      <w:r>
        <w:rPr>
          <w:rFonts w:hint="eastAsia"/>
          <w:b/>
          <w:bCs/>
        </w:rPr>
        <w:t>6电力中断</w:t>
      </w:r>
      <w:bookmarkEnd w:id="69"/>
    </w:p>
    <w:p>
      <w:pPr>
        <w:ind w:firstLine="482"/>
        <w:rPr>
          <w:b/>
          <w:bCs/>
        </w:rPr>
      </w:pPr>
      <w:r>
        <w:rPr>
          <w:b/>
          <w:bCs/>
        </w:rPr>
        <w:t>4.2.</w:t>
      </w:r>
      <w:r>
        <w:rPr>
          <w:rFonts w:hint="eastAsia"/>
          <w:b/>
          <w:bCs/>
        </w:rPr>
        <w:t>6</w:t>
      </w:r>
      <w:r>
        <w:rPr>
          <w:b/>
          <w:bCs/>
        </w:rPr>
        <w:t>.</w:t>
      </w:r>
      <w:r>
        <w:rPr>
          <w:rFonts w:hint="eastAsia"/>
          <w:b/>
          <w:bCs/>
        </w:rPr>
        <w:t>1</w:t>
      </w:r>
      <w:r>
        <w:rPr>
          <w:b/>
          <w:bCs/>
        </w:rPr>
        <w:t>涉及环境风险防控与应急措施分析</w:t>
      </w:r>
    </w:p>
    <w:p>
      <w:pPr>
        <w:ind w:firstLine="560" w:firstLineChars="0"/>
        <w:rPr>
          <w:bCs/>
          <w:kern w:val="0"/>
        </w:rPr>
      </w:pPr>
      <w:r>
        <w:rPr>
          <w:rFonts w:hAnsi="宋体"/>
          <w:bCs/>
          <w:kern w:val="0"/>
        </w:rPr>
        <w:t>（</w:t>
      </w:r>
      <w:r>
        <w:rPr>
          <w:bCs/>
          <w:kern w:val="0"/>
        </w:rPr>
        <w:t>1</w:t>
      </w:r>
      <w:r>
        <w:rPr>
          <w:rFonts w:hAnsi="宋体"/>
          <w:bCs/>
          <w:kern w:val="0"/>
        </w:rPr>
        <w:t>）防控措施分析：</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①</w:t>
      </w:r>
      <w:r>
        <w:rPr>
          <w:rFonts w:hint="eastAsia" w:ascii="Times New Roman" w:hAnsi="Times New Roman" w:cs="Times New Roman"/>
          <w:color w:val="auto"/>
          <w:kern w:val="2"/>
        </w:rPr>
        <w:t>电线老化，导致电线线路断开；</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②</w:t>
      </w:r>
      <w:r>
        <w:rPr>
          <w:rFonts w:hint="eastAsia" w:ascii="Times New Roman" w:hAnsi="Times New Roman" w:cs="Times New Roman"/>
          <w:color w:val="auto"/>
          <w:kern w:val="2"/>
        </w:rPr>
        <w:t>计划性停电</w:t>
      </w:r>
    </w:p>
    <w:p>
      <w:pPr>
        <w:pStyle w:val="2"/>
        <w:spacing w:line="360" w:lineRule="auto"/>
        <w:ind w:left="480" w:leftChars="200" w:firstLine="240" w:firstLineChars="100"/>
        <w:rPr>
          <w:rFonts w:ascii="Times New Roman" w:hAnsi="Times New Roman" w:cs="Times New Roman"/>
          <w:color w:val="auto"/>
          <w:kern w:val="2"/>
        </w:rPr>
      </w:pPr>
      <w:r>
        <w:rPr>
          <w:rFonts w:ascii="Times New Roman" w:hAnsi="Times New Roman" w:cs="Times New Roman"/>
          <w:color w:val="auto"/>
          <w:kern w:val="2"/>
        </w:rPr>
        <w:t>③</w:t>
      </w:r>
      <w:r>
        <w:rPr>
          <w:rFonts w:hint="eastAsia" w:ascii="Times New Roman" w:hAnsi="Times New Roman" w:cs="Times New Roman"/>
          <w:color w:val="auto"/>
          <w:kern w:val="2"/>
        </w:rPr>
        <w:t>临时停电</w:t>
      </w:r>
    </w:p>
    <w:p>
      <w:pPr>
        <w:tabs>
          <w:tab w:val="left" w:pos="3535"/>
        </w:tabs>
        <w:ind w:firstLine="560" w:firstLineChars="0"/>
        <w:rPr>
          <w:bCs/>
          <w:kern w:val="0"/>
        </w:rPr>
      </w:pPr>
      <w:r>
        <w:rPr>
          <w:rFonts w:hAnsi="宋体"/>
          <w:bCs/>
          <w:kern w:val="0"/>
        </w:rPr>
        <w:t>（</w:t>
      </w:r>
      <w:r>
        <w:rPr>
          <w:bCs/>
          <w:kern w:val="0"/>
        </w:rPr>
        <w:t>2</w:t>
      </w:r>
      <w:r>
        <w:rPr>
          <w:rFonts w:hAnsi="宋体"/>
          <w:bCs/>
          <w:kern w:val="0"/>
        </w:rPr>
        <w:t>）应急措施分析：</w:t>
      </w:r>
    </w:p>
    <w:p>
      <w:pPr>
        <w:pStyle w:val="2"/>
        <w:spacing w:line="360" w:lineRule="auto"/>
        <w:ind w:left="480" w:leftChars="200" w:firstLine="240" w:firstLineChars="100"/>
        <w:rPr>
          <w:rFonts w:ascii="Times New Roman" w:hAnsi="Times New Roman" w:cs="Times New Roman"/>
          <w:color w:val="auto"/>
          <w:kern w:val="2"/>
        </w:rPr>
      </w:pPr>
      <w:r>
        <w:rPr>
          <w:rFonts w:hint="eastAsia" w:ascii="Times New Roman" w:hAnsi="Times New Roman" w:cs="Times New Roman"/>
          <w:color w:val="auto"/>
          <w:kern w:val="2"/>
        </w:rPr>
        <w:t>本项目采用双回路电源，在停电时，立即启用备用电源。</w:t>
      </w:r>
    </w:p>
    <w:p>
      <w:pPr>
        <w:ind w:firstLine="482"/>
        <w:rPr>
          <w:b/>
          <w:bCs/>
        </w:rPr>
      </w:pPr>
      <w:r>
        <w:rPr>
          <w:b/>
          <w:bCs/>
        </w:rPr>
        <w:t>4.2.</w:t>
      </w:r>
      <w:r>
        <w:rPr>
          <w:rFonts w:hint="eastAsia"/>
          <w:b/>
          <w:bCs/>
        </w:rPr>
        <w:t>6</w:t>
      </w:r>
      <w:r>
        <w:rPr>
          <w:b/>
          <w:bCs/>
        </w:rPr>
        <w:t>.3应急资源分析</w:t>
      </w:r>
    </w:p>
    <w:p>
      <w:pPr>
        <w:pStyle w:val="2"/>
        <w:ind w:firstLine="480" w:firstLineChars="200"/>
        <w:rPr>
          <w:rFonts w:ascii="Times New Roman" w:cs="Times New Roman"/>
          <w:b/>
          <w:color w:val="auto"/>
        </w:rPr>
      </w:pPr>
      <w:r>
        <w:rPr>
          <w:rFonts w:hint="eastAsia" w:ascii="Times New Roman" w:hAnsi="Times New Roman" w:cs="Times New Roman"/>
          <w:color w:val="auto"/>
          <w:kern w:val="2"/>
        </w:rPr>
        <w:t>本项目采用双回路电源，在停电时，立即启用备用电源。</w:t>
      </w:r>
    </w:p>
    <w:p>
      <w:pPr>
        <w:ind w:firstLine="482"/>
        <w:rPr>
          <w:b/>
          <w:bCs/>
        </w:rPr>
      </w:pPr>
      <w:bookmarkStart w:id="70" w:name="_Toc25266"/>
      <w:r>
        <w:rPr>
          <w:b/>
          <w:bCs/>
        </w:rPr>
        <w:t>4.2.</w:t>
      </w:r>
      <w:r>
        <w:rPr>
          <w:rFonts w:hint="eastAsia"/>
          <w:b/>
          <w:bCs/>
        </w:rPr>
        <w:t>7火灾</w:t>
      </w:r>
      <w:bookmarkEnd w:id="70"/>
    </w:p>
    <w:p>
      <w:pPr>
        <w:ind w:firstLine="482"/>
        <w:rPr>
          <w:b/>
          <w:bCs/>
        </w:rPr>
      </w:pPr>
      <w:r>
        <w:rPr>
          <w:b/>
          <w:bCs/>
        </w:rPr>
        <w:t>4.2.</w:t>
      </w:r>
      <w:r>
        <w:rPr>
          <w:rFonts w:hint="eastAsia"/>
          <w:b/>
          <w:bCs/>
        </w:rPr>
        <w:t>7</w:t>
      </w:r>
      <w:r>
        <w:rPr>
          <w:b/>
          <w:bCs/>
        </w:rPr>
        <w:t>.1释放环境风险物质的扩散途径分析</w:t>
      </w:r>
    </w:p>
    <w:p>
      <w:pPr>
        <w:ind w:firstLine="480"/>
      </w:pPr>
      <w:r>
        <w:rPr>
          <w:rFonts w:hint="eastAsia"/>
        </w:rPr>
        <w:t>若</w:t>
      </w:r>
      <w:r>
        <w:t>发生火灾，当发展到轰燃之后，火势猛烈，</w:t>
      </w:r>
      <w:r>
        <w:rPr>
          <w:rFonts w:hint="eastAsia"/>
        </w:rPr>
        <w:t>逐渐</w:t>
      </w:r>
      <w:r>
        <w:t>向其他空间蔓延。向其他空间蔓延的途径主要有：未设适当的防火分隔，使火灾在未受到限制的条件下蔓延扩大</w:t>
      </w:r>
      <w:r>
        <w:rPr>
          <w:rFonts w:hint="eastAsia"/>
        </w:rPr>
        <w:t>；</w:t>
      </w:r>
      <w:r>
        <w:t>外窗形成的竖向和水平蔓延；通风管道及其周围缝隙造成火灾蔓延等。</w:t>
      </w:r>
    </w:p>
    <w:p>
      <w:pPr>
        <w:ind w:firstLine="480"/>
      </w:pPr>
      <w:r>
        <w:rPr>
          <w:rFonts w:hint="eastAsia"/>
        </w:rPr>
        <w:t>本公司若发生火灾，释放的环境风险物质有消防废水、火灾衍生的废气。消防废水的扩散途径：经雨水管道排入周边水体。火灾衍生的废气的扩散途径：随风飘散到大气环境。</w:t>
      </w:r>
    </w:p>
    <w:p>
      <w:pPr>
        <w:ind w:firstLine="482"/>
        <w:rPr>
          <w:b/>
          <w:bCs/>
        </w:rPr>
      </w:pPr>
      <w:r>
        <w:rPr>
          <w:b/>
          <w:bCs/>
        </w:rPr>
        <w:t>4.2.</w:t>
      </w:r>
      <w:r>
        <w:rPr>
          <w:rFonts w:hint="eastAsia"/>
          <w:b/>
          <w:bCs/>
        </w:rPr>
        <w:t>7</w:t>
      </w:r>
      <w:r>
        <w:rPr>
          <w:b/>
          <w:bCs/>
        </w:rPr>
        <w:t>.2涉及环境风险防控与应急措施分析</w:t>
      </w:r>
    </w:p>
    <w:p>
      <w:pPr>
        <w:pStyle w:val="48"/>
        <w:spacing w:beforeLines="0" w:line="360" w:lineRule="auto"/>
        <w:ind w:firstLine="420" w:firstLineChars="200"/>
        <w:jc w:val="left"/>
        <w:rPr>
          <w:b w:val="0"/>
        </w:rPr>
      </w:pPr>
      <w:r>
        <w:rPr>
          <w:rFonts w:hint="eastAsia"/>
          <w:b w:val="0"/>
        </w:rPr>
        <w:t>①发现人员立即用最近的消防器材扑救，以免延误战机火灾扩大。用灭火器直打火点，直至灭火。尽可能切断电源。</w:t>
      </w:r>
    </w:p>
    <w:p>
      <w:pPr>
        <w:pStyle w:val="48"/>
        <w:spacing w:beforeLines="0" w:line="360" w:lineRule="auto"/>
        <w:ind w:firstLine="420" w:firstLineChars="200"/>
        <w:jc w:val="left"/>
        <w:rPr>
          <w:b w:val="0"/>
        </w:rPr>
      </w:pPr>
      <w:r>
        <w:rPr>
          <w:rFonts w:hint="eastAsia"/>
          <w:b w:val="0"/>
        </w:rPr>
        <w:t>②电机着火，立即用干粉灭火器扑救，断电情况下可用消防水等扑救。</w:t>
      </w:r>
    </w:p>
    <w:p>
      <w:pPr>
        <w:ind w:firstLine="482"/>
        <w:rPr>
          <w:b/>
          <w:bCs/>
        </w:rPr>
      </w:pPr>
      <w:r>
        <w:rPr>
          <w:b/>
          <w:bCs/>
        </w:rPr>
        <w:t>4.2.</w:t>
      </w:r>
      <w:r>
        <w:rPr>
          <w:rFonts w:hint="eastAsia"/>
          <w:b/>
          <w:bCs/>
        </w:rPr>
        <w:t>7</w:t>
      </w:r>
      <w:r>
        <w:rPr>
          <w:b/>
          <w:bCs/>
        </w:rPr>
        <w:t>.3应急资源分析</w:t>
      </w:r>
    </w:p>
    <w:p>
      <w:pPr>
        <w:pStyle w:val="2"/>
        <w:ind w:firstLine="480" w:firstLineChars="200"/>
        <w:rPr>
          <w:rFonts w:ascii="Times New Roman" w:hAnsi="宋体" w:cs="Times New Roman"/>
          <w:color w:val="auto"/>
        </w:rPr>
      </w:pPr>
      <w:r>
        <w:rPr>
          <w:rFonts w:hint="eastAsia" w:ascii="Times New Roman" w:hAnsi="宋体" w:cs="Times New Roman"/>
          <w:color w:val="auto"/>
        </w:rPr>
        <w:t>厂区配备灭火器等应急物资</w:t>
      </w:r>
      <w:r>
        <w:rPr>
          <w:rFonts w:ascii="Times New Roman" w:hAnsi="宋体" w:cs="Times New Roman"/>
          <w:color w:val="auto"/>
        </w:rPr>
        <w:t>。</w:t>
      </w: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ind w:firstLine="240" w:firstLineChars="100"/>
        <w:rPr>
          <w:rFonts w:ascii="Times New Roman" w:hAnsi="宋体" w:cs="Times New Roman"/>
          <w:color w:val="auto"/>
        </w:rPr>
      </w:pPr>
    </w:p>
    <w:p>
      <w:pPr>
        <w:pStyle w:val="2"/>
        <w:rPr>
          <w:rFonts w:ascii="Times New Roman" w:hAnsi="宋体" w:cs="Times New Roman"/>
          <w:color w:val="auto"/>
        </w:rPr>
      </w:pPr>
    </w:p>
    <w:p>
      <w:pPr>
        <w:pStyle w:val="2"/>
        <w:rPr>
          <w:rFonts w:ascii="Times New Roman" w:hAnsi="宋体" w:cs="Times New Roman"/>
          <w:color w:val="auto"/>
        </w:rPr>
      </w:pPr>
    </w:p>
    <w:p>
      <w:pPr>
        <w:pStyle w:val="2"/>
        <w:rPr>
          <w:rFonts w:hint="eastAsia" w:ascii="Times New Roman" w:hAnsi="宋体" w:cs="Times New Roman"/>
          <w:color w:val="auto"/>
        </w:rPr>
      </w:pPr>
    </w:p>
    <w:p>
      <w:pPr>
        <w:pStyle w:val="2"/>
        <w:rPr>
          <w:rFonts w:ascii="Times New Roman" w:hAnsi="宋体" w:cs="Times New Roman"/>
          <w:color w:val="auto"/>
        </w:rPr>
      </w:pPr>
    </w:p>
    <w:p>
      <w:pPr>
        <w:pStyle w:val="2"/>
        <w:rPr>
          <w:rFonts w:ascii="Times New Roman" w:hAnsi="宋体" w:cs="Times New Roman"/>
          <w:color w:val="auto"/>
        </w:rPr>
      </w:pPr>
    </w:p>
    <w:p>
      <w:pPr>
        <w:pStyle w:val="2"/>
        <w:rPr>
          <w:rFonts w:ascii="Times New Roman" w:cs="Times New Roman"/>
          <w:b/>
          <w:color w:val="FF0000"/>
        </w:rPr>
      </w:pPr>
    </w:p>
    <w:p>
      <w:pPr>
        <w:pStyle w:val="3"/>
        <w:jc w:val="both"/>
      </w:pPr>
      <w:bookmarkStart w:id="71" w:name="_Toc15256"/>
      <w:bookmarkStart w:id="72" w:name="_Toc32257"/>
      <w:bookmarkStart w:id="73" w:name="_Toc4703_WPSOffice_Level1"/>
      <w:bookmarkStart w:id="74" w:name="_Toc7539"/>
      <w:bookmarkStart w:id="75" w:name="_Toc17074"/>
      <w:bookmarkStart w:id="76" w:name="_Toc2928"/>
      <w:bookmarkStart w:id="77" w:name="_Toc15499"/>
      <w:bookmarkStart w:id="78" w:name="_Toc1365"/>
      <w:r>
        <w:t>5现有环境风险防控和应急措施差距分析</w:t>
      </w:r>
      <w:bookmarkEnd w:id="71"/>
      <w:bookmarkEnd w:id="72"/>
      <w:bookmarkEnd w:id="73"/>
      <w:bookmarkEnd w:id="74"/>
      <w:bookmarkEnd w:id="75"/>
      <w:bookmarkEnd w:id="76"/>
      <w:bookmarkEnd w:id="77"/>
      <w:bookmarkEnd w:id="78"/>
    </w:p>
    <w:p>
      <w:pPr>
        <w:ind w:firstLine="480"/>
      </w:pPr>
      <w:r>
        <w:t>在充分调研企业现有应急能力和管理制度的基础上，根据企业涉及环境风险物质的种类及数量、环境风险受体等实际情况，结合可能发生的突发环境事件分析，从以下五方面对现有环境风险防控和应急措施存在的问题进行分析，找出差距，提出需要整改的短期、中期和长期项目内容。</w:t>
      </w:r>
    </w:p>
    <w:p>
      <w:pPr>
        <w:pStyle w:val="19"/>
        <w:spacing w:line="360" w:lineRule="auto"/>
        <w:ind w:firstLine="482" w:firstLineChars="200"/>
        <w:jc w:val="both"/>
        <w:rPr>
          <w:rFonts w:ascii="宋体" w:hAnsi="宋体" w:cs="宋体"/>
          <w:b/>
          <w:bCs/>
        </w:rPr>
      </w:pPr>
      <w:bookmarkStart w:id="79" w:name="_Toc31739"/>
      <w:bookmarkStart w:id="80" w:name="_Toc6246_WPSOffice_Level1"/>
      <w:bookmarkStart w:id="81" w:name="_Toc1970"/>
      <w:bookmarkStart w:id="82" w:name="_Toc5070"/>
      <w:bookmarkStart w:id="83" w:name="_Toc29645"/>
      <w:bookmarkStart w:id="84" w:name="_Toc8748"/>
      <w:bookmarkStart w:id="85" w:name="_Toc5221"/>
      <w:bookmarkStart w:id="86" w:name="_Toc27000"/>
      <w:r>
        <w:rPr>
          <w:rFonts w:hint="eastAsia" w:ascii="宋体" w:hAnsi="宋体" w:cs="宋体"/>
          <w:b/>
          <w:bCs/>
        </w:rPr>
        <w:t>5.1环境风险管理制度</w:t>
      </w:r>
      <w:bookmarkEnd w:id="79"/>
      <w:bookmarkEnd w:id="80"/>
      <w:bookmarkEnd w:id="81"/>
      <w:bookmarkEnd w:id="82"/>
      <w:bookmarkEnd w:id="83"/>
      <w:bookmarkEnd w:id="84"/>
      <w:bookmarkEnd w:id="85"/>
      <w:bookmarkEnd w:id="86"/>
    </w:p>
    <w:p>
      <w:pPr>
        <w:adjustRightInd w:val="0"/>
        <w:ind w:firstLine="480"/>
      </w:pPr>
      <w:r>
        <w:rPr>
          <w:rFonts w:hAnsi="宋体"/>
        </w:rPr>
        <w:t>环境管理制度的要求和公司建立环境管理制度情况见表</w:t>
      </w:r>
      <w:r>
        <w:t>5.1-1</w:t>
      </w:r>
      <w:r>
        <w:rPr>
          <w:rFonts w:hAnsi="宋体"/>
        </w:rPr>
        <w:t>。</w:t>
      </w:r>
    </w:p>
    <w:p>
      <w:pPr>
        <w:ind w:firstLine="420"/>
        <w:jc w:val="center"/>
        <w:rPr>
          <w:sz w:val="21"/>
          <w:szCs w:val="21"/>
        </w:rPr>
      </w:pPr>
      <w:r>
        <w:rPr>
          <w:rFonts w:hAnsi="宋体"/>
          <w:sz w:val="21"/>
          <w:szCs w:val="21"/>
        </w:rPr>
        <w:t>表</w:t>
      </w:r>
      <w:r>
        <w:rPr>
          <w:sz w:val="21"/>
          <w:szCs w:val="21"/>
        </w:rPr>
        <w:t>5.1-1</w:t>
      </w:r>
      <w:r>
        <w:rPr>
          <w:rFonts w:hAnsi="宋体"/>
          <w:sz w:val="21"/>
          <w:szCs w:val="21"/>
        </w:rPr>
        <w:t>环境管理制度情况</w:t>
      </w:r>
    </w:p>
    <w:tbl>
      <w:tblPr>
        <w:tblStyle w:val="21"/>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74"/>
        <w:gridCol w:w="3688"/>
        <w:gridCol w:w="3826"/>
        <w:gridCol w:w="155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74" w:type="dxa"/>
            <w:tcBorders>
              <w:top w:val="single" w:color="auto" w:sz="12" w:space="0"/>
              <w:bottom w:val="single" w:color="auto" w:sz="12" w:space="0"/>
            </w:tcBorders>
            <w:vAlign w:val="center"/>
          </w:tcPr>
          <w:p>
            <w:pPr>
              <w:pStyle w:val="56"/>
              <w:rPr>
                <w:b/>
                <w:szCs w:val="21"/>
              </w:rPr>
            </w:pPr>
            <w:r>
              <w:rPr>
                <w:rFonts w:hAnsi="宋体"/>
                <w:b/>
                <w:szCs w:val="21"/>
              </w:rPr>
              <w:t>序号</w:t>
            </w:r>
          </w:p>
        </w:tc>
        <w:tc>
          <w:tcPr>
            <w:tcW w:w="3688" w:type="dxa"/>
            <w:tcBorders>
              <w:top w:val="single" w:color="auto" w:sz="12" w:space="0"/>
              <w:bottom w:val="single" w:color="auto" w:sz="12" w:space="0"/>
            </w:tcBorders>
            <w:vAlign w:val="center"/>
          </w:tcPr>
          <w:p>
            <w:pPr>
              <w:pStyle w:val="56"/>
              <w:rPr>
                <w:b/>
                <w:szCs w:val="21"/>
              </w:rPr>
            </w:pPr>
            <w:r>
              <w:rPr>
                <w:rFonts w:hAnsi="宋体"/>
                <w:b/>
                <w:szCs w:val="21"/>
              </w:rPr>
              <w:t>具体要求</w:t>
            </w:r>
          </w:p>
        </w:tc>
        <w:tc>
          <w:tcPr>
            <w:tcW w:w="3826" w:type="dxa"/>
            <w:tcBorders>
              <w:top w:val="single" w:color="auto" w:sz="12" w:space="0"/>
              <w:bottom w:val="single" w:color="auto" w:sz="12" w:space="0"/>
            </w:tcBorders>
            <w:vAlign w:val="center"/>
          </w:tcPr>
          <w:p>
            <w:pPr>
              <w:pStyle w:val="56"/>
              <w:rPr>
                <w:b/>
                <w:szCs w:val="21"/>
              </w:rPr>
            </w:pPr>
            <w:r>
              <w:rPr>
                <w:rFonts w:hAnsi="宋体"/>
                <w:b/>
                <w:szCs w:val="21"/>
              </w:rPr>
              <w:t>企业现状</w:t>
            </w:r>
          </w:p>
        </w:tc>
        <w:tc>
          <w:tcPr>
            <w:tcW w:w="1553" w:type="dxa"/>
            <w:tcBorders>
              <w:top w:val="single" w:color="auto" w:sz="12" w:space="0"/>
              <w:bottom w:val="single" w:color="auto" w:sz="12" w:space="0"/>
            </w:tcBorders>
            <w:vAlign w:val="center"/>
          </w:tcPr>
          <w:p>
            <w:pPr>
              <w:pStyle w:val="56"/>
              <w:rPr>
                <w:b/>
                <w:szCs w:val="21"/>
              </w:rPr>
            </w:pPr>
            <w:r>
              <w:rPr>
                <w:rFonts w:hAnsi="宋体"/>
                <w:b/>
                <w:szCs w:val="21"/>
              </w:rPr>
              <w:t>差距分析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74" w:type="dxa"/>
            <w:tcBorders>
              <w:top w:val="single" w:color="auto" w:sz="12" w:space="0"/>
            </w:tcBorders>
            <w:vAlign w:val="center"/>
          </w:tcPr>
          <w:p>
            <w:pPr>
              <w:pStyle w:val="56"/>
              <w:rPr>
                <w:szCs w:val="21"/>
              </w:rPr>
            </w:pPr>
            <w:r>
              <w:rPr>
                <w:szCs w:val="21"/>
              </w:rPr>
              <w:t>1</w:t>
            </w:r>
          </w:p>
        </w:tc>
        <w:tc>
          <w:tcPr>
            <w:tcW w:w="3688" w:type="dxa"/>
            <w:tcBorders>
              <w:top w:val="single" w:color="auto" w:sz="12" w:space="0"/>
            </w:tcBorders>
            <w:vAlign w:val="center"/>
          </w:tcPr>
          <w:p>
            <w:pPr>
              <w:pStyle w:val="56"/>
              <w:rPr>
                <w:szCs w:val="21"/>
              </w:rPr>
            </w:pPr>
            <w:r>
              <w:rPr>
                <w:rFonts w:hAnsi="宋体"/>
                <w:szCs w:val="21"/>
              </w:rPr>
              <w:t>环境风险防控和应急措施制度是否建立，环境风险防控重点岗位的责任人或责任机构是否明确，定期巡检和维护责任制度是否落实。</w:t>
            </w:r>
          </w:p>
        </w:tc>
        <w:tc>
          <w:tcPr>
            <w:tcW w:w="3826" w:type="dxa"/>
            <w:tcBorders>
              <w:top w:val="single" w:color="auto" w:sz="12" w:space="0"/>
            </w:tcBorders>
            <w:vAlign w:val="center"/>
          </w:tcPr>
          <w:p>
            <w:pPr>
              <w:pStyle w:val="56"/>
              <w:rPr>
                <w:szCs w:val="21"/>
              </w:rPr>
            </w:pPr>
            <w:r>
              <w:rPr>
                <w:rFonts w:hAnsi="宋体"/>
                <w:szCs w:val="21"/>
              </w:rPr>
              <w:t>已建立相应措施制度，环境风险防控重点岗位责任人或责任机构明确，巡检、维护制度落实。</w:t>
            </w:r>
          </w:p>
        </w:tc>
        <w:tc>
          <w:tcPr>
            <w:tcW w:w="1553" w:type="dxa"/>
            <w:tcBorders>
              <w:top w:val="single" w:color="auto" w:sz="12" w:space="0"/>
            </w:tcBorders>
            <w:vAlign w:val="center"/>
          </w:tcPr>
          <w:p>
            <w:pPr>
              <w:pStyle w:val="56"/>
              <w:rPr>
                <w:szCs w:val="21"/>
              </w:rPr>
            </w:pPr>
            <w:r>
              <w:rPr>
                <w:rFonts w:hint="eastAsia" w:hAnsi="宋体"/>
                <w:szCs w:val="21"/>
              </w:rPr>
              <w:t>无差距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74" w:type="dxa"/>
            <w:vAlign w:val="center"/>
          </w:tcPr>
          <w:p>
            <w:pPr>
              <w:pStyle w:val="56"/>
              <w:rPr>
                <w:szCs w:val="21"/>
              </w:rPr>
            </w:pPr>
            <w:r>
              <w:rPr>
                <w:szCs w:val="21"/>
              </w:rPr>
              <w:t>2</w:t>
            </w:r>
          </w:p>
        </w:tc>
        <w:tc>
          <w:tcPr>
            <w:tcW w:w="3688" w:type="dxa"/>
            <w:vAlign w:val="center"/>
          </w:tcPr>
          <w:p>
            <w:pPr>
              <w:pStyle w:val="56"/>
              <w:rPr>
                <w:szCs w:val="21"/>
              </w:rPr>
            </w:pPr>
            <w:r>
              <w:rPr>
                <w:rFonts w:hAnsi="宋体"/>
                <w:szCs w:val="21"/>
              </w:rPr>
              <w:t>环评及批复文件的各项环境风险防控和应急措施要求是否落实。</w:t>
            </w:r>
          </w:p>
        </w:tc>
        <w:tc>
          <w:tcPr>
            <w:tcW w:w="3826" w:type="dxa"/>
            <w:vAlign w:val="center"/>
          </w:tcPr>
          <w:p>
            <w:pPr>
              <w:pStyle w:val="56"/>
              <w:rPr>
                <w:szCs w:val="21"/>
              </w:rPr>
            </w:pPr>
            <w:r>
              <w:rPr>
                <w:rFonts w:hAnsi="宋体"/>
                <w:szCs w:val="21"/>
              </w:rPr>
              <w:t>环评及环评批复要求已落实</w:t>
            </w:r>
          </w:p>
        </w:tc>
        <w:tc>
          <w:tcPr>
            <w:tcW w:w="1553" w:type="dxa"/>
            <w:vAlign w:val="center"/>
          </w:tcPr>
          <w:p>
            <w:pPr>
              <w:pStyle w:val="56"/>
              <w:rPr>
                <w:szCs w:val="21"/>
              </w:rPr>
            </w:pPr>
            <w:r>
              <w:rPr>
                <w:rFonts w:hAnsi="宋体"/>
                <w:szCs w:val="21"/>
              </w:rPr>
              <w:t>无差距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74" w:type="dxa"/>
            <w:vAlign w:val="center"/>
          </w:tcPr>
          <w:p>
            <w:pPr>
              <w:pStyle w:val="56"/>
              <w:rPr>
                <w:szCs w:val="21"/>
              </w:rPr>
            </w:pPr>
            <w:r>
              <w:rPr>
                <w:szCs w:val="21"/>
              </w:rPr>
              <w:t>3</w:t>
            </w:r>
          </w:p>
        </w:tc>
        <w:tc>
          <w:tcPr>
            <w:tcW w:w="3688" w:type="dxa"/>
            <w:vAlign w:val="center"/>
          </w:tcPr>
          <w:p>
            <w:pPr>
              <w:pStyle w:val="56"/>
              <w:rPr>
                <w:szCs w:val="21"/>
              </w:rPr>
            </w:pPr>
            <w:r>
              <w:rPr>
                <w:rFonts w:hAnsi="宋体"/>
                <w:szCs w:val="21"/>
              </w:rPr>
              <w:t>是否经常对职工开展环境风险和环境应急管理宣传和培训。</w:t>
            </w:r>
          </w:p>
        </w:tc>
        <w:tc>
          <w:tcPr>
            <w:tcW w:w="3826" w:type="dxa"/>
            <w:vAlign w:val="center"/>
          </w:tcPr>
          <w:p>
            <w:pPr>
              <w:pStyle w:val="56"/>
              <w:rPr>
                <w:szCs w:val="21"/>
              </w:rPr>
            </w:pPr>
            <w:r>
              <w:rPr>
                <w:rFonts w:hint="eastAsia" w:hAnsi="宋体"/>
                <w:szCs w:val="21"/>
              </w:rPr>
              <w:t>未</w:t>
            </w:r>
            <w:r>
              <w:rPr>
                <w:rFonts w:hAnsi="宋体"/>
                <w:szCs w:val="21"/>
              </w:rPr>
              <w:t>定期对员工开展</w:t>
            </w:r>
            <w:r>
              <w:rPr>
                <w:rFonts w:hint="eastAsia" w:hAnsi="宋体"/>
                <w:szCs w:val="21"/>
              </w:rPr>
              <w:t>应急演练</w:t>
            </w:r>
            <w:r>
              <w:rPr>
                <w:rFonts w:hAnsi="宋体"/>
                <w:szCs w:val="21"/>
              </w:rPr>
              <w:t>。</w:t>
            </w:r>
          </w:p>
        </w:tc>
        <w:tc>
          <w:tcPr>
            <w:tcW w:w="1553" w:type="dxa"/>
            <w:vAlign w:val="center"/>
          </w:tcPr>
          <w:p>
            <w:pPr>
              <w:pStyle w:val="56"/>
              <w:rPr>
                <w:szCs w:val="21"/>
              </w:rPr>
            </w:pPr>
            <w:r>
              <w:rPr>
                <w:rFonts w:hint="eastAsia" w:hAnsi="宋体"/>
                <w:szCs w:val="21"/>
              </w:rPr>
              <w:t>有</w:t>
            </w:r>
            <w:r>
              <w:rPr>
                <w:rFonts w:hAnsi="宋体"/>
                <w:szCs w:val="21"/>
              </w:rPr>
              <w:t>差距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74" w:type="dxa"/>
            <w:vAlign w:val="center"/>
          </w:tcPr>
          <w:p>
            <w:pPr>
              <w:pStyle w:val="56"/>
              <w:rPr>
                <w:szCs w:val="21"/>
              </w:rPr>
            </w:pPr>
            <w:r>
              <w:rPr>
                <w:szCs w:val="21"/>
              </w:rPr>
              <w:t>4</w:t>
            </w:r>
          </w:p>
        </w:tc>
        <w:tc>
          <w:tcPr>
            <w:tcW w:w="3688" w:type="dxa"/>
            <w:vAlign w:val="center"/>
          </w:tcPr>
          <w:p>
            <w:pPr>
              <w:pStyle w:val="56"/>
              <w:rPr>
                <w:szCs w:val="21"/>
              </w:rPr>
            </w:pPr>
            <w:r>
              <w:rPr>
                <w:rFonts w:hAnsi="宋体"/>
                <w:szCs w:val="21"/>
              </w:rPr>
              <w:t>是否建立突发环境事件信息报告制度，并有效执行。</w:t>
            </w:r>
          </w:p>
        </w:tc>
        <w:tc>
          <w:tcPr>
            <w:tcW w:w="3826" w:type="dxa"/>
            <w:vAlign w:val="center"/>
          </w:tcPr>
          <w:p>
            <w:pPr>
              <w:pStyle w:val="56"/>
              <w:rPr>
                <w:szCs w:val="21"/>
              </w:rPr>
            </w:pPr>
            <w:r>
              <w:rPr>
                <w:rFonts w:hAnsi="宋体"/>
                <w:szCs w:val="21"/>
              </w:rPr>
              <w:t>已建立突发环境事件信息报告制度，企业应急预案已明确。</w:t>
            </w:r>
          </w:p>
        </w:tc>
        <w:tc>
          <w:tcPr>
            <w:tcW w:w="1553" w:type="dxa"/>
            <w:vAlign w:val="center"/>
          </w:tcPr>
          <w:p>
            <w:pPr>
              <w:pStyle w:val="56"/>
              <w:rPr>
                <w:szCs w:val="21"/>
              </w:rPr>
            </w:pPr>
            <w:r>
              <w:rPr>
                <w:rFonts w:hAnsi="宋体"/>
                <w:szCs w:val="21"/>
              </w:rPr>
              <w:t>无差距</w:t>
            </w:r>
          </w:p>
        </w:tc>
      </w:tr>
    </w:tbl>
    <w:p>
      <w:pPr>
        <w:pStyle w:val="19"/>
        <w:spacing w:beforeLines="50" w:line="360" w:lineRule="auto"/>
        <w:ind w:firstLine="482" w:firstLineChars="200"/>
        <w:jc w:val="both"/>
        <w:rPr>
          <w:rFonts w:ascii="宋体" w:hAnsi="宋体" w:cs="宋体"/>
          <w:b/>
          <w:bCs/>
        </w:rPr>
      </w:pPr>
      <w:bookmarkStart w:id="87" w:name="_Toc13819"/>
      <w:bookmarkStart w:id="88" w:name="_Toc21039_WPSOffice_Level1"/>
      <w:bookmarkStart w:id="89" w:name="_Toc27220"/>
      <w:bookmarkStart w:id="90" w:name="_Toc11021"/>
      <w:bookmarkStart w:id="91" w:name="_Toc17221"/>
      <w:bookmarkStart w:id="92" w:name="_Toc22891"/>
      <w:bookmarkStart w:id="93" w:name="_Toc19737"/>
      <w:bookmarkStart w:id="94" w:name="_Toc16091"/>
      <w:r>
        <w:rPr>
          <w:rFonts w:hint="eastAsia" w:ascii="宋体" w:hAnsi="宋体" w:cs="宋体"/>
          <w:b/>
          <w:bCs/>
        </w:rPr>
        <w:t>5.2环境风险防控与应急措施</w:t>
      </w:r>
      <w:bookmarkEnd w:id="87"/>
      <w:bookmarkEnd w:id="88"/>
      <w:bookmarkEnd w:id="89"/>
      <w:bookmarkEnd w:id="90"/>
      <w:bookmarkEnd w:id="91"/>
      <w:bookmarkEnd w:id="92"/>
      <w:bookmarkEnd w:id="93"/>
      <w:bookmarkEnd w:id="94"/>
    </w:p>
    <w:p>
      <w:pPr>
        <w:ind w:firstLine="422"/>
        <w:jc w:val="center"/>
        <w:rPr>
          <w:b/>
          <w:sz w:val="21"/>
          <w:szCs w:val="21"/>
        </w:rPr>
      </w:pPr>
      <w:r>
        <w:rPr>
          <w:rFonts w:hAnsi="宋体"/>
          <w:b/>
          <w:sz w:val="21"/>
          <w:szCs w:val="21"/>
        </w:rPr>
        <w:t>表</w:t>
      </w:r>
      <w:r>
        <w:rPr>
          <w:b/>
          <w:sz w:val="21"/>
          <w:szCs w:val="21"/>
        </w:rPr>
        <w:t>5.2-1</w:t>
      </w:r>
      <w:r>
        <w:rPr>
          <w:rFonts w:hAnsi="宋体"/>
          <w:b/>
          <w:sz w:val="21"/>
          <w:szCs w:val="21"/>
        </w:rPr>
        <w:t>环境风险防控与应急措施差距分析</w:t>
      </w:r>
    </w:p>
    <w:tbl>
      <w:tblPr>
        <w:tblStyle w:val="21"/>
        <w:tblW w:w="0" w:type="auto"/>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92"/>
        <w:gridCol w:w="4394"/>
        <w:gridCol w:w="2268"/>
        <w:gridCol w:w="1218"/>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1192" w:type="dxa"/>
            <w:vAlign w:val="center"/>
          </w:tcPr>
          <w:p>
            <w:pPr>
              <w:pStyle w:val="42"/>
              <w:spacing w:line="240" w:lineRule="exact"/>
              <w:rPr>
                <w:b/>
                <w:szCs w:val="21"/>
              </w:rPr>
            </w:pPr>
            <w:r>
              <w:rPr>
                <w:rFonts w:hAnsi="宋体"/>
                <w:b/>
                <w:szCs w:val="21"/>
              </w:rPr>
              <w:t>评估指标</w:t>
            </w:r>
          </w:p>
        </w:tc>
        <w:tc>
          <w:tcPr>
            <w:tcW w:w="4394" w:type="dxa"/>
            <w:vAlign w:val="center"/>
          </w:tcPr>
          <w:p>
            <w:pPr>
              <w:pStyle w:val="42"/>
              <w:spacing w:line="240" w:lineRule="exact"/>
              <w:rPr>
                <w:b/>
                <w:szCs w:val="21"/>
              </w:rPr>
            </w:pPr>
            <w:r>
              <w:rPr>
                <w:rFonts w:hAnsi="宋体"/>
                <w:b/>
                <w:szCs w:val="21"/>
              </w:rPr>
              <w:t>相关要求</w:t>
            </w:r>
          </w:p>
        </w:tc>
        <w:tc>
          <w:tcPr>
            <w:tcW w:w="2268" w:type="dxa"/>
            <w:vAlign w:val="center"/>
          </w:tcPr>
          <w:p>
            <w:pPr>
              <w:pStyle w:val="42"/>
              <w:spacing w:line="240" w:lineRule="exact"/>
              <w:rPr>
                <w:b/>
                <w:szCs w:val="21"/>
              </w:rPr>
            </w:pPr>
            <w:r>
              <w:rPr>
                <w:rFonts w:hAnsi="宋体"/>
                <w:b/>
                <w:szCs w:val="21"/>
              </w:rPr>
              <w:t>公司情况</w:t>
            </w:r>
          </w:p>
        </w:tc>
        <w:tc>
          <w:tcPr>
            <w:tcW w:w="1218" w:type="dxa"/>
            <w:vAlign w:val="center"/>
          </w:tcPr>
          <w:p>
            <w:pPr>
              <w:pStyle w:val="42"/>
              <w:spacing w:line="240" w:lineRule="exact"/>
              <w:rPr>
                <w:b/>
                <w:szCs w:val="21"/>
              </w:rPr>
            </w:pPr>
            <w:r>
              <w:rPr>
                <w:rFonts w:hAnsi="宋体"/>
                <w:b/>
                <w:szCs w:val="21"/>
              </w:rPr>
              <w:t>差距分析</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截流措施</w:t>
            </w:r>
          </w:p>
        </w:tc>
        <w:tc>
          <w:tcPr>
            <w:tcW w:w="4394" w:type="dxa"/>
            <w:vAlign w:val="center"/>
          </w:tcPr>
          <w:p>
            <w:pPr>
              <w:pStyle w:val="42"/>
              <w:jc w:val="left"/>
              <w:rPr>
                <w:szCs w:val="21"/>
              </w:rPr>
            </w:pPr>
            <w:r>
              <w:rPr>
                <w:szCs w:val="21"/>
              </w:rPr>
              <w:t>1)</w:t>
            </w:r>
            <w:r>
              <w:rPr>
                <w:rFonts w:hAnsi="宋体"/>
                <w:szCs w:val="21"/>
              </w:rPr>
              <w:t>各个环境风险单元设防渗漏、防腐蚀、防淋溶、防流失措施，设防初期雨水、泄漏物、受污染的消防水（溢）流入雨水和清净下水系统的导流围挡收集措施（如防火堤、围堰等），且相关措施符合设计规范；且</w:t>
            </w:r>
          </w:p>
          <w:p>
            <w:pPr>
              <w:pStyle w:val="42"/>
              <w:jc w:val="left"/>
              <w:rPr>
                <w:szCs w:val="21"/>
              </w:rPr>
            </w:pPr>
            <w:r>
              <w:rPr>
                <w:szCs w:val="21"/>
              </w:rPr>
              <w:t>2)</w:t>
            </w:r>
            <w:r>
              <w:rPr>
                <w:rFonts w:hAnsi="宋体"/>
                <w:szCs w:val="21"/>
              </w:rPr>
              <w:t>装置围堰与罐区防火堤（围堰）外设排水切换阀，正常情况下通向雨水系统的阀门关闭，通向事故存液池、应急事故水池、清净下水排放缓冲池或污水处理系统的阀门打开；且</w:t>
            </w:r>
          </w:p>
          <w:p>
            <w:pPr>
              <w:pStyle w:val="42"/>
              <w:jc w:val="left"/>
              <w:rPr>
                <w:szCs w:val="21"/>
              </w:rPr>
            </w:pPr>
            <w:r>
              <w:rPr>
                <w:szCs w:val="21"/>
              </w:rPr>
              <w:t>3)</w:t>
            </w:r>
            <w:r>
              <w:rPr>
                <w:rFonts w:hAnsi="宋体"/>
                <w:szCs w:val="21"/>
              </w:rPr>
              <w:t>前述措施日常管理及维护良好，有专人负责阀门切换，保证初期雨水、泄漏物和受污染的消防水排入污水系统。</w:t>
            </w:r>
          </w:p>
        </w:tc>
        <w:tc>
          <w:tcPr>
            <w:tcW w:w="2268" w:type="dxa"/>
            <w:vMerge w:val="restart"/>
            <w:vAlign w:val="center"/>
          </w:tcPr>
          <w:p>
            <w:pPr>
              <w:pStyle w:val="42"/>
              <w:jc w:val="left"/>
              <w:rPr>
                <w:rFonts w:hAnsi="宋体"/>
                <w:szCs w:val="21"/>
              </w:rPr>
            </w:pPr>
            <w:r>
              <w:rPr>
                <w:szCs w:val="21"/>
              </w:rPr>
              <w:t>1</w:t>
            </w:r>
            <w:r>
              <w:rPr>
                <w:rFonts w:hAnsi="宋体"/>
                <w:szCs w:val="21"/>
              </w:rPr>
              <w:t>）储罐区设置了围堰</w:t>
            </w:r>
            <w:r>
              <w:rPr>
                <w:rFonts w:hint="eastAsia" w:hAnsi="宋体"/>
                <w:szCs w:val="21"/>
              </w:rPr>
              <w:t>、导流</w:t>
            </w:r>
            <w:r>
              <w:rPr>
                <w:rFonts w:hAnsi="宋体"/>
                <w:szCs w:val="21"/>
              </w:rPr>
              <w:t>槽</w:t>
            </w:r>
            <w:r>
              <w:rPr>
                <w:rFonts w:hint="eastAsia" w:hAnsi="宋体"/>
                <w:szCs w:val="21"/>
              </w:rPr>
              <w:t>以及污水收集井，但并未上防腐措施。车间内地面设有导流沟，污水经收集全部进入厂区内污水处理系统。</w:t>
            </w:r>
          </w:p>
          <w:p>
            <w:pPr>
              <w:pStyle w:val="42"/>
              <w:jc w:val="left"/>
              <w:rPr>
                <w:szCs w:val="21"/>
              </w:rPr>
            </w:pPr>
          </w:p>
        </w:tc>
        <w:tc>
          <w:tcPr>
            <w:tcW w:w="1218" w:type="dxa"/>
            <w:vMerge w:val="restart"/>
            <w:vAlign w:val="center"/>
          </w:tcPr>
          <w:p>
            <w:pPr>
              <w:pStyle w:val="42"/>
              <w:rPr>
                <w:rFonts w:hint="eastAsia" w:hAnsi="宋体"/>
                <w:szCs w:val="21"/>
              </w:rPr>
            </w:pPr>
            <w:r>
              <w:rPr>
                <w:rFonts w:hint="eastAsia" w:hAnsi="宋体"/>
                <w:szCs w:val="21"/>
              </w:rPr>
              <w:t>有差距</w:t>
            </w:r>
          </w:p>
          <w:p>
            <w:pPr>
              <w:pStyle w:val="42"/>
              <w:rPr>
                <w:szCs w:val="21"/>
              </w:rPr>
            </w:pPr>
            <w:r>
              <w:rPr>
                <w:rFonts w:hAnsi="宋体"/>
                <w:szCs w:val="21"/>
              </w:rPr>
              <w:t>储罐区</w:t>
            </w:r>
            <w:r>
              <w:rPr>
                <w:rFonts w:hint="eastAsia" w:hAnsi="宋体"/>
                <w:szCs w:val="21"/>
              </w:rPr>
              <w:t>未上防腐措施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color w:val="FF0000"/>
                <w:szCs w:val="21"/>
              </w:rPr>
            </w:pPr>
            <w:r>
              <w:rPr>
                <w:rFonts w:hAnsi="宋体"/>
                <w:szCs w:val="21"/>
              </w:rPr>
              <w:t>有任意一个环境风险单元的截流措施不符合上述任意一条要求的。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事故排水收集</w:t>
            </w:r>
          </w:p>
          <w:p>
            <w:pPr>
              <w:pStyle w:val="42"/>
              <w:rPr>
                <w:color w:val="FF0000"/>
                <w:szCs w:val="21"/>
              </w:rPr>
            </w:pPr>
            <w:r>
              <w:rPr>
                <w:rFonts w:hAnsi="宋体"/>
                <w:szCs w:val="21"/>
              </w:rPr>
              <w:t>措施</w:t>
            </w:r>
          </w:p>
        </w:tc>
        <w:tc>
          <w:tcPr>
            <w:tcW w:w="4394" w:type="dxa"/>
            <w:vAlign w:val="center"/>
          </w:tcPr>
          <w:p>
            <w:pPr>
              <w:pStyle w:val="42"/>
              <w:jc w:val="left"/>
              <w:rPr>
                <w:szCs w:val="21"/>
              </w:rPr>
            </w:pPr>
            <w:r>
              <w:rPr>
                <w:szCs w:val="21"/>
              </w:rPr>
              <w:t>1)</w:t>
            </w:r>
            <w:r>
              <w:rPr>
                <w:rFonts w:hAnsi="宋体"/>
                <w:szCs w:val="21"/>
              </w:rPr>
              <w:t>按相关设计规范设置应急事故水池、事故存液池或清净下水排放缓冲池等事故排水收集设施，并根据下游环境风险受体敏感程度和易发生极端天气情况，设置事故排水收集设施的容量；且</w:t>
            </w:r>
          </w:p>
          <w:p>
            <w:pPr>
              <w:pStyle w:val="42"/>
              <w:jc w:val="left"/>
              <w:rPr>
                <w:szCs w:val="21"/>
              </w:rPr>
            </w:pPr>
            <w:r>
              <w:rPr>
                <w:szCs w:val="21"/>
              </w:rPr>
              <w:t>2)</w:t>
            </w:r>
            <w:r>
              <w:rPr>
                <w:rFonts w:hAnsi="宋体"/>
                <w:szCs w:val="21"/>
              </w:rPr>
              <w:t>事故存液池、应急事故水池、清净下水排放缓冲池等事故排水收集设施位置合理，能自流式或确保事故状态下顺利收集泄漏物和消防水，日常保持足够的事故排水缓冲容量；且</w:t>
            </w:r>
          </w:p>
          <w:p>
            <w:pPr>
              <w:pStyle w:val="42"/>
              <w:jc w:val="left"/>
              <w:rPr>
                <w:szCs w:val="21"/>
              </w:rPr>
            </w:pPr>
            <w:r>
              <w:rPr>
                <w:szCs w:val="21"/>
              </w:rPr>
              <w:t>3)</w:t>
            </w:r>
            <w:r>
              <w:rPr>
                <w:rFonts w:hAnsi="宋体"/>
                <w:szCs w:val="21"/>
              </w:rPr>
              <w:t>设抽水设施，并与污水管线连接，能将所收集物送至厂区内污水处理设施处理。</w:t>
            </w:r>
          </w:p>
        </w:tc>
        <w:tc>
          <w:tcPr>
            <w:tcW w:w="2268" w:type="dxa"/>
            <w:vMerge w:val="restart"/>
            <w:vAlign w:val="center"/>
          </w:tcPr>
          <w:p>
            <w:pPr>
              <w:pStyle w:val="42"/>
              <w:jc w:val="both"/>
              <w:rPr>
                <w:rFonts w:hAnsi="宋体"/>
                <w:szCs w:val="21"/>
              </w:rPr>
            </w:pPr>
            <w:r>
              <w:rPr>
                <w:rFonts w:hint="eastAsia" w:hAnsi="宋体"/>
                <w:szCs w:val="21"/>
              </w:rPr>
              <w:t>1）由于生活污水处理量过大，厂区场地有限，未设置生活污水的事故应急池。</w:t>
            </w:r>
          </w:p>
          <w:p>
            <w:pPr>
              <w:pStyle w:val="42"/>
              <w:jc w:val="both"/>
              <w:rPr>
                <w:szCs w:val="21"/>
              </w:rPr>
            </w:pPr>
          </w:p>
        </w:tc>
        <w:tc>
          <w:tcPr>
            <w:tcW w:w="1218" w:type="dxa"/>
            <w:vMerge w:val="restart"/>
            <w:vAlign w:val="center"/>
          </w:tcPr>
          <w:p>
            <w:pPr>
              <w:pStyle w:val="42"/>
              <w:rPr>
                <w:szCs w:val="21"/>
              </w:rPr>
            </w:pPr>
            <w:r>
              <w:rPr>
                <w:rFonts w:hint="eastAsia"/>
                <w:szCs w:val="21"/>
              </w:rPr>
              <w:t>未设置生活污水的事故应急池。</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szCs w:val="21"/>
              </w:rPr>
            </w:pPr>
            <w:r>
              <w:rPr>
                <w:rFonts w:hAnsi="宋体"/>
                <w:szCs w:val="21"/>
              </w:rPr>
              <w:t>有任意一个环境风险单元的事故排水收集措施不符合上述任意一条要求的。</w:t>
            </w:r>
          </w:p>
        </w:tc>
        <w:tc>
          <w:tcPr>
            <w:tcW w:w="2268" w:type="dxa"/>
            <w:vMerge w:val="continue"/>
            <w:vAlign w:val="center"/>
          </w:tcPr>
          <w:p>
            <w:pPr>
              <w:spacing w:line="240" w:lineRule="auto"/>
              <w:ind w:firstLine="420"/>
              <w:jc w:val="left"/>
              <w:rPr>
                <w:sz w:val="21"/>
                <w:szCs w:val="21"/>
              </w:rPr>
            </w:pPr>
          </w:p>
        </w:tc>
        <w:tc>
          <w:tcPr>
            <w:tcW w:w="1218" w:type="dxa"/>
            <w:vMerge w:val="continue"/>
            <w:vAlign w:val="center"/>
          </w:tcPr>
          <w:p>
            <w:pPr>
              <w:spacing w:line="240" w:lineRule="auto"/>
              <w:ind w:firstLine="420"/>
              <w:rPr>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清净下水系统</w:t>
            </w:r>
          </w:p>
          <w:p>
            <w:pPr>
              <w:pStyle w:val="42"/>
              <w:rPr>
                <w:szCs w:val="21"/>
              </w:rPr>
            </w:pPr>
            <w:r>
              <w:rPr>
                <w:rFonts w:hAnsi="宋体"/>
                <w:szCs w:val="21"/>
              </w:rPr>
              <w:t>防控措施</w:t>
            </w:r>
          </w:p>
        </w:tc>
        <w:tc>
          <w:tcPr>
            <w:tcW w:w="4394" w:type="dxa"/>
            <w:vAlign w:val="center"/>
          </w:tcPr>
          <w:p>
            <w:pPr>
              <w:pStyle w:val="42"/>
              <w:jc w:val="left"/>
              <w:rPr>
                <w:szCs w:val="21"/>
              </w:rPr>
            </w:pPr>
            <w:r>
              <w:rPr>
                <w:szCs w:val="21"/>
              </w:rPr>
              <w:t>1)</w:t>
            </w:r>
            <w:r>
              <w:rPr>
                <w:rFonts w:hAnsi="宋体"/>
                <w:szCs w:val="21"/>
              </w:rPr>
              <w:t>不涉及清净下水；</w:t>
            </w:r>
          </w:p>
          <w:p>
            <w:pPr>
              <w:pStyle w:val="42"/>
              <w:jc w:val="left"/>
              <w:rPr>
                <w:szCs w:val="21"/>
              </w:rPr>
            </w:pPr>
            <w:r>
              <w:rPr>
                <w:szCs w:val="21"/>
              </w:rPr>
              <w:t>2)</w:t>
            </w:r>
            <w:r>
              <w:rPr>
                <w:rFonts w:hAnsi="宋体"/>
                <w:szCs w:val="21"/>
              </w:rPr>
              <w:t>厂区内清净下水均进入废水处理系统；或清污分流，且清净下水系统具有下述所有措施：</w:t>
            </w:r>
          </w:p>
          <w:p>
            <w:pPr>
              <w:pStyle w:val="42"/>
              <w:jc w:val="left"/>
              <w:rPr>
                <w:szCs w:val="21"/>
              </w:rPr>
            </w:pPr>
            <w:r>
              <w:rPr>
                <w:rFonts w:hAnsi="宋体"/>
                <w:szCs w:val="21"/>
              </w:rPr>
              <w:t>①具有收集受污染的清净下水、初期雨水和消防水功能的清净下水排放缓冲池（或雨水收集池），池内日常保持足够的事故排水缓冲容量；池内设有提升设施，能将所集物送至厂区内污水处理设施处理；且</w:t>
            </w:r>
          </w:p>
          <w:p>
            <w:pPr>
              <w:pStyle w:val="42"/>
              <w:jc w:val="left"/>
              <w:rPr>
                <w:szCs w:val="21"/>
              </w:rPr>
            </w:pPr>
            <w:r>
              <w:rPr>
                <w:rFonts w:hAnsi="宋体"/>
                <w:szCs w:val="21"/>
              </w:rPr>
              <w:t>②具有清净下水系统（或排入雨水系统）的总排口监视及关闭设施，有专人负责在紧急情况下关闭清净下水总排口，防止受污染的雨水、清净下水、消防水和泄漏物进入外环境。</w:t>
            </w:r>
          </w:p>
        </w:tc>
        <w:tc>
          <w:tcPr>
            <w:tcW w:w="2268" w:type="dxa"/>
            <w:vMerge w:val="restart"/>
            <w:vAlign w:val="center"/>
          </w:tcPr>
          <w:p>
            <w:pPr>
              <w:pStyle w:val="42"/>
              <w:jc w:val="left"/>
              <w:rPr>
                <w:szCs w:val="21"/>
              </w:rPr>
            </w:pPr>
            <w:r>
              <w:rPr>
                <w:rFonts w:hint="eastAsia" w:hAnsi="宋体"/>
                <w:szCs w:val="21"/>
              </w:rPr>
              <w:t>不涉及</w:t>
            </w:r>
            <w:r>
              <w:rPr>
                <w:rFonts w:hAnsi="宋体"/>
                <w:szCs w:val="21"/>
              </w:rPr>
              <w:t>。</w:t>
            </w:r>
          </w:p>
        </w:tc>
        <w:tc>
          <w:tcPr>
            <w:tcW w:w="1218" w:type="dxa"/>
            <w:vMerge w:val="restart"/>
            <w:vAlign w:val="center"/>
          </w:tcPr>
          <w:p>
            <w:pPr>
              <w:pStyle w:val="42"/>
              <w:rPr>
                <w:szCs w:val="21"/>
              </w:rPr>
            </w:pPr>
            <w:r>
              <w:rPr>
                <w:rFonts w:hAnsi="宋体"/>
                <w:szCs w:val="21"/>
              </w:rPr>
              <w:t>无差距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szCs w:val="21"/>
              </w:rPr>
            </w:pPr>
            <w:r>
              <w:rPr>
                <w:rFonts w:hAnsi="宋体"/>
                <w:szCs w:val="21"/>
              </w:rPr>
              <w:t>涉及清净下水，有任意一个环境风险单元的清净下水系统防控措施但不符合上述</w:t>
            </w:r>
            <w:r>
              <w:rPr>
                <w:szCs w:val="21"/>
              </w:rPr>
              <w:t>2</w:t>
            </w:r>
            <w:r>
              <w:rPr>
                <w:rFonts w:hAnsi="宋体"/>
                <w:szCs w:val="21"/>
              </w:rPr>
              <w:t>）要求的。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雨水排水系统防</w:t>
            </w:r>
          </w:p>
          <w:p>
            <w:pPr>
              <w:pStyle w:val="42"/>
              <w:rPr>
                <w:szCs w:val="21"/>
              </w:rPr>
            </w:pPr>
            <w:r>
              <w:rPr>
                <w:rFonts w:hAnsi="宋体"/>
                <w:szCs w:val="21"/>
              </w:rPr>
              <w:t>控措施</w:t>
            </w:r>
          </w:p>
        </w:tc>
        <w:tc>
          <w:tcPr>
            <w:tcW w:w="4394" w:type="dxa"/>
            <w:vAlign w:val="center"/>
          </w:tcPr>
          <w:p>
            <w:pPr>
              <w:pStyle w:val="42"/>
              <w:jc w:val="left"/>
              <w:rPr>
                <w:szCs w:val="21"/>
              </w:rPr>
            </w:pPr>
            <w:r>
              <w:rPr>
                <w:rFonts w:hAnsi="宋体"/>
                <w:szCs w:val="21"/>
              </w:rPr>
              <w:t>厂区内雨水均进入废水处理系统；或雨污分流，且雨排水系统具有下述所有措施：</w:t>
            </w:r>
          </w:p>
          <w:p>
            <w:pPr>
              <w:pStyle w:val="42"/>
              <w:jc w:val="left"/>
              <w:rPr>
                <w:szCs w:val="21"/>
              </w:rPr>
            </w:pPr>
            <w:r>
              <w:rPr>
                <w:rFonts w:hAnsi="宋体"/>
                <w:szCs w:val="21"/>
              </w:rPr>
              <w:t>①具有收集初期雨水的收集池或雨水监控池；池出水管上设置切断阀，正常情况下阀门关闭，防止受污染的水外排；池内设有提升设施，能将所集物送至厂区内污水处理设施处理；且</w:t>
            </w:r>
          </w:p>
          <w:p>
            <w:pPr>
              <w:pStyle w:val="42"/>
              <w:jc w:val="left"/>
              <w:rPr>
                <w:szCs w:val="21"/>
              </w:rPr>
            </w:pPr>
            <w:r>
              <w:rPr>
                <w:rFonts w:hAnsi="宋体"/>
                <w:szCs w:val="21"/>
              </w:rPr>
              <w:t>②具有雨水系统外排总排口（含泄洪渠）监视及关闭设施，有专人负责在紧急情况下关闭雨水排口（含与清净下水共用一套排水系统情况），防止雨水、消防水和泄漏物进入外境；</w:t>
            </w:r>
          </w:p>
          <w:p>
            <w:pPr>
              <w:pStyle w:val="42"/>
              <w:jc w:val="left"/>
              <w:rPr>
                <w:szCs w:val="21"/>
              </w:rPr>
            </w:pPr>
            <w:r>
              <w:rPr>
                <w:rFonts w:hAnsi="宋体"/>
                <w:szCs w:val="21"/>
              </w:rPr>
              <w:t>③如果有排洪沟，排洪沟不通过生产区和罐区，具有防止泄漏物和受污染的消防水流入区域排洪沟的措施。</w:t>
            </w:r>
          </w:p>
        </w:tc>
        <w:tc>
          <w:tcPr>
            <w:tcW w:w="2268" w:type="dxa"/>
            <w:vMerge w:val="restart"/>
            <w:vAlign w:val="center"/>
          </w:tcPr>
          <w:p>
            <w:pPr>
              <w:pStyle w:val="42"/>
              <w:jc w:val="both"/>
              <w:rPr>
                <w:rFonts w:hAnsi="宋体"/>
                <w:szCs w:val="21"/>
              </w:rPr>
            </w:pPr>
            <w:r>
              <w:rPr>
                <w:rFonts w:hint="eastAsia"/>
                <w:szCs w:val="21"/>
              </w:rPr>
              <w:t>厂区雨水经厂区雨水管道收集后接入市政雨水管网</w:t>
            </w:r>
            <w:r>
              <w:rPr>
                <w:rFonts w:hint="eastAsia" w:hAnsi="宋体"/>
                <w:szCs w:val="21"/>
              </w:rPr>
              <w:t>。</w:t>
            </w:r>
          </w:p>
        </w:tc>
        <w:tc>
          <w:tcPr>
            <w:tcW w:w="1218" w:type="dxa"/>
            <w:vMerge w:val="restart"/>
            <w:vAlign w:val="center"/>
          </w:tcPr>
          <w:p>
            <w:pPr>
              <w:pStyle w:val="42"/>
              <w:rPr>
                <w:szCs w:val="21"/>
              </w:rPr>
            </w:pPr>
            <w:r>
              <w:rPr>
                <w:rFonts w:hint="eastAsia" w:hAnsi="宋体"/>
                <w:szCs w:val="21"/>
              </w:rPr>
              <w:t>无</w:t>
            </w:r>
            <w:r>
              <w:rPr>
                <w:rFonts w:hAnsi="宋体"/>
                <w:szCs w:val="21"/>
              </w:rPr>
              <w:t>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color w:val="FF0000"/>
                <w:szCs w:val="21"/>
              </w:rPr>
            </w:pPr>
            <w:r>
              <w:rPr>
                <w:rFonts w:hAnsi="宋体"/>
                <w:szCs w:val="21"/>
              </w:rPr>
              <w:t>不符合上述要求的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生产废水处理</w:t>
            </w:r>
          </w:p>
          <w:p>
            <w:pPr>
              <w:pStyle w:val="42"/>
              <w:rPr>
                <w:szCs w:val="21"/>
              </w:rPr>
            </w:pPr>
            <w:r>
              <w:rPr>
                <w:rFonts w:hAnsi="宋体"/>
                <w:szCs w:val="21"/>
              </w:rPr>
              <w:t>系统防控措施</w:t>
            </w:r>
          </w:p>
        </w:tc>
        <w:tc>
          <w:tcPr>
            <w:tcW w:w="4394" w:type="dxa"/>
            <w:vAlign w:val="center"/>
          </w:tcPr>
          <w:p>
            <w:pPr>
              <w:pStyle w:val="42"/>
              <w:jc w:val="left"/>
              <w:rPr>
                <w:szCs w:val="21"/>
              </w:rPr>
            </w:pPr>
            <w:r>
              <w:rPr>
                <w:szCs w:val="21"/>
              </w:rPr>
              <w:t>1</w:t>
            </w:r>
            <w:r>
              <w:rPr>
                <w:rFonts w:hAnsi="宋体"/>
                <w:szCs w:val="21"/>
              </w:rPr>
              <w:t>）无生产废水产生或外排；</w:t>
            </w:r>
          </w:p>
          <w:p>
            <w:pPr>
              <w:pStyle w:val="42"/>
              <w:jc w:val="left"/>
              <w:rPr>
                <w:szCs w:val="21"/>
              </w:rPr>
            </w:pPr>
            <w:r>
              <w:rPr>
                <w:szCs w:val="21"/>
              </w:rPr>
              <w:t>2</w:t>
            </w:r>
            <w:r>
              <w:rPr>
                <w:rFonts w:hAnsi="宋体"/>
                <w:szCs w:val="21"/>
              </w:rPr>
              <w:t>）有废水产生或外排时：</w:t>
            </w:r>
          </w:p>
          <w:p>
            <w:pPr>
              <w:pStyle w:val="42"/>
              <w:jc w:val="left"/>
              <w:rPr>
                <w:szCs w:val="21"/>
              </w:rPr>
            </w:pPr>
            <w:r>
              <w:rPr>
                <w:rFonts w:hAnsi="宋体"/>
                <w:szCs w:val="21"/>
              </w:rPr>
              <w:t>①受污染的循环冷却水、雨水、消防水等排入生产污水系统或独立处理系统；且</w:t>
            </w:r>
          </w:p>
          <w:p>
            <w:pPr>
              <w:pStyle w:val="42"/>
              <w:jc w:val="left"/>
              <w:rPr>
                <w:szCs w:val="21"/>
              </w:rPr>
            </w:pPr>
            <w:r>
              <w:rPr>
                <w:rFonts w:hAnsi="宋体"/>
                <w:szCs w:val="21"/>
              </w:rPr>
              <w:t>②生产废水排放前设监控池，能够将不合格废水送废水处理设施重新处理；且</w:t>
            </w:r>
          </w:p>
          <w:p>
            <w:pPr>
              <w:pStyle w:val="42"/>
              <w:jc w:val="left"/>
              <w:rPr>
                <w:szCs w:val="21"/>
              </w:rPr>
            </w:pPr>
            <w:r>
              <w:rPr>
                <w:rFonts w:hAnsi="宋体"/>
                <w:szCs w:val="21"/>
              </w:rPr>
              <w:t>③如企业受污染的清净下水或雨水进入废水处理系统处理，则废水处理系统应设置事故水缓冲设施；</w:t>
            </w:r>
          </w:p>
          <w:p>
            <w:pPr>
              <w:pStyle w:val="42"/>
              <w:jc w:val="left"/>
              <w:rPr>
                <w:szCs w:val="21"/>
              </w:rPr>
            </w:pPr>
            <w:r>
              <w:rPr>
                <w:rFonts w:hAnsi="宋体"/>
                <w:szCs w:val="21"/>
              </w:rPr>
              <w:t>④具有生产废水总排口监视及关闭设施，有专人负责启闭，确保泄漏物、受污染的消防水、不合格废水不排出厂外。</w:t>
            </w:r>
          </w:p>
        </w:tc>
        <w:tc>
          <w:tcPr>
            <w:tcW w:w="2268" w:type="dxa"/>
            <w:vMerge w:val="restart"/>
            <w:vAlign w:val="center"/>
          </w:tcPr>
          <w:p>
            <w:pPr>
              <w:pStyle w:val="42"/>
              <w:jc w:val="both"/>
              <w:rPr>
                <w:szCs w:val="21"/>
              </w:rPr>
            </w:pPr>
            <w:r>
              <w:rPr>
                <w:szCs w:val="21"/>
              </w:rPr>
              <w:t>1</w:t>
            </w:r>
            <w:r>
              <w:rPr>
                <w:rFonts w:hAnsi="宋体"/>
                <w:szCs w:val="21"/>
              </w:rPr>
              <w:t>）厂区生产废水、生活污水</w:t>
            </w:r>
            <w:r>
              <w:rPr>
                <w:rFonts w:hint="eastAsia" w:hAnsi="宋体"/>
                <w:szCs w:val="21"/>
              </w:rPr>
              <w:t>均</w:t>
            </w:r>
            <w:r>
              <w:rPr>
                <w:rFonts w:hAnsi="宋体"/>
                <w:szCs w:val="21"/>
              </w:rPr>
              <w:t>送入</w:t>
            </w:r>
            <w:r>
              <w:rPr>
                <w:rFonts w:hint="eastAsia" w:hAnsi="宋体"/>
                <w:szCs w:val="21"/>
              </w:rPr>
              <w:t>厂区</w:t>
            </w:r>
            <w:r>
              <w:rPr>
                <w:rFonts w:hAnsi="宋体"/>
                <w:szCs w:val="21"/>
              </w:rPr>
              <w:t>污水</w:t>
            </w:r>
            <w:r>
              <w:rPr>
                <w:rFonts w:hint="eastAsia" w:hAnsi="宋体"/>
                <w:szCs w:val="21"/>
              </w:rPr>
              <w:t>系统处理</w:t>
            </w:r>
            <w:r>
              <w:rPr>
                <w:rFonts w:hAnsi="宋体"/>
                <w:szCs w:val="21"/>
              </w:rPr>
              <w:t>，处理达标后</w:t>
            </w:r>
            <w:r>
              <w:rPr>
                <w:rFonts w:hint="eastAsia" w:hAnsi="宋体"/>
                <w:szCs w:val="21"/>
              </w:rPr>
              <w:t>排入长江</w:t>
            </w:r>
            <w:r>
              <w:rPr>
                <w:rFonts w:hAnsi="宋体"/>
                <w:szCs w:val="21"/>
              </w:rPr>
              <w:t>。</w:t>
            </w:r>
          </w:p>
          <w:p>
            <w:pPr>
              <w:pStyle w:val="42"/>
              <w:jc w:val="both"/>
              <w:rPr>
                <w:szCs w:val="21"/>
              </w:rPr>
            </w:pPr>
            <w:r>
              <w:rPr>
                <w:szCs w:val="21"/>
              </w:rPr>
              <w:t>2</w:t>
            </w:r>
            <w:r>
              <w:rPr>
                <w:rFonts w:hAnsi="宋体"/>
                <w:szCs w:val="21"/>
              </w:rPr>
              <w:t>）厂区污水</w:t>
            </w:r>
            <w:r>
              <w:rPr>
                <w:rFonts w:hint="eastAsia" w:hAnsi="宋体"/>
                <w:szCs w:val="21"/>
              </w:rPr>
              <w:t>进出口均</w:t>
            </w:r>
            <w:r>
              <w:rPr>
                <w:rFonts w:hAnsi="宋体"/>
                <w:szCs w:val="21"/>
              </w:rPr>
              <w:t>安装了污水在线监控设施，实时监控排水水质情况。</w:t>
            </w:r>
          </w:p>
          <w:p>
            <w:pPr>
              <w:pStyle w:val="42"/>
              <w:jc w:val="both"/>
              <w:rPr>
                <w:szCs w:val="21"/>
              </w:rPr>
            </w:pPr>
          </w:p>
        </w:tc>
        <w:tc>
          <w:tcPr>
            <w:tcW w:w="1218" w:type="dxa"/>
            <w:vMerge w:val="restart"/>
            <w:vAlign w:val="center"/>
          </w:tcPr>
          <w:p>
            <w:pPr>
              <w:pStyle w:val="42"/>
              <w:rPr>
                <w:szCs w:val="21"/>
              </w:rPr>
            </w:pPr>
            <w:r>
              <w:rPr>
                <w:rFonts w:hAnsi="宋体"/>
                <w:szCs w:val="21"/>
              </w:rPr>
              <w:t>无差距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sz w:val="21"/>
                <w:szCs w:val="21"/>
              </w:rPr>
            </w:pPr>
          </w:p>
        </w:tc>
        <w:tc>
          <w:tcPr>
            <w:tcW w:w="4394" w:type="dxa"/>
            <w:vAlign w:val="center"/>
          </w:tcPr>
          <w:p>
            <w:pPr>
              <w:pStyle w:val="42"/>
              <w:jc w:val="left"/>
              <w:rPr>
                <w:szCs w:val="21"/>
              </w:rPr>
            </w:pPr>
            <w:r>
              <w:rPr>
                <w:rFonts w:hAnsi="宋体"/>
                <w:szCs w:val="21"/>
              </w:rPr>
              <w:t>涉及废水产生或外排，但不符合上述</w:t>
            </w:r>
            <w:r>
              <w:rPr>
                <w:szCs w:val="21"/>
              </w:rPr>
              <w:t>2</w:t>
            </w:r>
            <w:r>
              <w:rPr>
                <w:rFonts w:hAnsi="宋体"/>
                <w:szCs w:val="21"/>
              </w:rPr>
              <w:t>）中任意一条要求的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jc w:val="left"/>
              <w:rPr>
                <w:szCs w:val="21"/>
              </w:rPr>
            </w:pPr>
            <w:r>
              <w:rPr>
                <w:rFonts w:hAnsi="宋体"/>
                <w:szCs w:val="21"/>
              </w:rPr>
              <w:t>毒性气体、可燃气体泄漏紧急处置装置</w:t>
            </w:r>
          </w:p>
        </w:tc>
        <w:tc>
          <w:tcPr>
            <w:tcW w:w="4394" w:type="dxa"/>
            <w:vAlign w:val="center"/>
          </w:tcPr>
          <w:p>
            <w:pPr>
              <w:pStyle w:val="42"/>
              <w:jc w:val="left"/>
              <w:rPr>
                <w:szCs w:val="21"/>
              </w:rPr>
            </w:pPr>
            <w:r>
              <w:rPr>
                <w:szCs w:val="21"/>
              </w:rPr>
              <w:t>1</w:t>
            </w:r>
            <w:r>
              <w:rPr>
                <w:rFonts w:hAnsi="宋体"/>
                <w:szCs w:val="21"/>
              </w:rPr>
              <w:t>）不涉及有毒有害气体的；或</w:t>
            </w:r>
          </w:p>
          <w:p>
            <w:pPr>
              <w:pStyle w:val="42"/>
              <w:jc w:val="left"/>
              <w:rPr>
                <w:szCs w:val="21"/>
              </w:rPr>
            </w:pPr>
            <w:r>
              <w:rPr>
                <w:szCs w:val="21"/>
              </w:rPr>
              <w:t>2</w:t>
            </w:r>
            <w:r>
              <w:rPr>
                <w:rFonts w:hAnsi="宋体"/>
                <w:szCs w:val="21"/>
              </w:rPr>
              <w:t>）根据实际情况，具有针对有毒有害气体（如硫化氢、氰化氢、氯化氢、光气、氯气、氨气、苯等）的泄漏紧急处置措施。</w:t>
            </w:r>
          </w:p>
        </w:tc>
        <w:tc>
          <w:tcPr>
            <w:tcW w:w="2268" w:type="dxa"/>
            <w:vMerge w:val="restart"/>
            <w:vAlign w:val="center"/>
          </w:tcPr>
          <w:p>
            <w:pPr>
              <w:pStyle w:val="42"/>
              <w:jc w:val="left"/>
              <w:rPr>
                <w:rFonts w:hAnsi="宋体"/>
                <w:b/>
                <w:szCs w:val="21"/>
              </w:rPr>
            </w:pPr>
            <w:r>
              <w:rPr>
                <w:rFonts w:hint="eastAsia" w:hAnsi="宋体"/>
                <w:b/>
                <w:szCs w:val="21"/>
              </w:rPr>
              <w:t>厂区产生的硫化氢等恶臭气体，达到无组织排放标准，厂界外的环境影响极小。</w:t>
            </w:r>
          </w:p>
          <w:p>
            <w:pPr>
              <w:pStyle w:val="42"/>
              <w:jc w:val="left"/>
              <w:rPr>
                <w:rFonts w:hAnsi="宋体"/>
                <w:szCs w:val="21"/>
              </w:rPr>
            </w:pPr>
            <w:r>
              <w:rPr>
                <w:rFonts w:hint="eastAsia" w:hAnsi="宋体"/>
                <w:szCs w:val="21"/>
              </w:rPr>
              <w:t>污泥间与粗格栅设有硫化氢报警装置。</w:t>
            </w:r>
          </w:p>
        </w:tc>
        <w:tc>
          <w:tcPr>
            <w:tcW w:w="1218" w:type="dxa"/>
            <w:vMerge w:val="restart"/>
            <w:vAlign w:val="center"/>
          </w:tcPr>
          <w:p>
            <w:pPr>
              <w:pStyle w:val="42"/>
              <w:rPr>
                <w:szCs w:val="21"/>
              </w:rPr>
            </w:pPr>
            <w:r>
              <w:rPr>
                <w:rFonts w:hint="eastAsia" w:hAnsi="宋体"/>
                <w:szCs w:val="21"/>
              </w:rPr>
              <w:t>无差距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szCs w:val="21"/>
              </w:rPr>
            </w:pPr>
            <w:r>
              <w:rPr>
                <w:rFonts w:hAnsi="宋体"/>
                <w:szCs w:val="21"/>
              </w:rPr>
              <w:t>不具备有毒有害气体泄漏紧急处置装置的</w:t>
            </w:r>
          </w:p>
        </w:tc>
        <w:tc>
          <w:tcPr>
            <w:tcW w:w="2268" w:type="dxa"/>
            <w:vMerge w:val="continue"/>
            <w:vAlign w:val="center"/>
          </w:tcPr>
          <w:p>
            <w:pPr>
              <w:spacing w:line="240" w:lineRule="auto"/>
              <w:ind w:firstLine="420"/>
              <w:jc w:val="left"/>
              <w:rPr>
                <w:sz w:val="21"/>
                <w:szCs w:val="21"/>
              </w:rPr>
            </w:pPr>
          </w:p>
        </w:tc>
        <w:tc>
          <w:tcPr>
            <w:tcW w:w="1218" w:type="dxa"/>
            <w:vMerge w:val="continue"/>
            <w:vAlign w:val="center"/>
          </w:tcPr>
          <w:p>
            <w:pPr>
              <w:spacing w:line="240" w:lineRule="auto"/>
              <w:ind w:firstLine="420"/>
              <w:rPr>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jc w:val="left"/>
              <w:rPr>
                <w:szCs w:val="21"/>
              </w:rPr>
            </w:pPr>
            <w:r>
              <w:rPr>
                <w:rFonts w:hAnsi="宋体"/>
                <w:szCs w:val="21"/>
              </w:rPr>
              <w:t>毒性气体、可燃气体泄漏监控预警措施</w:t>
            </w:r>
          </w:p>
        </w:tc>
        <w:tc>
          <w:tcPr>
            <w:tcW w:w="4394" w:type="dxa"/>
            <w:vAlign w:val="center"/>
          </w:tcPr>
          <w:p>
            <w:pPr>
              <w:pStyle w:val="42"/>
              <w:jc w:val="left"/>
              <w:rPr>
                <w:szCs w:val="21"/>
              </w:rPr>
            </w:pPr>
            <w:r>
              <w:rPr>
                <w:szCs w:val="21"/>
              </w:rPr>
              <w:t>1</w:t>
            </w:r>
            <w:r>
              <w:rPr>
                <w:rFonts w:hAnsi="宋体"/>
                <w:szCs w:val="21"/>
              </w:rPr>
              <w:t>）不涉及有毒有害气体的；或</w:t>
            </w:r>
          </w:p>
          <w:p>
            <w:pPr>
              <w:pStyle w:val="42"/>
              <w:jc w:val="left"/>
              <w:rPr>
                <w:szCs w:val="21"/>
              </w:rPr>
            </w:pPr>
            <w:r>
              <w:rPr>
                <w:szCs w:val="21"/>
              </w:rPr>
              <w:t>2</w:t>
            </w:r>
            <w:r>
              <w:rPr>
                <w:rFonts w:hAnsi="宋体"/>
                <w:szCs w:val="21"/>
              </w:rPr>
              <w:t>）根据实际情况，具有针对有毒有害气体（如硫化氢、氰化氢、氯化氢、光气、氯气、氨气、苯等）设置生产区域或厂界泄漏监控预警措施。</w:t>
            </w:r>
          </w:p>
        </w:tc>
        <w:tc>
          <w:tcPr>
            <w:tcW w:w="2268" w:type="dxa"/>
            <w:vMerge w:val="restart"/>
            <w:vAlign w:val="center"/>
          </w:tcPr>
          <w:p>
            <w:pPr>
              <w:pStyle w:val="42"/>
              <w:jc w:val="left"/>
              <w:rPr>
                <w:szCs w:val="21"/>
              </w:rPr>
            </w:pPr>
            <w:r>
              <w:rPr>
                <w:rFonts w:hint="eastAsia"/>
                <w:szCs w:val="21"/>
              </w:rPr>
              <w:t>污水处理过程中产生的硫化氢、氨、恶臭经收集后进入废气处理装置处理后通过排气筒排放。污泥间与粗格栅设置</w:t>
            </w:r>
            <w:r>
              <w:rPr>
                <w:rFonts w:hint="eastAsia" w:hAnsi="宋体"/>
                <w:szCs w:val="21"/>
              </w:rPr>
              <w:t>硫化氢气态报</w:t>
            </w:r>
            <w:r>
              <w:rPr>
                <w:rFonts w:hAnsi="宋体"/>
                <w:szCs w:val="21"/>
              </w:rPr>
              <w:t>警措施</w:t>
            </w:r>
          </w:p>
        </w:tc>
        <w:tc>
          <w:tcPr>
            <w:tcW w:w="1218" w:type="dxa"/>
            <w:vMerge w:val="restart"/>
            <w:vAlign w:val="center"/>
          </w:tcPr>
          <w:p>
            <w:pPr>
              <w:pStyle w:val="42"/>
              <w:rPr>
                <w:szCs w:val="21"/>
              </w:rPr>
            </w:pPr>
            <w:r>
              <w:rPr>
                <w:rFonts w:hint="eastAsia" w:hAnsi="宋体"/>
                <w:szCs w:val="21"/>
              </w:rPr>
              <w:t>无差距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color w:val="FF0000"/>
                <w:szCs w:val="21"/>
              </w:rPr>
            </w:pPr>
            <w:r>
              <w:rPr>
                <w:rFonts w:hAnsi="宋体"/>
                <w:szCs w:val="21"/>
              </w:rPr>
              <w:t>不具备生产区域或厂界有毒有害气体泄漏监控预警措施的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restart"/>
            <w:vAlign w:val="center"/>
          </w:tcPr>
          <w:p>
            <w:pPr>
              <w:pStyle w:val="42"/>
              <w:rPr>
                <w:szCs w:val="21"/>
              </w:rPr>
            </w:pPr>
            <w:r>
              <w:rPr>
                <w:rFonts w:hAnsi="宋体"/>
                <w:szCs w:val="21"/>
              </w:rPr>
              <w:t>环评及批复的其他风险防控措施落实情况</w:t>
            </w:r>
          </w:p>
        </w:tc>
        <w:tc>
          <w:tcPr>
            <w:tcW w:w="4394" w:type="dxa"/>
            <w:vAlign w:val="center"/>
          </w:tcPr>
          <w:p>
            <w:pPr>
              <w:pStyle w:val="42"/>
              <w:jc w:val="left"/>
              <w:rPr>
                <w:szCs w:val="21"/>
              </w:rPr>
            </w:pPr>
            <w:r>
              <w:rPr>
                <w:rFonts w:hAnsi="宋体"/>
                <w:szCs w:val="21"/>
              </w:rPr>
              <w:t>按环评及批复文件的要求落实的其他建设环境风险防控设施的</w:t>
            </w:r>
          </w:p>
        </w:tc>
        <w:tc>
          <w:tcPr>
            <w:tcW w:w="2268" w:type="dxa"/>
            <w:vMerge w:val="restart"/>
            <w:vAlign w:val="center"/>
          </w:tcPr>
          <w:p>
            <w:pPr>
              <w:pStyle w:val="42"/>
              <w:jc w:val="left"/>
              <w:rPr>
                <w:szCs w:val="21"/>
              </w:rPr>
            </w:pPr>
            <w:r>
              <w:rPr>
                <w:rFonts w:hAnsi="宋体"/>
                <w:szCs w:val="21"/>
              </w:rPr>
              <w:t>本公司已落实环评要求</w:t>
            </w:r>
          </w:p>
        </w:tc>
        <w:tc>
          <w:tcPr>
            <w:tcW w:w="1218" w:type="dxa"/>
            <w:vMerge w:val="restart"/>
            <w:vAlign w:val="center"/>
          </w:tcPr>
          <w:p>
            <w:pPr>
              <w:pStyle w:val="42"/>
              <w:rPr>
                <w:szCs w:val="21"/>
              </w:rPr>
            </w:pPr>
            <w:r>
              <w:rPr>
                <w:rFonts w:hAnsi="宋体"/>
                <w:szCs w:val="21"/>
              </w:rPr>
              <w:t>无差距</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92" w:type="dxa"/>
            <w:vMerge w:val="continue"/>
            <w:vAlign w:val="center"/>
          </w:tcPr>
          <w:p>
            <w:pPr>
              <w:spacing w:line="240" w:lineRule="auto"/>
              <w:ind w:firstLine="420"/>
              <w:rPr>
                <w:color w:val="FF0000"/>
                <w:sz w:val="21"/>
                <w:szCs w:val="21"/>
              </w:rPr>
            </w:pPr>
          </w:p>
        </w:tc>
        <w:tc>
          <w:tcPr>
            <w:tcW w:w="4394" w:type="dxa"/>
            <w:vAlign w:val="center"/>
          </w:tcPr>
          <w:p>
            <w:pPr>
              <w:pStyle w:val="42"/>
              <w:jc w:val="left"/>
              <w:rPr>
                <w:color w:val="FF0000"/>
                <w:szCs w:val="21"/>
              </w:rPr>
            </w:pPr>
            <w:r>
              <w:rPr>
                <w:rFonts w:hAnsi="宋体"/>
                <w:szCs w:val="21"/>
              </w:rPr>
              <w:t>未落实环评及批复文件中其他环境风险防控设施要求的</w:t>
            </w:r>
          </w:p>
        </w:tc>
        <w:tc>
          <w:tcPr>
            <w:tcW w:w="2268" w:type="dxa"/>
            <w:vMerge w:val="continue"/>
            <w:vAlign w:val="center"/>
          </w:tcPr>
          <w:p>
            <w:pPr>
              <w:spacing w:line="240" w:lineRule="auto"/>
              <w:ind w:firstLine="420"/>
              <w:jc w:val="left"/>
              <w:rPr>
                <w:color w:val="FF0000"/>
                <w:sz w:val="21"/>
                <w:szCs w:val="21"/>
              </w:rPr>
            </w:pPr>
          </w:p>
        </w:tc>
        <w:tc>
          <w:tcPr>
            <w:tcW w:w="1218" w:type="dxa"/>
            <w:vMerge w:val="continue"/>
            <w:vAlign w:val="center"/>
          </w:tcPr>
          <w:p>
            <w:pPr>
              <w:spacing w:line="240" w:lineRule="auto"/>
              <w:ind w:firstLine="420"/>
              <w:rPr>
                <w:color w:val="FF0000"/>
                <w:sz w:val="21"/>
                <w:szCs w:val="21"/>
              </w:rPr>
            </w:pPr>
          </w:p>
        </w:tc>
      </w:tr>
    </w:tbl>
    <w:p>
      <w:pPr>
        <w:pStyle w:val="19"/>
        <w:spacing w:beforeLines="50" w:line="360" w:lineRule="auto"/>
        <w:ind w:firstLine="482" w:firstLineChars="200"/>
        <w:jc w:val="both"/>
        <w:rPr>
          <w:rFonts w:ascii="宋体" w:hAnsi="宋体" w:cs="宋体"/>
          <w:b/>
          <w:bCs/>
        </w:rPr>
      </w:pPr>
      <w:bookmarkStart w:id="95" w:name="_Toc2524"/>
      <w:bookmarkStart w:id="96" w:name="_Toc15704"/>
      <w:bookmarkStart w:id="97" w:name="_Toc32741_WPSOffice_Level1"/>
      <w:bookmarkStart w:id="98" w:name="_Toc19739"/>
      <w:bookmarkStart w:id="99" w:name="_Toc22452"/>
      <w:bookmarkStart w:id="100" w:name="_Toc4370"/>
      <w:bookmarkStart w:id="101" w:name="_Toc22459"/>
      <w:bookmarkStart w:id="102" w:name="_Toc13125"/>
      <w:r>
        <w:rPr>
          <w:rFonts w:hint="eastAsia" w:ascii="宋体" w:hAnsi="宋体" w:cs="宋体"/>
          <w:b/>
          <w:bCs/>
        </w:rPr>
        <w:t>5.3环境应急资源</w:t>
      </w:r>
      <w:bookmarkEnd w:id="95"/>
      <w:bookmarkEnd w:id="96"/>
      <w:bookmarkEnd w:id="97"/>
      <w:bookmarkEnd w:id="98"/>
      <w:bookmarkEnd w:id="99"/>
      <w:bookmarkEnd w:id="100"/>
      <w:bookmarkEnd w:id="101"/>
      <w:bookmarkEnd w:id="102"/>
    </w:p>
    <w:p>
      <w:pPr>
        <w:pStyle w:val="48"/>
        <w:spacing w:beforeLines="0" w:line="360" w:lineRule="auto"/>
        <w:rPr>
          <w:szCs w:val="21"/>
        </w:rPr>
      </w:pPr>
      <w:r>
        <w:rPr>
          <w:rFonts w:hAnsi="宋体"/>
          <w:szCs w:val="21"/>
        </w:rPr>
        <w:t>表</w:t>
      </w:r>
      <w:r>
        <w:rPr>
          <w:szCs w:val="21"/>
        </w:rPr>
        <w:t>5.3-1</w:t>
      </w:r>
      <w:r>
        <w:rPr>
          <w:rFonts w:hAnsi="宋体"/>
          <w:szCs w:val="21"/>
        </w:rPr>
        <w:t>环境应急资源情况</w:t>
      </w:r>
    </w:p>
    <w:tbl>
      <w:tblPr>
        <w:tblStyle w:val="21"/>
        <w:tblW w:w="0" w:type="auto"/>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8"/>
        <w:gridCol w:w="3605"/>
        <w:gridCol w:w="461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blHeader/>
          <w:jc w:val="center"/>
        </w:trPr>
        <w:tc>
          <w:tcPr>
            <w:tcW w:w="848" w:type="dxa"/>
            <w:vAlign w:val="center"/>
          </w:tcPr>
          <w:p>
            <w:pPr>
              <w:pStyle w:val="42"/>
              <w:rPr>
                <w:b/>
                <w:szCs w:val="21"/>
              </w:rPr>
            </w:pPr>
            <w:r>
              <w:rPr>
                <w:rFonts w:hAnsi="宋体"/>
                <w:b/>
                <w:szCs w:val="21"/>
              </w:rPr>
              <w:t>序号</w:t>
            </w:r>
          </w:p>
        </w:tc>
        <w:tc>
          <w:tcPr>
            <w:tcW w:w="3605" w:type="dxa"/>
            <w:vAlign w:val="center"/>
          </w:tcPr>
          <w:p>
            <w:pPr>
              <w:pStyle w:val="42"/>
              <w:rPr>
                <w:b/>
                <w:szCs w:val="21"/>
              </w:rPr>
            </w:pPr>
            <w:r>
              <w:rPr>
                <w:rFonts w:hAnsi="宋体"/>
                <w:b/>
                <w:szCs w:val="21"/>
              </w:rPr>
              <w:t>相关要求</w:t>
            </w:r>
          </w:p>
        </w:tc>
        <w:tc>
          <w:tcPr>
            <w:tcW w:w="4619" w:type="dxa"/>
            <w:vAlign w:val="center"/>
          </w:tcPr>
          <w:p>
            <w:pPr>
              <w:pStyle w:val="42"/>
              <w:rPr>
                <w:b/>
                <w:szCs w:val="21"/>
              </w:rPr>
            </w:pPr>
            <w:r>
              <w:rPr>
                <w:rFonts w:hAnsi="宋体"/>
                <w:b/>
                <w:szCs w:val="21"/>
              </w:rPr>
              <w:t>实际情况</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8" w:type="dxa"/>
            <w:vAlign w:val="center"/>
          </w:tcPr>
          <w:p>
            <w:pPr>
              <w:pStyle w:val="42"/>
              <w:rPr>
                <w:szCs w:val="21"/>
              </w:rPr>
            </w:pPr>
            <w:r>
              <w:rPr>
                <w:szCs w:val="21"/>
              </w:rPr>
              <w:t>1</w:t>
            </w:r>
          </w:p>
        </w:tc>
        <w:tc>
          <w:tcPr>
            <w:tcW w:w="3605" w:type="dxa"/>
            <w:vAlign w:val="center"/>
          </w:tcPr>
          <w:p>
            <w:pPr>
              <w:pStyle w:val="42"/>
              <w:rPr>
                <w:szCs w:val="21"/>
              </w:rPr>
            </w:pPr>
            <w:r>
              <w:rPr>
                <w:rFonts w:hAnsi="宋体"/>
                <w:szCs w:val="21"/>
              </w:rPr>
              <w:t>配备必要的应急物质和应急装备（包括应急监测）</w:t>
            </w:r>
          </w:p>
        </w:tc>
        <w:tc>
          <w:tcPr>
            <w:tcW w:w="4619" w:type="dxa"/>
            <w:vAlign w:val="center"/>
          </w:tcPr>
          <w:p>
            <w:pPr>
              <w:pStyle w:val="42"/>
              <w:rPr>
                <w:szCs w:val="21"/>
              </w:rPr>
            </w:pPr>
            <w:r>
              <w:rPr>
                <w:rFonts w:hAnsi="宋体"/>
                <w:szCs w:val="21"/>
              </w:rPr>
              <w:t>配备必要的应急物质和应急装备。</w:t>
            </w:r>
            <w:r>
              <w:rPr>
                <w:rFonts w:hint="eastAsia" w:hAnsi="宋体"/>
                <w:szCs w:val="21"/>
              </w:rPr>
              <w:t>但物资种类不完善。</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42"/>
              <w:rPr>
                <w:szCs w:val="21"/>
              </w:rPr>
            </w:pPr>
            <w:r>
              <w:rPr>
                <w:szCs w:val="21"/>
              </w:rPr>
              <w:t>2</w:t>
            </w:r>
          </w:p>
        </w:tc>
        <w:tc>
          <w:tcPr>
            <w:tcW w:w="3605" w:type="dxa"/>
            <w:vAlign w:val="center"/>
          </w:tcPr>
          <w:p>
            <w:pPr>
              <w:pStyle w:val="42"/>
              <w:rPr>
                <w:szCs w:val="21"/>
              </w:rPr>
            </w:pPr>
            <w:r>
              <w:rPr>
                <w:rFonts w:hAnsi="宋体"/>
                <w:szCs w:val="21"/>
              </w:rPr>
              <w:t>设置专职或兼职人员组成的应急救援队伍</w:t>
            </w:r>
          </w:p>
        </w:tc>
        <w:tc>
          <w:tcPr>
            <w:tcW w:w="4619" w:type="dxa"/>
            <w:vAlign w:val="center"/>
          </w:tcPr>
          <w:p>
            <w:pPr>
              <w:pStyle w:val="42"/>
              <w:rPr>
                <w:szCs w:val="21"/>
              </w:rPr>
            </w:pPr>
            <w:r>
              <w:rPr>
                <w:rFonts w:hAnsi="宋体"/>
                <w:szCs w:val="21"/>
              </w:rPr>
              <w:t>已设置应急救援队伍</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42"/>
              <w:rPr>
                <w:szCs w:val="21"/>
              </w:rPr>
            </w:pPr>
            <w:r>
              <w:rPr>
                <w:szCs w:val="21"/>
              </w:rPr>
              <w:t>3</w:t>
            </w:r>
          </w:p>
        </w:tc>
        <w:tc>
          <w:tcPr>
            <w:tcW w:w="3605" w:type="dxa"/>
            <w:vAlign w:val="center"/>
          </w:tcPr>
          <w:p>
            <w:pPr>
              <w:pStyle w:val="42"/>
              <w:rPr>
                <w:szCs w:val="21"/>
              </w:rPr>
            </w:pPr>
            <w:r>
              <w:rPr>
                <w:rFonts w:hAnsi="宋体"/>
                <w:szCs w:val="21"/>
              </w:rPr>
              <w:t>与其他组织或单位签订应急救援协议或互救协议（包括应急物质、应急装备和救援队伍等情况）</w:t>
            </w:r>
          </w:p>
        </w:tc>
        <w:tc>
          <w:tcPr>
            <w:tcW w:w="4619" w:type="dxa"/>
            <w:vAlign w:val="center"/>
          </w:tcPr>
          <w:p>
            <w:pPr>
              <w:pStyle w:val="42"/>
              <w:rPr>
                <w:szCs w:val="21"/>
              </w:rPr>
            </w:pPr>
            <w:r>
              <w:rPr>
                <w:rFonts w:hAnsi="宋体"/>
                <w:szCs w:val="21"/>
              </w:rPr>
              <w:t>关于人员救助方面，</w:t>
            </w:r>
            <w:r>
              <w:rPr>
                <w:rFonts w:hint="eastAsia" w:hAnsi="宋体"/>
                <w:szCs w:val="21"/>
              </w:rPr>
              <w:t>公司未与周边企业签订救援互助协议。</w:t>
            </w:r>
          </w:p>
        </w:tc>
      </w:tr>
    </w:tbl>
    <w:p>
      <w:pPr>
        <w:ind w:firstLine="482"/>
      </w:pPr>
      <w:r>
        <w:rPr>
          <w:rFonts w:hAnsi="宋体"/>
          <w:b/>
          <w:bCs/>
        </w:rPr>
        <w:t>差距分析：</w:t>
      </w:r>
      <w:r>
        <w:rPr>
          <w:rFonts w:hAnsi="宋体"/>
        </w:rPr>
        <w:t>公司在日常的生产管理中，常备一定数量的应急物资，事故发生时，可以第一时间响应和抢险救援。公司的应急储备包括消防器材、应急抢险物资等。通过对公司参与应急救援的人员人数和各危险源的风险程度评价和分析，发现公司储备了一定数量的应急物资，但在物资储备管理方面需完善，在事故状态下，不能有效保证外环境不受到影响。</w:t>
      </w:r>
      <w:r>
        <w:rPr>
          <w:rFonts w:hint="eastAsia" w:hAnsi="宋体"/>
        </w:rPr>
        <w:t>企业未与周边企业签订救助协议，在事故状态下，企业物资储备不完善情况下无法及时处理。</w:t>
      </w:r>
    </w:p>
    <w:p>
      <w:pPr>
        <w:ind w:firstLine="482"/>
      </w:pPr>
      <w:r>
        <w:rPr>
          <w:rFonts w:hAnsi="宋体"/>
          <w:b/>
        </w:rPr>
        <w:t>建议：</w:t>
      </w:r>
      <w:r>
        <w:rPr>
          <w:rFonts w:hAnsi="宋体"/>
        </w:rPr>
        <w:t>建议公司完善规划应急物资存放点、种类及存放数量，做好物资管理以及建立管理台账。</w:t>
      </w:r>
      <w:r>
        <w:rPr>
          <w:rFonts w:hint="eastAsia" w:hAnsi="宋体"/>
        </w:rPr>
        <w:t>及时与周边企业签订救援互助协议，并统计互助企业应急物资。</w:t>
      </w:r>
    </w:p>
    <w:p>
      <w:pPr>
        <w:ind w:firstLine="482"/>
        <w:rPr>
          <w:b/>
        </w:rPr>
      </w:pPr>
      <w:r>
        <w:rPr>
          <w:rFonts w:hAnsi="宋体"/>
          <w:b/>
        </w:rPr>
        <w:t>应急标识系统建设情况：</w:t>
      </w:r>
    </w:p>
    <w:p>
      <w:pPr>
        <w:ind w:firstLine="482"/>
      </w:pPr>
      <w:r>
        <w:rPr>
          <w:rFonts w:hAnsi="宋体"/>
          <w:b/>
        </w:rPr>
        <w:t>差距分析：</w:t>
      </w:r>
      <w:r>
        <w:rPr>
          <w:rFonts w:hAnsi="宋体"/>
        </w:rPr>
        <w:t>公司在</w:t>
      </w:r>
      <w:r>
        <w:rPr>
          <w:rFonts w:hint="eastAsia" w:hAnsi="宋体"/>
        </w:rPr>
        <w:t>储</w:t>
      </w:r>
      <w:r>
        <w:rPr>
          <w:rFonts w:hAnsi="宋体"/>
        </w:rPr>
        <w:t>罐区、</w:t>
      </w:r>
      <w:r>
        <w:rPr>
          <w:rFonts w:hint="eastAsia" w:hAnsi="宋体"/>
        </w:rPr>
        <w:t>污水处理</w:t>
      </w:r>
      <w:r>
        <w:rPr>
          <w:rFonts w:hAnsi="宋体"/>
        </w:rPr>
        <w:t>等单元针对危险品的危害信息、防护措施和注意事项部分</w:t>
      </w:r>
      <w:r>
        <w:rPr>
          <w:rFonts w:hint="eastAsia" w:hAnsi="宋体"/>
        </w:rPr>
        <w:t>未</w:t>
      </w:r>
      <w:r>
        <w:rPr>
          <w:rFonts w:hAnsi="宋体"/>
        </w:rPr>
        <w:t>设置标识，标示设置不全，且应急标识系统反映出来的信息不够明确和全面，不能较好的发挥其实质性作用。</w:t>
      </w:r>
      <w:r>
        <w:rPr>
          <w:rFonts w:hint="eastAsia" w:hAnsi="宋体"/>
        </w:rPr>
        <w:t>未在风险单元设置应急处置卡。</w:t>
      </w:r>
    </w:p>
    <w:p>
      <w:pPr>
        <w:ind w:firstLine="482"/>
      </w:pPr>
      <w:r>
        <w:rPr>
          <w:rFonts w:hAnsi="宋体"/>
          <w:b/>
        </w:rPr>
        <w:t>建议：</w:t>
      </w:r>
      <w:r>
        <w:rPr>
          <w:rFonts w:hAnsi="宋体"/>
        </w:rPr>
        <w:t>建议公司及时完善和更新应急标识系统，并且当发现应急标识系统老化、不清晰，或者存放的化学品有变动时，应及时更新标识牌上的信息，保证各个关键点的标识牌所反映的信息能起到实际的应急作用。</w:t>
      </w:r>
    </w:p>
    <w:p>
      <w:pPr>
        <w:ind w:firstLine="0" w:firstLineChars="0"/>
      </w:pPr>
    </w:p>
    <w:p>
      <w:pPr>
        <w:pStyle w:val="19"/>
        <w:spacing w:beforeLines="50" w:line="360" w:lineRule="auto"/>
        <w:ind w:firstLine="480" w:firstLineChars="200"/>
        <w:jc w:val="both"/>
      </w:pPr>
    </w:p>
    <w:p>
      <w:pPr>
        <w:pStyle w:val="19"/>
        <w:spacing w:beforeLines="50" w:line="360" w:lineRule="auto"/>
        <w:ind w:firstLine="480" w:firstLineChars="200"/>
        <w:jc w:val="both"/>
      </w:pPr>
    </w:p>
    <w:p>
      <w:pPr>
        <w:pStyle w:val="19"/>
        <w:spacing w:beforeLines="50" w:line="360" w:lineRule="auto"/>
        <w:ind w:firstLine="480" w:firstLineChars="200"/>
        <w:jc w:val="both"/>
      </w:pPr>
    </w:p>
    <w:p>
      <w:pPr>
        <w:pStyle w:val="19"/>
        <w:spacing w:beforeLines="50" w:line="360" w:lineRule="auto"/>
        <w:ind w:firstLine="480" w:firstLineChars="200"/>
        <w:jc w:val="both"/>
      </w:pPr>
    </w:p>
    <w:p>
      <w:pPr>
        <w:pStyle w:val="19"/>
        <w:spacing w:beforeLines="50" w:line="360" w:lineRule="auto"/>
        <w:ind w:firstLine="480" w:firstLineChars="200"/>
        <w:jc w:val="both"/>
      </w:pPr>
    </w:p>
    <w:p>
      <w:pPr>
        <w:pStyle w:val="19"/>
        <w:spacing w:beforeLines="50" w:line="360" w:lineRule="auto"/>
        <w:ind w:firstLine="480" w:firstLineChars="200"/>
        <w:jc w:val="both"/>
      </w:pPr>
    </w:p>
    <w:p>
      <w:pPr>
        <w:pStyle w:val="2"/>
      </w:pPr>
    </w:p>
    <w:p>
      <w:pPr>
        <w:pStyle w:val="3"/>
        <w:jc w:val="both"/>
        <w:rPr>
          <w:color w:val="000000"/>
        </w:rPr>
      </w:pPr>
      <w:bookmarkStart w:id="103" w:name="_Toc9002606"/>
      <w:bookmarkStart w:id="104" w:name="_Toc9002345"/>
      <w:bookmarkStart w:id="105" w:name="_Toc5781235"/>
      <w:bookmarkStart w:id="106" w:name="_Toc5780680"/>
      <w:r>
        <w:rPr>
          <w:color w:val="000000"/>
        </w:rPr>
        <w:t>6</w:t>
      </w:r>
      <w:r>
        <w:rPr>
          <w:rFonts w:hAnsi="宋体"/>
          <w:color w:val="000000"/>
        </w:rPr>
        <w:t>完善环境风险防控与应急措施的实施计划</w:t>
      </w:r>
      <w:bookmarkEnd w:id="103"/>
      <w:bookmarkEnd w:id="104"/>
      <w:bookmarkEnd w:id="105"/>
      <w:bookmarkEnd w:id="106"/>
    </w:p>
    <w:p>
      <w:pPr>
        <w:ind w:firstLine="480"/>
        <w:rPr>
          <w:color w:val="000000"/>
        </w:rPr>
      </w:pPr>
      <w:r>
        <w:rPr>
          <w:rFonts w:hAnsi="宋体"/>
          <w:color w:val="000000"/>
        </w:rPr>
        <w:t>为深入贯彻落实科学发展观，进一步完善环境风险防控与应急措施，有效防范和妥善应对突发环境事件，紧紧围绕</w:t>
      </w:r>
      <w:r>
        <w:rPr>
          <w:color w:val="000000"/>
        </w:rPr>
        <w:t>“</w:t>
      </w:r>
      <w:r>
        <w:rPr>
          <w:rFonts w:hAnsi="宋体"/>
          <w:color w:val="000000"/>
        </w:rPr>
        <w:t>全面推进、突出重点、建设队伍、提高素质、搞好演练</w:t>
      </w:r>
      <w:r>
        <w:rPr>
          <w:color w:val="000000"/>
        </w:rPr>
        <w:t>”</w:t>
      </w:r>
      <w:r>
        <w:rPr>
          <w:rFonts w:hAnsi="宋体"/>
          <w:color w:val="000000"/>
        </w:rPr>
        <w:t>的总体思路，结合本公司实际情况，并制定完善环境风险防控与应急措施的实施计划。</w:t>
      </w:r>
    </w:p>
    <w:p>
      <w:pPr>
        <w:pStyle w:val="19"/>
        <w:spacing w:line="360" w:lineRule="auto"/>
        <w:ind w:firstLine="482" w:firstLineChars="200"/>
        <w:jc w:val="both"/>
        <w:rPr>
          <w:rFonts w:ascii="宋体" w:hAnsi="宋体" w:cs="宋体"/>
          <w:b/>
          <w:bCs/>
        </w:rPr>
      </w:pPr>
      <w:bookmarkStart w:id="107" w:name="_Toc9109_WPSOffice_Level1"/>
      <w:bookmarkStart w:id="108" w:name="_Toc9002607"/>
      <w:bookmarkStart w:id="109" w:name="_Toc529953254"/>
      <w:bookmarkStart w:id="110" w:name="_Toc9002346"/>
      <w:bookmarkStart w:id="111" w:name="_Toc5780681"/>
      <w:bookmarkStart w:id="112" w:name="_Toc529952578"/>
      <w:bookmarkStart w:id="113" w:name="_Toc5781236"/>
      <w:r>
        <w:rPr>
          <w:rFonts w:hint="eastAsia" w:ascii="宋体" w:hAnsi="宋体" w:cs="宋体"/>
          <w:b/>
          <w:bCs/>
        </w:rPr>
        <w:t>6.1 进一步完善环境风险管理制度</w:t>
      </w:r>
      <w:bookmarkEnd w:id="107"/>
      <w:bookmarkEnd w:id="108"/>
      <w:bookmarkEnd w:id="109"/>
      <w:bookmarkEnd w:id="110"/>
      <w:bookmarkEnd w:id="111"/>
      <w:bookmarkEnd w:id="112"/>
      <w:bookmarkEnd w:id="113"/>
    </w:p>
    <w:p>
      <w:pPr>
        <w:ind w:firstLine="480"/>
        <w:rPr>
          <w:color w:val="000000"/>
        </w:rPr>
      </w:pPr>
      <w:r>
        <w:rPr>
          <w:color w:val="000000"/>
        </w:rPr>
        <w:t>20</w:t>
      </w:r>
      <w:r>
        <w:rPr>
          <w:rFonts w:hint="eastAsia"/>
          <w:color w:val="000000"/>
        </w:rPr>
        <w:t>21</w:t>
      </w:r>
      <w:r>
        <w:rPr>
          <w:rFonts w:hAnsi="宋体"/>
          <w:color w:val="000000"/>
        </w:rPr>
        <w:t>年，</w:t>
      </w:r>
      <w:r>
        <w:rPr>
          <w:rFonts w:hint="eastAsia"/>
        </w:rPr>
        <w:t>本厂</w:t>
      </w:r>
      <w:r>
        <w:rPr>
          <w:rFonts w:hAnsi="宋体"/>
          <w:color w:val="000000"/>
        </w:rPr>
        <w:t>将环境风险防控与应急措施的建设工作作为环境保护工作的一项重要内容狠抓落实。切实加强组织领导，统抓环境风险防控和应急措施工作，全面开展环境风险源调查，加大隐患治理力度，同时，加强环境应急管理的机构建设、组织建设和制度建设。</w:t>
      </w:r>
    </w:p>
    <w:p>
      <w:pPr>
        <w:ind w:firstLine="480"/>
        <w:rPr>
          <w:color w:val="000000"/>
        </w:rPr>
      </w:pPr>
      <w:r>
        <w:rPr>
          <w:rFonts w:hAnsi="宋体"/>
          <w:color w:val="000000"/>
        </w:rPr>
        <w:t>一是健全应急管理工作体系，对环境应急管理工作体系进行重新梳理，完善应急管理工作领导小组机构，提高应急指挥体系运转效率；二是认真做好应急值守工作，完善政务值班制度，值班人员坚持</w:t>
      </w:r>
      <w:r>
        <w:rPr>
          <w:color w:val="000000"/>
        </w:rPr>
        <w:t>24</w:t>
      </w:r>
      <w:r>
        <w:rPr>
          <w:rFonts w:hAnsi="宋体"/>
          <w:color w:val="000000"/>
        </w:rPr>
        <w:t>小时坚守岗位，不得擅自离岗，保持信息畅通，确保重大、突发事件得到及时有效处理；三是重点加强环境影响评价审批和建设项目竣工环境保护验收工作中的环境风险评价和风险防范措施的落实。全面落实防范环境风险的责任和要求，构建全防全控的环境应急管理体系。</w:t>
      </w:r>
    </w:p>
    <w:p>
      <w:pPr>
        <w:pStyle w:val="19"/>
        <w:spacing w:line="360" w:lineRule="auto"/>
        <w:ind w:firstLine="482" w:firstLineChars="200"/>
        <w:jc w:val="both"/>
        <w:rPr>
          <w:rFonts w:ascii="宋体" w:hAnsi="宋体" w:cs="宋体"/>
          <w:b/>
          <w:bCs/>
        </w:rPr>
      </w:pPr>
      <w:bookmarkStart w:id="114" w:name="_Toc5780682"/>
      <w:bookmarkStart w:id="115" w:name="_Toc9002608"/>
      <w:bookmarkStart w:id="116" w:name="_Toc9002347"/>
      <w:bookmarkStart w:id="117" w:name="_Toc5781237"/>
      <w:bookmarkStart w:id="118" w:name="_Toc529953255"/>
      <w:bookmarkStart w:id="119" w:name="_Toc529952579"/>
      <w:bookmarkStart w:id="120" w:name="_Toc8672_WPSOffice_Level1"/>
      <w:r>
        <w:rPr>
          <w:rFonts w:hint="eastAsia" w:ascii="宋体" w:hAnsi="宋体" w:cs="宋体"/>
          <w:b/>
          <w:bCs/>
        </w:rPr>
        <w:t>6.2 环境风险防控措施、环境应急能力建设</w:t>
      </w:r>
      <w:bookmarkEnd w:id="114"/>
      <w:bookmarkEnd w:id="115"/>
      <w:bookmarkEnd w:id="116"/>
      <w:bookmarkEnd w:id="117"/>
      <w:bookmarkEnd w:id="118"/>
      <w:bookmarkEnd w:id="119"/>
      <w:bookmarkEnd w:id="120"/>
    </w:p>
    <w:p>
      <w:pPr>
        <w:ind w:firstLine="480"/>
        <w:rPr>
          <w:color w:val="000000"/>
        </w:rPr>
      </w:pPr>
      <w:bookmarkStart w:id="121" w:name="_Toc11573_WPSOffice_Level1"/>
      <w:bookmarkStart w:id="122" w:name="_Toc24967_WPSOffice_Level1"/>
      <w:bookmarkStart w:id="123" w:name="_Toc14197_WPSOffice_Level1"/>
      <w:bookmarkStart w:id="124" w:name="_Toc6705_WPSOffice_Level1"/>
      <w:bookmarkStart w:id="125" w:name="_Toc15574_WPSOffice_Level1"/>
      <w:r>
        <w:rPr>
          <w:rFonts w:hAnsi="宋体"/>
          <w:color w:val="000000"/>
        </w:rPr>
        <w:t>（一）完善突发环境应急预案。</w:t>
      </w:r>
      <w:bookmarkEnd w:id="121"/>
      <w:bookmarkEnd w:id="122"/>
      <w:bookmarkEnd w:id="123"/>
      <w:bookmarkEnd w:id="124"/>
      <w:bookmarkEnd w:id="125"/>
    </w:p>
    <w:p>
      <w:pPr>
        <w:ind w:firstLine="480"/>
        <w:rPr>
          <w:color w:val="000000"/>
        </w:rPr>
      </w:pPr>
      <w:r>
        <w:rPr>
          <w:rFonts w:hAnsi="宋体"/>
          <w:color w:val="000000"/>
        </w:rPr>
        <w:t>健全和完善《</w:t>
      </w:r>
      <w:r>
        <w:rPr>
          <w:rFonts w:hint="eastAsia" w:hAnsi="宋体"/>
          <w:color w:val="000000"/>
        </w:rPr>
        <w:t>湖口县金砂湾工业园集中污水处理厂</w:t>
      </w:r>
      <w:r>
        <w:rPr>
          <w:rFonts w:hAnsi="宋体"/>
          <w:color w:val="000000"/>
        </w:rPr>
        <w:t>突发环境事件应急预案》，并将预案呈报备案，提高预案科学性、可操作性和有效性。建立职责明确、规范有序、高效运行的应急指挥体系和工作网络，有效预防并及时控制和消除突发环境事故的危害，指导和规范突发环境事故的应急处置工作，提高对突发环境事故的综合防范能力。</w:t>
      </w:r>
    </w:p>
    <w:p>
      <w:pPr>
        <w:numPr>
          <w:ilvl w:val="0"/>
          <w:numId w:val="3"/>
        </w:numPr>
        <w:ind w:firstLine="480"/>
        <w:rPr>
          <w:color w:val="000000"/>
        </w:rPr>
      </w:pPr>
      <w:bookmarkStart w:id="126" w:name="_Toc9517_WPSOffice_Level1"/>
      <w:bookmarkStart w:id="127" w:name="_Toc22536_WPSOffice_Level1"/>
      <w:bookmarkStart w:id="128" w:name="_Toc28296_WPSOffice_Level1"/>
      <w:bookmarkStart w:id="129" w:name="_Toc6896_WPSOffice_Level1"/>
      <w:bookmarkStart w:id="130" w:name="_Toc29832_WPSOffice_Level1"/>
      <w:r>
        <w:rPr>
          <w:rFonts w:hAnsi="宋体"/>
          <w:color w:val="000000"/>
        </w:rPr>
        <w:t>应急演练工作计划</w:t>
      </w:r>
      <w:bookmarkEnd w:id="126"/>
      <w:bookmarkEnd w:id="127"/>
      <w:bookmarkEnd w:id="128"/>
      <w:bookmarkEnd w:id="129"/>
      <w:bookmarkEnd w:id="130"/>
    </w:p>
    <w:p>
      <w:pPr>
        <w:ind w:firstLine="480"/>
        <w:rPr>
          <w:color w:val="000000"/>
        </w:rPr>
      </w:pPr>
      <w:r>
        <w:rPr>
          <w:rFonts w:hAnsi="宋体"/>
          <w:color w:val="000000"/>
        </w:rPr>
        <w:t>做好处置演练。科学制定应急演练计划，加强应急设备定期维护，督促重点风险源企业储备必要的应急处置物资，确保关键时刻应急设施、设备和物资能充分发挥作用。紧紧围绕本</w:t>
      </w:r>
      <w:r>
        <w:rPr>
          <w:rFonts w:hint="eastAsia" w:hAnsi="宋体"/>
          <w:color w:val="000000"/>
        </w:rPr>
        <w:t>厂</w:t>
      </w:r>
      <w:r>
        <w:rPr>
          <w:rFonts w:hAnsi="宋体"/>
          <w:color w:val="000000"/>
        </w:rPr>
        <w:t>环境应急管理工作需要，以保障环境安全最大化为目标，进一步加大环境风险隐患排查和整治力度，加强职能部门职责和企业环境应急能力建设，不断提高应对突发事件能力，有效防范和坚决遏制环境安全事故的发生，确保不发生重特大环境污染事故。通过处置演练，查找问题，及时总结经验，吸取教训，举一反三制定整改措施，及时修订、完善应急预案，增强可操作性。</w:t>
      </w:r>
    </w:p>
    <w:p>
      <w:pPr>
        <w:ind w:firstLine="480"/>
        <w:rPr>
          <w:color w:val="000000"/>
        </w:rPr>
      </w:pPr>
      <w:bookmarkStart w:id="131" w:name="_Toc26078_WPSOffice_Level1"/>
      <w:bookmarkStart w:id="132" w:name="_Toc14413_WPSOffice_Level1"/>
      <w:bookmarkStart w:id="133" w:name="_Toc31705_WPSOffice_Level1"/>
      <w:bookmarkStart w:id="134" w:name="_Toc26173_WPSOffice_Level1"/>
      <w:bookmarkStart w:id="135" w:name="_Toc27254_WPSOffice_Level1"/>
      <w:r>
        <w:rPr>
          <w:rFonts w:hAnsi="宋体"/>
          <w:color w:val="000000"/>
        </w:rPr>
        <w:t>（三）风险防控措施实施计划</w:t>
      </w:r>
      <w:bookmarkEnd w:id="131"/>
      <w:bookmarkEnd w:id="132"/>
      <w:bookmarkEnd w:id="133"/>
      <w:bookmarkEnd w:id="134"/>
      <w:bookmarkEnd w:id="135"/>
    </w:p>
    <w:p>
      <w:pPr>
        <w:ind w:firstLine="480"/>
        <w:rPr>
          <w:color w:val="000000"/>
        </w:rPr>
      </w:pPr>
      <w:r>
        <w:rPr>
          <w:rFonts w:hAnsi="宋体"/>
          <w:color w:val="000000"/>
        </w:rPr>
        <w:t>以下从环境风险管理制度、环境风险防控措施、环境应急能力建设等内容制定加强环境风险防控措施和应急管理的目标、责任人及完成时限。</w:t>
      </w:r>
    </w:p>
    <w:p>
      <w:pPr>
        <w:pStyle w:val="20"/>
        <w:ind w:firstLine="480"/>
        <w:rPr>
          <w:b/>
          <w:bCs/>
          <w:sz w:val="22"/>
          <w:szCs w:val="22"/>
        </w:rPr>
      </w:pPr>
      <w:r>
        <w:rPr>
          <w:rFonts w:hAnsi="宋体"/>
          <w:color w:val="000000"/>
        </w:rPr>
        <w:t>针对企业需要整改的短期、中期和长期项目，分别制定完善环境风险防控和应急措施的实施计划如下。</w:t>
      </w:r>
    </w:p>
    <w:p>
      <w:pPr>
        <w:pStyle w:val="20"/>
        <w:ind w:firstLine="0" w:firstLineChars="0"/>
        <w:jc w:val="center"/>
        <w:rPr>
          <w:b/>
          <w:bCs/>
          <w:sz w:val="22"/>
          <w:szCs w:val="22"/>
        </w:rPr>
      </w:pPr>
      <w:r>
        <w:rPr>
          <w:rFonts w:hint="eastAsia"/>
          <w:b/>
          <w:bCs/>
          <w:sz w:val="22"/>
          <w:szCs w:val="22"/>
        </w:rPr>
        <w:t>表6-1 企业整改措施一览表</w:t>
      </w:r>
    </w:p>
    <w:tbl>
      <w:tblPr>
        <w:tblStyle w:val="21"/>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20"/>
        <w:gridCol w:w="2708"/>
        <w:gridCol w:w="3239"/>
        <w:gridCol w:w="191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1820" w:type="dxa"/>
            <w:vAlign w:val="center"/>
          </w:tcPr>
          <w:p>
            <w:pPr>
              <w:pStyle w:val="8"/>
              <w:rPr>
                <w:rFonts w:ascii="Times New Roman" w:hAnsi="Times New Roman"/>
                <w:b/>
                <w:bCs/>
                <w:color w:val="000000"/>
              </w:rPr>
            </w:pPr>
            <w:r>
              <w:rPr>
                <w:rFonts w:ascii="Times New Roman" w:hAnsi="宋体"/>
                <w:b/>
                <w:bCs/>
                <w:color w:val="000000"/>
              </w:rPr>
              <w:t>类别</w:t>
            </w:r>
          </w:p>
        </w:tc>
        <w:tc>
          <w:tcPr>
            <w:tcW w:w="2708" w:type="dxa"/>
            <w:vAlign w:val="center"/>
          </w:tcPr>
          <w:p>
            <w:pPr>
              <w:pStyle w:val="8"/>
              <w:rPr>
                <w:rFonts w:ascii="Times New Roman" w:hAnsi="Times New Roman"/>
                <w:b/>
                <w:bCs/>
                <w:color w:val="000000"/>
              </w:rPr>
            </w:pPr>
            <w:r>
              <w:rPr>
                <w:rFonts w:ascii="Times New Roman" w:hAnsi="宋体"/>
                <w:b/>
                <w:bCs/>
                <w:color w:val="000000"/>
              </w:rPr>
              <w:t>整改内容</w:t>
            </w:r>
          </w:p>
        </w:tc>
        <w:tc>
          <w:tcPr>
            <w:tcW w:w="3239" w:type="dxa"/>
            <w:vAlign w:val="center"/>
          </w:tcPr>
          <w:p>
            <w:pPr>
              <w:pStyle w:val="8"/>
              <w:rPr>
                <w:rFonts w:ascii="Times New Roman" w:hAnsi="Times New Roman"/>
                <w:b/>
                <w:bCs/>
                <w:color w:val="000000"/>
              </w:rPr>
            </w:pPr>
            <w:r>
              <w:rPr>
                <w:rFonts w:ascii="Times New Roman" w:hAnsi="宋体"/>
                <w:b/>
                <w:bCs/>
                <w:color w:val="000000"/>
              </w:rPr>
              <w:t>实施计划</w:t>
            </w:r>
          </w:p>
        </w:tc>
        <w:tc>
          <w:tcPr>
            <w:tcW w:w="1913" w:type="dxa"/>
            <w:vAlign w:val="center"/>
          </w:tcPr>
          <w:p>
            <w:pPr>
              <w:pStyle w:val="8"/>
              <w:rPr>
                <w:rFonts w:ascii="Times New Roman" w:hAnsi="Times New Roman"/>
                <w:b/>
                <w:bCs/>
                <w:color w:val="000000"/>
              </w:rPr>
            </w:pPr>
            <w:r>
              <w:rPr>
                <w:rFonts w:ascii="Times New Roman" w:hAnsi="宋体"/>
                <w:b/>
                <w:bCs/>
                <w:color w:val="000000"/>
              </w:rPr>
              <w:t>责任人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94" w:hRule="atLeast"/>
        </w:trPr>
        <w:tc>
          <w:tcPr>
            <w:tcW w:w="1820" w:type="dxa"/>
            <w:vAlign w:val="center"/>
          </w:tcPr>
          <w:p>
            <w:pPr>
              <w:pStyle w:val="8"/>
              <w:rPr>
                <w:rFonts w:ascii="Times New Roman" w:hAnsi="Times New Roman"/>
                <w:color w:val="000000"/>
              </w:rPr>
            </w:pPr>
            <w:r>
              <w:rPr>
                <w:rFonts w:ascii="Times New Roman" w:hAnsi="宋体"/>
                <w:color w:val="000000"/>
              </w:rPr>
              <w:t>长期（</w:t>
            </w:r>
            <w:r>
              <w:rPr>
                <w:rFonts w:ascii="Times New Roman" w:hAnsi="Times New Roman"/>
                <w:color w:val="000000"/>
              </w:rPr>
              <w:t>6</w:t>
            </w:r>
            <w:r>
              <w:rPr>
                <w:rFonts w:ascii="Times New Roman" w:hAnsi="宋体"/>
                <w:color w:val="000000"/>
              </w:rPr>
              <w:t>个月以上）</w:t>
            </w:r>
          </w:p>
        </w:tc>
        <w:tc>
          <w:tcPr>
            <w:tcW w:w="2708" w:type="dxa"/>
            <w:vAlign w:val="center"/>
          </w:tcPr>
          <w:p>
            <w:pPr>
              <w:pStyle w:val="8"/>
              <w:rPr>
                <w:rFonts w:ascii="Times New Roman" w:hAnsi="Times New Roman"/>
                <w:color w:val="000000"/>
              </w:rPr>
            </w:pPr>
            <w:r>
              <w:rPr>
                <w:rFonts w:ascii="Times New Roman" w:hAnsi="宋体"/>
                <w:color w:val="000000"/>
              </w:rPr>
              <w:t>严格落实环境风险管，加强环境风险评估</w:t>
            </w:r>
          </w:p>
        </w:tc>
        <w:tc>
          <w:tcPr>
            <w:tcW w:w="3239" w:type="dxa"/>
            <w:vAlign w:val="center"/>
          </w:tcPr>
          <w:p>
            <w:pPr>
              <w:pStyle w:val="8"/>
              <w:rPr>
                <w:rFonts w:ascii="Times New Roman" w:hAnsi="Times New Roman"/>
                <w:color w:val="000000"/>
              </w:rPr>
            </w:pPr>
            <w:r>
              <w:rPr>
                <w:rFonts w:ascii="Times New Roman" w:hAnsi="宋体"/>
                <w:color w:val="000000"/>
              </w:rPr>
              <w:t>开展专项检查及排查，摸清环境风险单元，落实各项防范措施</w:t>
            </w:r>
          </w:p>
        </w:tc>
        <w:tc>
          <w:tcPr>
            <w:tcW w:w="1913" w:type="dxa"/>
            <w:vAlign w:val="center"/>
          </w:tcPr>
          <w:p>
            <w:pPr>
              <w:pStyle w:val="8"/>
              <w:rPr>
                <w:rFonts w:ascii="Times New Roman" w:hAnsi="宋体"/>
                <w:color w:val="000000"/>
              </w:rPr>
            </w:pPr>
            <w:r>
              <w:rPr>
                <w:rFonts w:ascii="Times New Roman" w:hAnsi="宋体"/>
                <w:color w:val="000000"/>
              </w:rPr>
              <w:t>全厂管理层</w:t>
            </w:r>
          </w:p>
          <w:p>
            <w:pPr>
              <w:pStyle w:val="8"/>
              <w:rPr>
                <w:rFonts w:hint="eastAsia" w:ascii="Times New Roman" w:hAnsi="宋体" w:eastAsia="宋体"/>
                <w:color w:val="000000"/>
                <w:lang w:val="en-US" w:eastAsia="zh-CN"/>
              </w:rPr>
            </w:pPr>
            <w:r>
              <w:rPr>
                <w:rFonts w:hint="eastAsia"/>
                <w:color w:val="FF0000"/>
                <w:kern w:val="21"/>
                <w:sz w:val="21"/>
              </w:rPr>
              <w:t>彭辉金</w:t>
            </w:r>
            <w:r>
              <w:rPr>
                <w:rFonts w:hint="eastAsia"/>
                <w:color w:val="FF0000"/>
                <w:kern w:val="21"/>
                <w:sz w:val="21"/>
                <w:lang w:val="en-US" w:eastAsia="zh-CN"/>
              </w:rPr>
              <w:t xml:space="preserve"> </w:t>
            </w:r>
            <w:r>
              <w:rPr>
                <w:rFonts w:hint="eastAsia" w:ascii="Times New Roman" w:hAnsi="Times New Roman"/>
                <w:color w:val="FF0000"/>
                <w:kern w:val="21"/>
                <w:sz w:val="21"/>
              </w:rPr>
              <w:t>15274409459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74" w:hRule="atLeast"/>
        </w:trPr>
        <w:tc>
          <w:tcPr>
            <w:tcW w:w="1820" w:type="dxa"/>
            <w:vAlign w:val="center"/>
          </w:tcPr>
          <w:p>
            <w:pPr>
              <w:pStyle w:val="8"/>
              <w:rPr>
                <w:rFonts w:ascii="Times New Roman" w:hAnsi="Times New Roman"/>
                <w:color w:val="000000"/>
              </w:rPr>
            </w:pPr>
            <w:r>
              <w:rPr>
                <w:rFonts w:ascii="Times New Roman" w:hAnsi="宋体"/>
                <w:color w:val="000000"/>
              </w:rPr>
              <w:t>中期（</w:t>
            </w:r>
            <w:r>
              <w:rPr>
                <w:rFonts w:ascii="Times New Roman" w:hAnsi="Times New Roman"/>
                <w:color w:val="000000"/>
              </w:rPr>
              <w:t>3-6</w:t>
            </w:r>
            <w:r>
              <w:rPr>
                <w:rFonts w:ascii="Times New Roman" w:hAnsi="宋体"/>
                <w:color w:val="000000"/>
              </w:rPr>
              <w:t>个月）</w:t>
            </w:r>
          </w:p>
        </w:tc>
        <w:tc>
          <w:tcPr>
            <w:tcW w:w="2708" w:type="dxa"/>
            <w:vAlign w:val="center"/>
          </w:tcPr>
          <w:p>
            <w:pPr>
              <w:pStyle w:val="8"/>
              <w:rPr>
                <w:rFonts w:ascii="Times New Roman" w:hAnsi="Times New Roman"/>
                <w:color w:val="000000"/>
              </w:rPr>
            </w:pPr>
            <w:r>
              <w:rPr>
                <w:rFonts w:ascii="Times New Roman" w:hAnsi="宋体"/>
                <w:color w:val="000000"/>
              </w:rPr>
              <w:t>落实隐患排查各项制度</w:t>
            </w:r>
          </w:p>
        </w:tc>
        <w:tc>
          <w:tcPr>
            <w:tcW w:w="3239" w:type="dxa"/>
            <w:vAlign w:val="center"/>
          </w:tcPr>
          <w:p>
            <w:pPr>
              <w:pStyle w:val="8"/>
              <w:rPr>
                <w:rFonts w:ascii="Times New Roman" w:hAnsi="Times New Roman"/>
                <w:color w:val="000000"/>
              </w:rPr>
            </w:pPr>
            <w:r>
              <w:rPr>
                <w:rFonts w:ascii="Times New Roman" w:hAnsi="宋体"/>
                <w:color w:val="000000"/>
              </w:rPr>
              <w:t>按照指南要求落实隐患排查治理各项制度，建立隐患治理档案</w:t>
            </w:r>
          </w:p>
        </w:tc>
        <w:tc>
          <w:tcPr>
            <w:tcW w:w="1913" w:type="dxa"/>
            <w:vAlign w:val="center"/>
          </w:tcPr>
          <w:p>
            <w:pPr>
              <w:pStyle w:val="8"/>
              <w:rPr>
                <w:rFonts w:ascii="Times New Roman" w:hAnsi="宋体"/>
                <w:color w:val="000000"/>
              </w:rPr>
            </w:pPr>
            <w:r>
              <w:rPr>
                <w:rFonts w:ascii="Times New Roman" w:hAnsi="宋体"/>
                <w:color w:val="000000"/>
              </w:rPr>
              <w:t>安全环保部</w:t>
            </w:r>
          </w:p>
          <w:p>
            <w:pPr>
              <w:pStyle w:val="8"/>
              <w:rPr>
                <w:rFonts w:hint="eastAsia" w:ascii="Times New Roman" w:hAnsi="宋体" w:eastAsia="宋体"/>
                <w:color w:val="000000"/>
                <w:lang w:val="en-US" w:eastAsia="zh-CN"/>
              </w:rPr>
            </w:pPr>
            <w:r>
              <w:rPr>
                <w:rFonts w:hint="eastAsia"/>
                <w:color w:val="FF0000"/>
                <w:kern w:val="21"/>
                <w:sz w:val="21"/>
              </w:rPr>
              <w:t>邓云雁</w:t>
            </w:r>
            <w:r>
              <w:rPr>
                <w:rFonts w:hint="eastAsia"/>
                <w:color w:val="FF0000"/>
                <w:kern w:val="21"/>
                <w:sz w:val="21"/>
                <w:lang w:val="en-US" w:eastAsia="zh-CN"/>
              </w:rPr>
              <w:t xml:space="preserve"> </w:t>
            </w:r>
            <w:r>
              <w:rPr>
                <w:rFonts w:hint="eastAsia"/>
                <w:color w:val="FF0000"/>
                <w:kern w:val="21"/>
                <w:sz w:val="21"/>
              </w:rPr>
              <w:t>18160792648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820" w:type="dxa"/>
            <w:vAlign w:val="center"/>
          </w:tcPr>
          <w:p>
            <w:pPr>
              <w:pStyle w:val="8"/>
              <w:rPr>
                <w:rFonts w:ascii="Times New Roman" w:hAnsi="Times New Roman"/>
                <w:color w:val="FF0000"/>
              </w:rPr>
            </w:pPr>
            <w:r>
              <w:rPr>
                <w:rFonts w:ascii="Times New Roman" w:hAnsi="宋体"/>
                <w:color w:val="FF0000"/>
              </w:rPr>
              <w:t>短期（</w:t>
            </w:r>
            <w:r>
              <w:rPr>
                <w:rFonts w:ascii="Times New Roman" w:hAnsi="Times New Roman"/>
                <w:color w:val="FF0000"/>
              </w:rPr>
              <w:t>3</w:t>
            </w:r>
            <w:r>
              <w:rPr>
                <w:rFonts w:ascii="Times New Roman" w:hAnsi="宋体"/>
                <w:color w:val="FF0000"/>
              </w:rPr>
              <w:t>个月以内）</w:t>
            </w:r>
          </w:p>
        </w:tc>
        <w:tc>
          <w:tcPr>
            <w:tcW w:w="2708" w:type="dxa"/>
            <w:vAlign w:val="center"/>
          </w:tcPr>
          <w:p>
            <w:pPr>
              <w:pStyle w:val="8"/>
              <w:jc w:val="left"/>
              <w:rPr>
                <w:rFonts w:ascii="Times New Roman" w:hAnsi="宋体"/>
                <w:color w:val="FF0000"/>
              </w:rPr>
            </w:pPr>
            <w:r>
              <w:rPr>
                <w:rFonts w:ascii="Times New Roman" w:hAnsi="宋体"/>
                <w:color w:val="FF0000"/>
              </w:rPr>
              <w:t>1、开展环境风险培训考核</w:t>
            </w:r>
          </w:p>
          <w:p>
            <w:pPr>
              <w:pStyle w:val="8"/>
              <w:jc w:val="left"/>
              <w:rPr>
                <w:rFonts w:hint="eastAsia" w:ascii="Times New Roman" w:hAnsi="宋体"/>
                <w:color w:val="FF0000"/>
              </w:rPr>
            </w:pPr>
            <w:r>
              <w:rPr>
                <w:rFonts w:ascii="Times New Roman" w:hAnsi="宋体"/>
                <w:color w:val="FF0000"/>
              </w:rPr>
              <w:t>2、完善应急物资全厂分配</w:t>
            </w:r>
          </w:p>
          <w:p>
            <w:pPr>
              <w:pStyle w:val="8"/>
              <w:jc w:val="left"/>
              <w:rPr>
                <w:rFonts w:hint="eastAsia" w:ascii="Times New Roman" w:hAnsi="宋体"/>
                <w:color w:val="FF0000"/>
              </w:rPr>
            </w:pPr>
            <w:r>
              <w:rPr>
                <w:rFonts w:hint="eastAsia" w:ascii="Times New Roman" w:hAnsi="宋体"/>
                <w:color w:val="FF0000"/>
              </w:rPr>
              <w:t>3、储罐区设置防腐措施</w:t>
            </w:r>
          </w:p>
          <w:p>
            <w:pPr>
              <w:pStyle w:val="8"/>
              <w:jc w:val="left"/>
              <w:rPr>
                <w:rFonts w:ascii="Times New Roman" w:hAnsi="Times New Roman"/>
                <w:color w:val="FF0000"/>
              </w:rPr>
            </w:pPr>
            <w:r>
              <w:rPr>
                <w:rFonts w:hint="eastAsia" w:ascii="Times New Roman" w:hAnsi="宋体"/>
                <w:color w:val="FF0000"/>
              </w:rPr>
              <w:t>4、建造生活污水事故应急池</w:t>
            </w:r>
          </w:p>
        </w:tc>
        <w:tc>
          <w:tcPr>
            <w:tcW w:w="3239" w:type="dxa"/>
            <w:vAlign w:val="center"/>
          </w:tcPr>
          <w:p>
            <w:pPr>
              <w:pStyle w:val="8"/>
              <w:jc w:val="left"/>
              <w:rPr>
                <w:rFonts w:ascii="Times New Roman" w:hAnsi="宋体"/>
                <w:color w:val="FF0000"/>
              </w:rPr>
            </w:pPr>
            <w:r>
              <w:rPr>
                <w:rFonts w:ascii="Times New Roman" w:hAnsi="宋体"/>
                <w:color w:val="FF0000"/>
              </w:rPr>
              <w:t>1、开展全员环境风险培训，严格实行考核制度</w:t>
            </w:r>
          </w:p>
          <w:p>
            <w:pPr>
              <w:pStyle w:val="8"/>
              <w:jc w:val="left"/>
              <w:rPr>
                <w:rFonts w:hint="eastAsia" w:ascii="Times New Roman" w:hAnsi="宋体"/>
                <w:color w:val="FF0000"/>
              </w:rPr>
            </w:pPr>
            <w:r>
              <w:rPr>
                <w:rFonts w:ascii="Times New Roman" w:hAnsi="宋体"/>
                <w:color w:val="FF0000"/>
              </w:rPr>
              <w:t>2、针对全厂总平布置情况，</w:t>
            </w:r>
            <w:r>
              <w:rPr>
                <w:rFonts w:hint="eastAsia" w:ascii="Times New Roman" w:hAnsi="宋体"/>
                <w:color w:val="FF0000"/>
              </w:rPr>
              <w:t>补充</w:t>
            </w:r>
            <w:r>
              <w:rPr>
                <w:rFonts w:ascii="Times New Roman" w:hAnsi="宋体"/>
                <w:color w:val="FF0000"/>
              </w:rPr>
              <w:t>应急柜</w:t>
            </w:r>
            <w:r>
              <w:rPr>
                <w:rFonts w:hint="eastAsia" w:ascii="Times New Roman" w:hAnsi="宋体"/>
                <w:color w:val="FF0000"/>
              </w:rPr>
              <w:t>里面的物资</w:t>
            </w:r>
            <w:r>
              <w:rPr>
                <w:rFonts w:ascii="Times New Roman" w:hAnsi="宋体"/>
                <w:color w:val="FF0000"/>
              </w:rPr>
              <w:t>，</w:t>
            </w:r>
            <w:r>
              <w:rPr>
                <w:rFonts w:hint="eastAsia" w:ascii="Times New Roman" w:hAnsi="宋体"/>
                <w:color w:val="FF0000"/>
              </w:rPr>
              <w:t>充分发挥应急作用</w:t>
            </w:r>
          </w:p>
          <w:p>
            <w:pPr>
              <w:pStyle w:val="8"/>
              <w:jc w:val="left"/>
              <w:rPr>
                <w:rFonts w:hint="eastAsia" w:ascii="Times New Roman" w:hAnsi="宋体"/>
                <w:color w:val="FF0000"/>
              </w:rPr>
            </w:pPr>
            <w:r>
              <w:rPr>
                <w:rFonts w:hint="eastAsia" w:ascii="Times New Roman" w:hAnsi="宋体"/>
                <w:color w:val="FF0000"/>
              </w:rPr>
              <w:t>3、在储罐区做好防腐措施，减小风险</w:t>
            </w:r>
          </w:p>
          <w:p>
            <w:pPr>
              <w:pStyle w:val="8"/>
              <w:jc w:val="left"/>
              <w:rPr>
                <w:rFonts w:ascii="Times New Roman" w:hAnsi="Times New Roman"/>
                <w:color w:val="FF0000"/>
              </w:rPr>
            </w:pPr>
            <w:r>
              <w:rPr>
                <w:rFonts w:hint="eastAsia" w:ascii="Times New Roman" w:hAnsi="宋体"/>
                <w:color w:val="FF0000"/>
              </w:rPr>
              <w:t>4、3个月内修建完成生活污水事故应急池</w:t>
            </w:r>
          </w:p>
        </w:tc>
        <w:tc>
          <w:tcPr>
            <w:tcW w:w="1913" w:type="dxa"/>
            <w:vAlign w:val="center"/>
          </w:tcPr>
          <w:p>
            <w:pPr>
              <w:pStyle w:val="8"/>
              <w:rPr>
                <w:rFonts w:ascii="Times New Roman" w:hAnsi="宋体"/>
                <w:color w:val="FF0000"/>
              </w:rPr>
            </w:pPr>
            <w:r>
              <w:rPr>
                <w:rFonts w:ascii="Times New Roman" w:hAnsi="宋体"/>
                <w:color w:val="FF0000"/>
              </w:rPr>
              <w:t>安全环保部</w:t>
            </w:r>
          </w:p>
          <w:p>
            <w:pPr>
              <w:pStyle w:val="8"/>
              <w:rPr>
                <w:rFonts w:ascii="Times New Roman" w:hAnsi="宋体"/>
                <w:color w:val="FF0000"/>
              </w:rPr>
            </w:pPr>
            <w:r>
              <w:rPr>
                <w:rFonts w:hint="eastAsia"/>
                <w:color w:val="FF0000"/>
                <w:kern w:val="21"/>
                <w:sz w:val="21"/>
              </w:rPr>
              <w:t>邓云雁</w:t>
            </w:r>
            <w:r>
              <w:rPr>
                <w:rFonts w:hint="eastAsia"/>
                <w:color w:val="FF0000"/>
                <w:kern w:val="21"/>
                <w:sz w:val="21"/>
                <w:lang w:val="en-US" w:eastAsia="zh-CN"/>
              </w:rPr>
              <w:t xml:space="preserve"> </w:t>
            </w:r>
            <w:r>
              <w:rPr>
                <w:rFonts w:hint="eastAsia"/>
                <w:color w:val="FF0000"/>
                <w:kern w:val="21"/>
                <w:sz w:val="21"/>
              </w:rPr>
              <w:t>18160792648</w:t>
            </w:r>
          </w:p>
          <w:p>
            <w:pPr>
              <w:pStyle w:val="8"/>
              <w:rPr>
                <w:rFonts w:ascii="Times New Roman" w:hAnsi="宋体"/>
                <w:color w:val="FF0000"/>
              </w:rPr>
            </w:pPr>
          </w:p>
        </w:tc>
      </w:tr>
    </w:tbl>
    <w:p>
      <w:pPr>
        <w:ind w:firstLine="600"/>
        <w:rPr>
          <w:color w:val="000000"/>
          <w:kern w:val="0"/>
          <w:sz w:val="30"/>
          <w:szCs w:val="30"/>
        </w:rPr>
        <w:sectPr>
          <w:pgSz w:w="11906" w:h="16838"/>
          <w:pgMar w:top="1134" w:right="1134" w:bottom="1134" w:left="1247" w:header="851" w:footer="992" w:gutter="0"/>
          <w:cols w:space="720" w:num="1"/>
          <w:docGrid w:linePitch="380" w:charSpace="0"/>
        </w:sectPr>
      </w:pPr>
    </w:p>
    <w:p>
      <w:pPr>
        <w:pStyle w:val="3"/>
        <w:jc w:val="both"/>
        <w:rPr>
          <w:color w:val="000000"/>
        </w:rPr>
      </w:pPr>
      <w:bookmarkStart w:id="136" w:name="_Toc5780683"/>
      <w:bookmarkStart w:id="137" w:name="_Toc5781238"/>
      <w:bookmarkStart w:id="138" w:name="_Toc9002348"/>
      <w:bookmarkStart w:id="139" w:name="_Toc509220198"/>
      <w:bookmarkStart w:id="140" w:name="_Toc422304597"/>
      <w:bookmarkStart w:id="141" w:name="_Toc9002609"/>
      <w:r>
        <w:rPr>
          <w:color w:val="000000"/>
        </w:rPr>
        <w:t>7</w:t>
      </w:r>
      <w:r>
        <w:rPr>
          <w:rFonts w:hAnsi="宋体"/>
          <w:color w:val="000000"/>
        </w:rPr>
        <w:t>、企业突发环境事件风险等级</w:t>
      </w:r>
      <w:bookmarkEnd w:id="136"/>
      <w:bookmarkEnd w:id="137"/>
      <w:bookmarkEnd w:id="138"/>
      <w:bookmarkEnd w:id="139"/>
      <w:bookmarkEnd w:id="140"/>
      <w:bookmarkEnd w:id="141"/>
    </w:p>
    <w:p>
      <w:pPr>
        <w:pStyle w:val="35"/>
        <w:ind w:firstLine="480"/>
        <w:rPr>
          <w:rFonts w:cs="Times New Roman"/>
          <w:color w:val="000000"/>
        </w:rPr>
      </w:pPr>
      <w:r>
        <w:rPr>
          <w:rFonts w:hAnsi="宋体" w:cs="Times New Roman"/>
          <w:color w:val="000000"/>
        </w:rPr>
        <w:t>根据环办</w:t>
      </w:r>
      <w:r>
        <w:rPr>
          <w:rFonts w:cs="Times New Roman"/>
          <w:color w:val="000000"/>
        </w:rPr>
        <w:t>[2014]34</w:t>
      </w:r>
      <w:r>
        <w:rPr>
          <w:rFonts w:hAnsi="宋体" w:cs="Times New Roman"/>
          <w:color w:val="000000"/>
        </w:rPr>
        <w:t>号文件《企业突发环境事件风险评估指南》（试行）要求，企业突发环境事件风险等级分为重大、较大和一般三级，这是实现分级管理和重点管理的基础。环境风险等级高低与企业设计的化学物质及其存在量、生产工艺和环境风险防控水平、周边环境风险受体有关。可以通过减少化学物质的量、选择风险低的替代品、提高风险防控水平等措施来降低风险。</w:t>
      </w:r>
    </w:p>
    <w:p>
      <w:pPr>
        <w:pStyle w:val="35"/>
        <w:ind w:firstLine="480"/>
        <w:rPr>
          <w:rFonts w:cs="Times New Roman"/>
          <w:color w:val="000000"/>
        </w:rPr>
      </w:pPr>
      <w:r>
        <w:rPr>
          <w:rFonts w:hAnsi="宋体" w:cs="Times New Roman"/>
          <w:color w:val="000000"/>
        </w:rPr>
        <w:t>通过定量分析企业生产、使用、存储的化学物质数量与其临界量的比值（</w:t>
      </w:r>
      <w:r>
        <w:rPr>
          <w:rFonts w:cs="Times New Roman"/>
          <w:color w:val="000000"/>
        </w:rPr>
        <w:t>Q</w:t>
      </w:r>
      <w:r>
        <w:rPr>
          <w:rFonts w:hAnsi="宋体" w:cs="Times New Roman"/>
          <w:color w:val="000000"/>
        </w:rPr>
        <w:t>），评估工艺过程与环境风险控制水平（</w:t>
      </w:r>
      <w:r>
        <w:rPr>
          <w:rFonts w:cs="Times New Roman"/>
          <w:color w:val="000000"/>
        </w:rPr>
        <w:t>M</w:t>
      </w:r>
      <w:r>
        <w:rPr>
          <w:rFonts w:hAnsi="宋体" w:cs="Times New Roman"/>
          <w:color w:val="000000"/>
        </w:rPr>
        <w:t>）以及环境风险受体敏感性（</w:t>
      </w:r>
      <w:r>
        <w:rPr>
          <w:rFonts w:cs="Times New Roman"/>
          <w:color w:val="000000"/>
        </w:rPr>
        <w:t>E</w:t>
      </w:r>
      <w:r>
        <w:rPr>
          <w:rFonts w:hAnsi="宋体" w:cs="Times New Roman"/>
          <w:color w:val="000000"/>
        </w:rPr>
        <w:t>），按照矩阵法将企业突发环境事件风险等级划分为一般环境风险、较大环境风险和重大环境风险三级，分别用蓝色、黄色和红色标识。评估程序见下图。</w:t>
      </w:r>
    </w:p>
    <w:p>
      <w:pPr>
        <w:pStyle w:val="10"/>
        <w:keepNext/>
        <w:spacing w:before="120" w:after="120" w:line="360" w:lineRule="auto"/>
        <w:jc w:val="center"/>
        <w:rPr>
          <w:rFonts w:ascii="Times New Roman" w:hAnsi="Times New Roman" w:eastAsia="宋体" w:cs="Times New Roman"/>
          <w:color w:val="000000"/>
        </w:rPr>
      </w:pPr>
      <w:r>
        <w:rPr>
          <w:rFonts w:ascii="Times New Roman" w:hAnsi="Times New Roman" w:eastAsia="宋体" w:cs="Times New Roman"/>
          <w:color w:val="000000"/>
          <w:sz w:val="28"/>
          <w:szCs w:val="28"/>
        </w:rPr>
        <w:object>
          <v:shape id="_x0000_i1027" o:spt="75" type="#_x0000_t75" style="height:317.5pt;width:406.05pt;" o:ole="t" filled="f" o:preferrelative="t" stroked="f" coordsize="21600,21600">
            <v:path/>
            <v:fill on="f" focussize="0,0"/>
            <v:stroke on="f" joinstyle="miter"/>
            <v:imagedata r:id="rId20" o:title=""/>
            <o:lock v:ext="edit" aspectratio="t"/>
            <w10:wrap type="none"/>
            <w10:anchorlock/>
          </v:shape>
          <o:OLEObject Type="Embed" ProgID="Visio.Drawing.11" ShapeID="_x0000_i1027" DrawAspect="Content" ObjectID="_1468075727" r:id="rId19">
            <o:LockedField>false</o:LockedField>
          </o:OLEObject>
        </w:object>
      </w:r>
    </w:p>
    <w:p>
      <w:pPr>
        <w:pStyle w:val="10"/>
        <w:spacing w:before="120" w:after="120" w:line="360" w:lineRule="auto"/>
        <w:jc w:val="center"/>
        <w:rPr>
          <w:rFonts w:ascii="Times New Roman" w:hAnsi="Times New Roman" w:eastAsia="宋体" w:cs="Times New Roman"/>
          <w:b/>
          <w:bCs/>
          <w:color w:val="000000"/>
          <w:sz w:val="24"/>
          <w:szCs w:val="24"/>
        </w:rPr>
      </w:pPr>
      <w:r>
        <w:rPr>
          <w:rFonts w:ascii="Times New Roman" w:hAnsi="宋体" w:eastAsia="宋体" w:cs="Times New Roman"/>
          <w:b/>
          <w:bCs/>
          <w:color w:val="000000"/>
          <w:sz w:val="24"/>
          <w:szCs w:val="24"/>
        </w:rPr>
        <w:t>图</w:t>
      </w:r>
      <w:r>
        <w:rPr>
          <w:rFonts w:ascii="Times New Roman" w:hAnsi="Times New Roman" w:eastAsia="宋体" w:cs="Times New Roman"/>
          <w:b/>
          <w:bCs/>
          <w:color w:val="000000"/>
          <w:sz w:val="24"/>
          <w:szCs w:val="24"/>
        </w:rPr>
        <w:t xml:space="preserve"> </w:t>
      </w:r>
      <w:r>
        <w:rPr>
          <w:rFonts w:ascii="Times New Roman" w:hAnsi="Times New Roman" w:eastAsia="宋体" w:cs="Times New Roman"/>
          <w:b/>
          <w:bCs/>
          <w:color w:val="000000"/>
          <w:sz w:val="24"/>
          <w:szCs w:val="24"/>
        </w:rPr>
        <w:fldChar w:fldCharType="begin"/>
      </w:r>
      <w:r>
        <w:rPr>
          <w:rFonts w:ascii="Times New Roman" w:hAnsi="Times New Roman" w:eastAsia="宋体" w:cs="Times New Roman"/>
          <w:b/>
          <w:bCs/>
          <w:color w:val="000000"/>
          <w:sz w:val="24"/>
          <w:szCs w:val="24"/>
        </w:rPr>
        <w:instrText xml:space="preserve"> STYLEREF 1 \s </w:instrText>
      </w:r>
      <w:r>
        <w:rPr>
          <w:rFonts w:ascii="Times New Roman" w:hAnsi="Times New Roman" w:eastAsia="宋体" w:cs="Times New Roman"/>
          <w:b/>
          <w:bCs/>
          <w:color w:val="000000"/>
          <w:sz w:val="24"/>
          <w:szCs w:val="24"/>
        </w:rPr>
        <w:fldChar w:fldCharType="separate"/>
      </w:r>
      <w:r>
        <w:rPr>
          <w:rFonts w:ascii="Times New Roman" w:hAnsi="Times New Roman" w:eastAsia="宋体" w:cs="Times New Roman"/>
          <w:b/>
          <w:bCs/>
          <w:color w:val="000000"/>
          <w:sz w:val="24"/>
          <w:szCs w:val="24"/>
        </w:rPr>
        <w:t>7</w:t>
      </w:r>
      <w:r>
        <w:rPr>
          <w:rFonts w:ascii="Times New Roman" w:hAnsi="Times New Roman" w:eastAsia="宋体" w:cs="Times New Roman"/>
          <w:b/>
          <w:bCs/>
          <w:color w:val="000000"/>
          <w:sz w:val="24"/>
          <w:szCs w:val="24"/>
        </w:rPr>
        <w:fldChar w:fldCharType="end"/>
      </w:r>
      <w:r>
        <w:rPr>
          <w:rFonts w:ascii="Times New Roman" w:hAnsi="Times New Roman" w:eastAsia="宋体" w:cs="Times New Roman"/>
          <w:b/>
          <w:bCs/>
          <w:color w:val="000000"/>
          <w:sz w:val="24"/>
          <w:szCs w:val="24"/>
        </w:rPr>
        <w:noBreakHyphen/>
      </w:r>
      <w:r>
        <w:rPr>
          <w:rFonts w:ascii="Times New Roman" w:hAnsi="Times New Roman" w:eastAsia="宋体" w:cs="Times New Roman"/>
          <w:b/>
          <w:bCs/>
          <w:color w:val="000000"/>
          <w:sz w:val="24"/>
          <w:szCs w:val="24"/>
        </w:rPr>
        <w:fldChar w:fldCharType="begin"/>
      </w:r>
      <w:r>
        <w:rPr>
          <w:rFonts w:ascii="Times New Roman" w:hAnsi="Times New Roman" w:eastAsia="宋体" w:cs="Times New Roman"/>
          <w:b/>
          <w:bCs/>
          <w:color w:val="000000"/>
          <w:sz w:val="24"/>
          <w:szCs w:val="24"/>
        </w:rPr>
        <w:instrText xml:space="preserve"> SEQ </w:instrText>
      </w:r>
      <w:r>
        <w:rPr>
          <w:rFonts w:ascii="Times New Roman" w:hAnsi="宋体" w:eastAsia="宋体" w:cs="Times New Roman"/>
          <w:b/>
          <w:bCs/>
          <w:color w:val="000000"/>
          <w:sz w:val="24"/>
          <w:szCs w:val="24"/>
        </w:rPr>
        <w:instrText xml:space="preserve">图</w:instrText>
      </w:r>
      <w:r>
        <w:rPr>
          <w:rFonts w:ascii="Times New Roman" w:hAnsi="Times New Roman" w:eastAsia="宋体" w:cs="Times New Roman"/>
          <w:b/>
          <w:bCs/>
          <w:color w:val="000000"/>
          <w:sz w:val="24"/>
          <w:szCs w:val="24"/>
        </w:rPr>
        <w:instrText xml:space="preserve"> \* ARABIC \s 1 </w:instrText>
      </w:r>
      <w:r>
        <w:rPr>
          <w:rFonts w:ascii="Times New Roman" w:hAnsi="Times New Roman" w:eastAsia="宋体" w:cs="Times New Roman"/>
          <w:b/>
          <w:bCs/>
          <w:color w:val="000000"/>
          <w:sz w:val="24"/>
          <w:szCs w:val="24"/>
        </w:rPr>
        <w:fldChar w:fldCharType="separate"/>
      </w:r>
      <w:r>
        <w:rPr>
          <w:rFonts w:ascii="Times New Roman" w:hAnsi="Times New Roman" w:eastAsia="宋体" w:cs="Times New Roman"/>
          <w:b/>
          <w:bCs/>
          <w:color w:val="000000"/>
          <w:sz w:val="24"/>
          <w:szCs w:val="24"/>
        </w:rPr>
        <w:t>1</w:t>
      </w:r>
      <w:r>
        <w:rPr>
          <w:rFonts w:ascii="Times New Roman" w:hAnsi="Times New Roman" w:eastAsia="宋体" w:cs="Times New Roman"/>
          <w:b/>
          <w:bCs/>
          <w:color w:val="000000"/>
          <w:sz w:val="24"/>
          <w:szCs w:val="24"/>
        </w:rPr>
        <w:fldChar w:fldCharType="end"/>
      </w:r>
      <w:r>
        <w:rPr>
          <w:rFonts w:ascii="Times New Roman" w:hAnsi="Times New Roman" w:eastAsia="宋体" w:cs="Times New Roman"/>
          <w:b/>
          <w:bCs/>
          <w:color w:val="000000"/>
          <w:sz w:val="24"/>
          <w:szCs w:val="24"/>
        </w:rPr>
        <w:t xml:space="preserve">  </w:t>
      </w:r>
      <w:r>
        <w:rPr>
          <w:rFonts w:ascii="Times New Roman" w:hAnsi="宋体" w:eastAsia="宋体" w:cs="Times New Roman"/>
          <w:b/>
          <w:bCs/>
          <w:color w:val="000000"/>
          <w:sz w:val="24"/>
          <w:szCs w:val="24"/>
        </w:rPr>
        <w:t>企业突发环境事件风险评估流程示意图</w:t>
      </w:r>
    </w:p>
    <w:p>
      <w:pPr>
        <w:pStyle w:val="35"/>
        <w:ind w:firstLine="602"/>
        <w:rPr>
          <w:rFonts w:cs="Times New Roman"/>
          <w:b/>
          <w:color w:val="000000"/>
          <w:sz w:val="30"/>
          <w:szCs w:val="30"/>
        </w:rPr>
      </w:pPr>
      <w:r>
        <w:rPr>
          <w:rFonts w:hAnsi="宋体" w:cs="Times New Roman"/>
          <w:b/>
          <w:color w:val="000000"/>
          <w:sz w:val="30"/>
          <w:szCs w:val="30"/>
        </w:rPr>
        <w:t>企业生产工艺过程评分</w:t>
      </w:r>
    </w:p>
    <w:p>
      <w:pPr>
        <w:pStyle w:val="35"/>
        <w:ind w:firstLine="480"/>
        <w:rPr>
          <w:rFonts w:hAnsi="宋体" w:cs="Times New Roman"/>
          <w:color w:val="000000"/>
        </w:rPr>
      </w:pPr>
      <w:r>
        <w:rPr>
          <w:rFonts w:hAnsi="宋体" w:cs="Times New Roman"/>
          <w:color w:val="000000"/>
        </w:rPr>
        <w:t>按照下表评估企业生产工艺情况。具有多套工艺单元的企业，对每套生产工艺分别评分并求和。企业生产工艺最高分值为</w:t>
      </w:r>
      <w:r>
        <w:rPr>
          <w:rFonts w:cs="Times New Roman"/>
          <w:color w:val="000000"/>
        </w:rPr>
        <w:t>30</w:t>
      </w:r>
      <w:r>
        <w:rPr>
          <w:rFonts w:hAnsi="宋体" w:cs="Times New Roman"/>
          <w:color w:val="000000"/>
        </w:rPr>
        <w:t>分，超过</w:t>
      </w:r>
      <w:r>
        <w:rPr>
          <w:rFonts w:cs="Times New Roman"/>
          <w:color w:val="000000"/>
        </w:rPr>
        <w:t>30</w:t>
      </w:r>
      <w:r>
        <w:rPr>
          <w:rFonts w:hAnsi="宋体" w:cs="Times New Roman"/>
          <w:color w:val="000000"/>
        </w:rPr>
        <w:t>分则按最高分计</w:t>
      </w:r>
      <w:bookmarkStart w:id="142" w:name="_Ref384367534"/>
      <w:r>
        <w:rPr>
          <w:rFonts w:hAnsi="宋体" w:cs="Times New Roman"/>
          <w:color w:val="000000"/>
        </w:rPr>
        <w:t>。</w:t>
      </w:r>
    </w:p>
    <w:p>
      <w:pPr>
        <w:pStyle w:val="35"/>
        <w:ind w:firstLine="482"/>
        <w:jc w:val="center"/>
        <w:rPr>
          <w:rFonts w:hAnsi="宋体" w:cs="Times New Roman"/>
          <w:color w:val="000000"/>
        </w:rPr>
      </w:pPr>
      <w:r>
        <w:rPr>
          <w:rFonts w:hAnsi="宋体" w:cs="Times New Roman"/>
          <w:b/>
          <w:bCs/>
          <w:color w:val="000000"/>
        </w:rPr>
        <w:t>表 7</w:t>
      </w:r>
      <w:r>
        <w:rPr>
          <w:rFonts w:hint="eastAsia" w:hAnsi="宋体" w:cs="Times New Roman"/>
          <w:b/>
          <w:bCs/>
          <w:color w:val="000000"/>
        </w:rPr>
        <w:t>-</w:t>
      </w:r>
      <w:r>
        <w:rPr>
          <w:rFonts w:hAnsi="宋体" w:cs="Times New Roman"/>
          <w:b/>
          <w:bCs/>
          <w:color w:val="000000"/>
        </w:rPr>
        <w:t>1  企业生产工艺过程评分表</w:t>
      </w:r>
    </w:p>
    <w:bookmarkEnd w:id="142"/>
    <w:tbl>
      <w:tblPr>
        <w:tblStyle w:val="21"/>
        <w:tblW w:w="94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8"/>
        <w:gridCol w:w="4307"/>
        <w:gridCol w:w="1200"/>
        <w:gridCol w:w="1298"/>
        <w:gridCol w:w="18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8" w:type="dxa"/>
            <w:shd w:val="clear" w:color="auto" w:fill="D9D9D9"/>
            <w:vAlign w:val="center"/>
          </w:tcPr>
          <w:p>
            <w:pPr>
              <w:pStyle w:val="45"/>
              <w:rPr>
                <w:color w:val="000000"/>
                <w:szCs w:val="24"/>
              </w:rPr>
            </w:pPr>
            <w:r>
              <w:rPr>
                <w:rFonts w:hAnsi="宋体"/>
                <w:color w:val="000000"/>
                <w:szCs w:val="24"/>
              </w:rPr>
              <w:t>序号</w:t>
            </w:r>
          </w:p>
        </w:tc>
        <w:tc>
          <w:tcPr>
            <w:tcW w:w="4307" w:type="dxa"/>
            <w:shd w:val="clear" w:color="auto" w:fill="D9D9D9"/>
            <w:vAlign w:val="center"/>
          </w:tcPr>
          <w:p>
            <w:pPr>
              <w:pStyle w:val="45"/>
              <w:rPr>
                <w:color w:val="000000"/>
                <w:szCs w:val="24"/>
              </w:rPr>
            </w:pPr>
            <w:r>
              <w:rPr>
                <w:rFonts w:hAnsi="宋体"/>
                <w:color w:val="000000"/>
                <w:szCs w:val="24"/>
              </w:rPr>
              <w:t>评估依据</w:t>
            </w:r>
          </w:p>
        </w:tc>
        <w:tc>
          <w:tcPr>
            <w:tcW w:w="1200" w:type="dxa"/>
            <w:shd w:val="clear" w:color="auto" w:fill="D9D9D9"/>
            <w:vAlign w:val="center"/>
          </w:tcPr>
          <w:p>
            <w:pPr>
              <w:pStyle w:val="45"/>
              <w:rPr>
                <w:color w:val="000000"/>
                <w:szCs w:val="24"/>
              </w:rPr>
            </w:pPr>
            <w:r>
              <w:rPr>
                <w:rFonts w:hAnsi="宋体"/>
                <w:color w:val="000000"/>
                <w:szCs w:val="24"/>
              </w:rPr>
              <w:t>分值</w:t>
            </w:r>
          </w:p>
        </w:tc>
        <w:tc>
          <w:tcPr>
            <w:tcW w:w="1298" w:type="dxa"/>
            <w:shd w:val="clear" w:color="auto" w:fill="D9D9D9"/>
            <w:vAlign w:val="center"/>
          </w:tcPr>
          <w:p>
            <w:pPr>
              <w:pStyle w:val="45"/>
              <w:rPr>
                <w:color w:val="000000"/>
                <w:szCs w:val="24"/>
              </w:rPr>
            </w:pPr>
            <w:r>
              <w:rPr>
                <w:rFonts w:hAnsi="宋体"/>
                <w:color w:val="000000"/>
                <w:szCs w:val="24"/>
              </w:rPr>
              <w:t>具体评分</w:t>
            </w:r>
          </w:p>
        </w:tc>
        <w:tc>
          <w:tcPr>
            <w:tcW w:w="1807" w:type="dxa"/>
            <w:shd w:val="clear" w:color="auto" w:fill="D9D9D9"/>
            <w:vAlign w:val="center"/>
          </w:tcPr>
          <w:p>
            <w:pPr>
              <w:pStyle w:val="45"/>
              <w:rPr>
                <w:color w:val="000000"/>
                <w:szCs w:val="24"/>
              </w:rPr>
            </w:pPr>
            <w:r>
              <w:rPr>
                <w:rFonts w:hAnsi="宋体"/>
                <w:color w:val="000000"/>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8" w:type="dxa"/>
            <w:vAlign w:val="center"/>
          </w:tcPr>
          <w:p>
            <w:pPr>
              <w:pStyle w:val="45"/>
              <w:rPr>
                <w:color w:val="000000"/>
                <w:szCs w:val="24"/>
              </w:rPr>
            </w:pPr>
            <w:r>
              <w:rPr>
                <w:color w:val="000000"/>
                <w:szCs w:val="24"/>
              </w:rPr>
              <w:t>1</w:t>
            </w:r>
          </w:p>
        </w:tc>
        <w:tc>
          <w:tcPr>
            <w:tcW w:w="4307" w:type="dxa"/>
            <w:vAlign w:val="center"/>
          </w:tcPr>
          <w:p>
            <w:pPr>
              <w:pStyle w:val="45"/>
              <w:rPr>
                <w:color w:val="000000"/>
                <w:szCs w:val="24"/>
              </w:rPr>
            </w:pPr>
            <w:r>
              <w:rPr>
                <w:rFonts w:hAnsi="宋体"/>
                <w:color w:val="000000"/>
                <w:szCs w:val="24"/>
              </w:rPr>
              <w:t>涉及⑴光气及光气化工艺、⑵电解工艺（氯碱）、⑶氯化工艺、⑷硝化工艺、⑸合成氨工艺、⑹裂解（裂化）工艺、⑺氟化工艺、⑻加氢工艺、⑼重氮化工艺、⑽氧化工艺、⑾过氧化工艺、⑿胺基化工艺、⒀磺化工艺、⒁聚合工艺、⒂烷基化工艺、⒃新型煤化工工艺、（</w:t>
            </w:r>
            <w:r>
              <w:rPr>
                <w:color w:val="000000"/>
                <w:szCs w:val="24"/>
              </w:rPr>
              <w:t>17</w:t>
            </w:r>
            <w:r>
              <w:rPr>
                <w:rFonts w:hAnsi="宋体"/>
                <w:color w:val="000000"/>
                <w:szCs w:val="24"/>
              </w:rPr>
              <w:t>）电石生产工艺、（</w:t>
            </w:r>
            <w:r>
              <w:rPr>
                <w:color w:val="000000"/>
                <w:szCs w:val="24"/>
              </w:rPr>
              <w:t>18</w:t>
            </w:r>
            <w:r>
              <w:rPr>
                <w:rFonts w:hAnsi="宋体"/>
                <w:color w:val="000000"/>
                <w:szCs w:val="24"/>
              </w:rPr>
              <w:t>）偶氮化工艺</w:t>
            </w:r>
          </w:p>
        </w:tc>
        <w:tc>
          <w:tcPr>
            <w:tcW w:w="1200" w:type="dxa"/>
            <w:vAlign w:val="center"/>
          </w:tcPr>
          <w:p>
            <w:pPr>
              <w:pStyle w:val="45"/>
              <w:rPr>
                <w:color w:val="000000"/>
                <w:szCs w:val="24"/>
              </w:rPr>
            </w:pPr>
            <w:r>
              <w:rPr>
                <w:color w:val="000000"/>
                <w:szCs w:val="24"/>
              </w:rPr>
              <w:t>10/</w:t>
            </w:r>
            <w:r>
              <w:rPr>
                <w:rFonts w:hAnsi="宋体"/>
                <w:color w:val="000000"/>
                <w:szCs w:val="24"/>
              </w:rPr>
              <w:t>每套</w:t>
            </w:r>
          </w:p>
        </w:tc>
        <w:tc>
          <w:tcPr>
            <w:tcW w:w="1298" w:type="dxa"/>
            <w:vAlign w:val="center"/>
          </w:tcPr>
          <w:p>
            <w:pPr>
              <w:pStyle w:val="45"/>
              <w:rPr>
                <w:color w:val="000000"/>
                <w:szCs w:val="24"/>
              </w:rPr>
            </w:pPr>
            <w:r>
              <w:rPr>
                <w:color w:val="000000"/>
                <w:szCs w:val="24"/>
              </w:rPr>
              <w:t>0</w:t>
            </w:r>
          </w:p>
        </w:tc>
        <w:tc>
          <w:tcPr>
            <w:tcW w:w="1807" w:type="dxa"/>
            <w:vAlign w:val="center"/>
          </w:tcPr>
          <w:p>
            <w:pPr>
              <w:pStyle w:val="45"/>
              <w:rPr>
                <w:color w:val="000000"/>
                <w:szCs w:val="24"/>
              </w:rPr>
            </w:pPr>
            <w:r>
              <w:rPr>
                <w:rFonts w:hAnsi="宋体"/>
                <w:color w:val="000000"/>
                <w:szCs w:val="24"/>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8" w:type="dxa"/>
            <w:vAlign w:val="center"/>
          </w:tcPr>
          <w:p>
            <w:pPr>
              <w:pStyle w:val="45"/>
              <w:rPr>
                <w:color w:val="000000"/>
                <w:szCs w:val="24"/>
              </w:rPr>
            </w:pPr>
            <w:r>
              <w:rPr>
                <w:color w:val="000000"/>
                <w:szCs w:val="24"/>
              </w:rPr>
              <w:t>2</w:t>
            </w:r>
          </w:p>
        </w:tc>
        <w:tc>
          <w:tcPr>
            <w:tcW w:w="4307" w:type="dxa"/>
            <w:vAlign w:val="center"/>
          </w:tcPr>
          <w:p>
            <w:pPr>
              <w:pStyle w:val="45"/>
              <w:rPr>
                <w:color w:val="000000"/>
                <w:szCs w:val="24"/>
              </w:rPr>
            </w:pPr>
            <w:r>
              <w:rPr>
                <w:rFonts w:hAnsi="宋体"/>
                <w:color w:val="000000"/>
                <w:szCs w:val="24"/>
              </w:rPr>
              <w:t>其他高温或高压、涉及易燃易爆等物质的工艺过程</w:t>
            </w:r>
            <w:r>
              <w:rPr>
                <w:color w:val="000000"/>
                <w:szCs w:val="24"/>
                <w:vertAlign w:val="superscript"/>
              </w:rPr>
              <w:t>1</w:t>
            </w:r>
          </w:p>
        </w:tc>
        <w:tc>
          <w:tcPr>
            <w:tcW w:w="1200" w:type="dxa"/>
            <w:vAlign w:val="center"/>
          </w:tcPr>
          <w:p>
            <w:pPr>
              <w:pStyle w:val="45"/>
              <w:rPr>
                <w:color w:val="000000"/>
                <w:szCs w:val="24"/>
              </w:rPr>
            </w:pPr>
            <w:r>
              <w:rPr>
                <w:color w:val="000000"/>
                <w:szCs w:val="24"/>
              </w:rPr>
              <w:t>5/</w:t>
            </w:r>
            <w:r>
              <w:rPr>
                <w:rFonts w:hAnsi="宋体"/>
                <w:color w:val="000000"/>
                <w:szCs w:val="24"/>
              </w:rPr>
              <w:t>每套</w:t>
            </w:r>
          </w:p>
        </w:tc>
        <w:tc>
          <w:tcPr>
            <w:tcW w:w="1298" w:type="dxa"/>
            <w:vAlign w:val="center"/>
          </w:tcPr>
          <w:p>
            <w:pPr>
              <w:pStyle w:val="45"/>
              <w:rPr>
                <w:color w:val="000000"/>
                <w:szCs w:val="24"/>
              </w:rPr>
            </w:pPr>
            <w:r>
              <w:rPr>
                <w:rFonts w:hint="eastAsia"/>
                <w:color w:val="000000"/>
                <w:szCs w:val="24"/>
              </w:rPr>
              <w:t>0</w:t>
            </w:r>
          </w:p>
        </w:tc>
        <w:tc>
          <w:tcPr>
            <w:tcW w:w="1807" w:type="dxa"/>
            <w:vAlign w:val="center"/>
          </w:tcPr>
          <w:p>
            <w:pPr>
              <w:pStyle w:val="45"/>
              <w:rPr>
                <w:color w:val="000000"/>
                <w:szCs w:val="24"/>
              </w:rPr>
            </w:pPr>
            <w:r>
              <w:rPr>
                <w:rFonts w:hAnsi="宋体"/>
                <w:color w:val="000000"/>
                <w:szCs w:val="24"/>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8" w:type="dxa"/>
            <w:vAlign w:val="center"/>
          </w:tcPr>
          <w:p>
            <w:pPr>
              <w:pStyle w:val="45"/>
              <w:rPr>
                <w:color w:val="000000"/>
                <w:szCs w:val="24"/>
              </w:rPr>
            </w:pPr>
            <w:r>
              <w:rPr>
                <w:color w:val="000000"/>
                <w:szCs w:val="24"/>
              </w:rPr>
              <w:t>3</w:t>
            </w:r>
          </w:p>
        </w:tc>
        <w:tc>
          <w:tcPr>
            <w:tcW w:w="4307" w:type="dxa"/>
            <w:vAlign w:val="center"/>
          </w:tcPr>
          <w:p>
            <w:pPr>
              <w:pStyle w:val="45"/>
              <w:rPr>
                <w:color w:val="000000"/>
                <w:szCs w:val="24"/>
              </w:rPr>
            </w:pPr>
            <w:r>
              <w:rPr>
                <w:rFonts w:hAnsi="宋体"/>
                <w:color w:val="000000"/>
                <w:szCs w:val="24"/>
              </w:rPr>
              <w:t>具有国家规定限期淘汰的工艺名录和设备</w:t>
            </w:r>
            <w:r>
              <w:rPr>
                <w:color w:val="000000"/>
                <w:szCs w:val="24"/>
                <w:vertAlign w:val="superscript"/>
              </w:rPr>
              <w:t>2</w:t>
            </w:r>
          </w:p>
        </w:tc>
        <w:tc>
          <w:tcPr>
            <w:tcW w:w="1200" w:type="dxa"/>
            <w:vAlign w:val="center"/>
          </w:tcPr>
          <w:p>
            <w:pPr>
              <w:pStyle w:val="45"/>
              <w:rPr>
                <w:color w:val="000000"/>
                <w:szCs w:val="24"/>
              </w:rPr>
            </w:pPr>
            <w:r>
              <w:rPr>
                <w:color w:val="000000"/>
                <w:szCs w:val="24"/>
              </w:rPr>
              <w:t>5/</w:t>
            </w:r>
            <w:r>
              <w:rPr>
                <w:rFonts w:hAnsi="宋体"/>
                <w:color w:val="000000"/>
                <w:szCs w:val="24"/>
              </w:rPr>
              <w:t>每套</w:t>
            </w:r>
          </w:p>
        </w:tc>
        <w:tc>
          <w:tcPr>
            <w:tcW w:w="1298" w:type="dxa"/>
            <w:vAlign w:val="center"/>
          </w:tcPr>
          <w:p>
            <w:pPr>
              <w:pStyle w:val="45"/>
              <w:rPr>
                <w:color w:val="000000"/>
                <w:szCs w:val="24"/>
              </w:rPr>
            </w:pPr>
            <w:r>
              <w:rPr>
                <w:color w:val="000000"/>
                <w:szCs w:val="24"/>
              </w:rPr>
              <w:t>0</w:t>
            </w:r>
          </w:p>
        </w:tc>
        <w:tc>
          <w:tcPr>
            <w:tcW w:w="1807" w:type="dxa"/>
            <w:vAlign w:val="center"/>
          </w:tcPr>
          <w:p>
            <w:pPr>
              <w:pStyle w:val="45"/>
              <w:rPr>
                <w:color w:val="000000"/>
                <w:szCs w:val="24"/>
              </w:rPr>
            </w:pPr>
            <w:r>
              <w:rPr>
                <w:rFonts w:hAnsi="宋体"/>
                <w:color w:val="000000"/>
                <w:szCs w:val="24"/>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8" w:type="dxa"/>
            <w:vAlign w:val="center"/>
          </w:tcPr>
          <w:p>
            <w:pPr>
              <w:pStyle w:val="45"/>
              <w:rPr>
                <w:color w:val="000000"/>
                <w:szCs w:val="24"/>
              </w:rPr>
            </w:pPr>
            <w:r>
              <w:rPr>
                <w:color w:val="000000"/>
                <w:szCs w:val="24"/>
              </w:rPr>
              <w:t>4</w:t>
            </w:r>
          </w:p>
        </w:tc>
        <w:tc>
          <w:tcPr>
            <w:tcW w:w="4307" w:type="dxa"/>
            <w:vAlign w:val="center"/>
          </w:tcPr>
          <w:p>
            <w:pPr>
              <w:pStyle w:val="45"/>
              <w:rPr>
                <w:color w:val="000000"/>
                <w:szCs w:val="24"/>
              </w:rPr>
            </w:pPr>
            <w:r>
              <w:rPr>
                <w:rFonts w:hAnsi="宋体"/>
                <w:color w:val="000000"/>
                <w:szCs w:val="24"/>
              </w:rPr>
              <w:t>不涉及以上危险工艺过程或国家规定的禁用工艺</w:t>
            </w:r>
            <w:r>
              <w:rPr>
                <w:color w:val="000000"/>
                <w:szCs w:val="24"/>
              </w:rPr>
              <w:t>/</w:t>
            </w:r>
            <w:r>
              <w:rPr>
                <w:rFonts w:hAnsi="宋体"/>
                <w:color w:val="000000"/>
                <w:szCs w:val="24"/>
              </w:rPr>
              <w:t>设备</w:t>
            </w:r>
          </w:p>
        </w:tc>
        <w:tc>
          <w:tcPr>
            <w:tcW w:w="1200" w:type="dxa"/>
            <w:vAlign w:val="center"/>
          </w:tcPr>
          <w:p>
            <w:pPr>
              <w:pStyle w:val="45"/>
              <w:rPr>
                <w:color w:val="000000"/>
                <w:szCs w:val="24"/>
              </w:rPr>
            </w:pPr>
            <w:r>
              <w:rPr>
                <w:color w:val="000000"/>
                <w:szCs w:val="24"/>
              </w:rPr>
              <w:t>0</w:t>
            </w:r>
            <w:r>
              <w:rPr>
                <w:rFonts w:hAnsi="宋体"/>
                <w:color w:val="000000"/>
                <w:szCs w:val="24"/>
              </w:rPr>
              <w:t>分</w:t>
            </w:r>
          </w:p>
        </w:tc>
        <w:tc>
          <w:tcPr>
            <w:tcW w:w="1298" w:type="dxa"/>
            <w:vAlign w:val="center"/>
          </w:tcPr>
          <w:p>
            <w:pPr>
              <w:pStyle w:val="45"/>
              <w:rPr>
                <w:color w:val="000000"/>
                <w:szCs w:val="24"/>
              </w:rPr>
            </w:pPr>
            <w:r>
              <w:rPr>
                <w:color w:val="000000"/>
                <w:szCs w:val="24"/>
              </w:rPr>
              <w:t>0</w:t>
            </w:r>
          </w:p>
        </w:tc>
        <w:tc>
          <w:tcPr>
            <w:tcW w:w="1807" w:type="dxa"/>
            <w:vAlign w:val="center"/>
          </w:tcPr>
          <w:p>
            <w:pPr>
              <w:pStyle w:val="45"/>
              <w:rPr>
                <w:color w:val="000000"/>
                <w:szCs w:val="24"/>
              </w:rPr>
            </w:pPr>
            <w:r>
              <w:rPr>
                <w:rFonts w:hAnsi="宋体"/>
                <w:color w:val="000000"/>
                <w:szCs w:val="24"/>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85" w:type="dxa"/>
            <w:gridSpan w:val="2"/>
            <w:vAlign w:val="center"/>
          </w:tcPr>
          <w:p>
            <w:pPr>
              <w:pStyle w:val="45"/>
              <w:rPr>
                <w:color w:val="000000"/>
                <w:szCs w:val="24"/>
              </w:rPr>
            </w:pPr>
            <w:r>
              <w:rPr>
                <w:rFonts w:hAnsi="宋体"/>
                <w:color w:val="000000"/>
                <w:szCs w:val="24"/>
              </w:rPr>
              <w:t>总分</w:t>
            </w:r>
          </w:p>
        </w:tc>
        <w:tc>
          <w:tcPr>
            <w:tcW w:w="4305" w:type="dxa"/>
            <w:gridSpan w:val="3"/>
            <w:vAlign w:val="center"/>
          </w:tcPr>
          <w:p>
            <w:pPr>
              <w:pStyle w:val="45"/>
              <w:rPr>
                <w:color w:val="000000"/>
                <w:szCs w:val="24"/>
              </w:rPr>
            </w:pPr>
            <w:r>
              <w:rPr>
                <w:rFonts w:hint="eastAsia"/>
                <w:color w:val="000000"/>
                <w:szCs w:val="24"/>
              </w:rPr>
              <w:t>0</w:t>
            </w:r>
          </w:p>
        </w:tc>
      </w:tr>
    </w:tbl>
    <w:p>
      <w:pPr>
        <w:pStyle w:val="46"/>
        <w:spacing w:before="72" w:after="72"/>
        <w:rPr>
          <w:color w:val="000000"/>
          <w:kern w:val="0"/>
        </w:rPr>
      </w:pPr>
    </w:p>
    <w:p>
      <w:pPr>
        <w:pStyle w:val="35"/>
        <w:ind w:firstLine="480"/>
        <w:rPr>
          <w:rFonts w:cs="Times New Roman"/>
          <w:color w:val="000000"/>
          <w:szCs w:val="24"/>
        </w:rPr>
      </w:pPr>
      <w:r>
        <w:rPr>
          <w:rFonts w:hAnsi="宋体" w:cs="Times New Roman"/>
          <w:color w:val="000000"/>
          <w:szCs w:val="24"/>
        </w:rPr>
        <w:t>注</w:t>
      </w:r>
      <w:r>
        <w:rPr>
          <w:rFonts w:cs="Times New Roman"/>
          <w:color w:val="000000"/>
          <w:szCs w:val="24"/>
        </w:rPr>
        <w:t>1</w:t>
      </w:r>
      <w:r>
        <w:rPr>
          <w:rFonts w:hAnsi="宋体" w:cs="Times New Roman"/>
          <w:color w:val="000000"/>
          <w:szCs w:val="24"/>
        </w:rPr>
        <w:t>：高温指工艺温度</w:t>
      </w:r>
      <w:r>
        <w:rPr>
          <w:rFonts w:cs="Times New Roman"/>
          <w:color w:val="000000"/>
          <w:szCs w:val="24"/>
        </w:rPr>
        <w:t>≥300</w:t>
      </w:r>
      <w:r>
        <w:rPr>
          <w:rFonts w:hAnsi="宋体" w:cs="Times New Roman"/>
          <w:color w:val="000000"/>
          <w:szCs w:val="24"/>
        </w:rPr>
        <w:t>℃，高压指压力容器的设计压力</w:t>
      </w:r>
      <w:r>
        <w:rPr>
          <w:rFonts w:cs="Times New Roman"/>
          <w:color w:val="000000"/>
          <w:szCs w:val="24"/>
        </w:rPr>
        <w:t>≥10.0MPa</w:t>
      </w:r>
      <w:r>
        <w:rPr>
          <w:rFonts w:hAnsi="宋体" w:cs="Times New Roman"/>
          <w:color w:val="000000"/>
          <w:szCs w:val="24"/>
        </w:rPr>
        <w:t>，易燃易爆等物质是指按照</w:t>
      </w:r>
      <w:r>
        <w:rPr>
          <w:rFonts w:cs="Times New Roman"/>
          <w:color w:val="000000"/>
          <w:szCs w:val="24"/>
        </w:rPr>
        <w:t>GB20576</w:t>
      </w:r>
      <w:r>
        <w:rPr>
          <w:rFonts w:hAnsi="宋体" w:cs="Times New Roman"/>
          <w:color w:val="000000"/>
          <w:szCs w:val="24"/>
        </w:rPr>
        <w:t>至</w:t>
      </w:r>
      <w:r>
        <w:rPr>
          <w:rFonts w:cs="Times New Roman"/>
          <w:color w:val="000000"/>
          <w:szCs w:val="24"/>
        </w:rPr>
        <w:t>20602</w:t>
      </w:r>
      <w:r>
        <w:rPr>
          <w:rFonts w:hAnsi="宋体" w:cs="Times New Roman"/>
          <w:color w:val="000000"/>
          <w:szCs w:val="24"/>
        </w:rPr>
        <w:t>《化学品分类、警示标签和警示性说明安全规范》所确定的化学物质；</w:t>
      </w:r>
    </w:p>
    <w:p>
      <w:pPr>
        <w:ind w:firstLine="480"/>
        <w:rPr>
          <w:color w:val="000000"/>
        </w:rPr>
      </w:pPr>
      <w:r>
        <w:rPr>
          <w:rFonts w:hAnsi="宋体"/>
          <w:color w:val="000000"/>
        </w:rPr>
        <w:t>注</w:t>
      </w:r>
      <w:r>
        <w:rPr>
          <w:color w:val="000000"/>
        </w:rPr>
        <w:t>2</w:t>
      </w:r>
      <w:r>
        <w:rPr>
          <w:rFonts w:hAnsi="宋体"/>
          <w:color w:val="000000"/>
        </w:rPr>
        <w:t>：指根据国家发展改革委发布的《产品结构调整指导目录》中淘汰类落后生产工艺装备。</w:t>
      </w:r>
    </w:p>
    <w:p>
      <w:pPr>
        <w:pStyle w:val="19"/>
        <w:spacing w:line="360" w:lineRule="auto"/>
        <w:ind w:firstLine="482" w:firstLineChars="200"/>
        <w:jc w:val="both"/>
        <w:rPr>
          <w:rFonts w:ascii="宋体" w:hAnsi="宋体" w:cs="宋体"/>
          <w:b/>
          <w:bCs/>
        </w:rPr>
      </w:pPr>
      <w:bookmarkStart w:id="143" w:name="_Toc9002610"/>
      <w:bookmarkStart w:id="144" w:name="_Toc9002349"/>
      <w:bookmarkStart w:id="145" w:name="_Toc5781239"/>
      <w:r>
        <w:rPr>
          <w:rFonts w:hint="eastAsia" w:ascii="宋体" w:hAnsi="宋体" w:cs="宋体"/>
          <w:b/>
          <w:bCs/>
        </w:rPr>
        <w:t>7.1企业环境风险物质评分</w:t>
      </w:r>
      <w:bookmarkEnd w:id="143"/>
      <w:bookmarkEnd w:id="144"/>
      <w:bookmarkEnd w:id="145"/>
    </w:p>
    <w:p>
      <w:pPr>
        <w:pStyle w:val="35"/>
        <w:ind w:firstLine="480"/>
        <w:rPr>
          <w:rFonts w:cs="Times New Roman"/>
          <w:color w:val="000000"/>
        </w:rPr>
      </w:pPr>
      <w:r>
        <w:rPr>
          <w:rFonts w:hAnsi="宋体" w:cs="Times New Roman"/>
          <w:color w:val="000000"/>
        </w:rPr>
        <w:t>计算所涉及化学物质在厂界内的最大存在总量（如存在量呈动态变化，则按公历年度内某一时刻最大存在的总量计算）与其在附录</w:t>
      </w:r>
      <w:r>
        <w:rPr>
          <w:rFonts w:cs="Times New Roman"/>
          <w:color w:val="000000"/>
        </w:rPr>
        <w:t>B</w:t>
      </w:r>
      <w:r>
        <w:rPr>
          <w:rFonts w:hAnsi="宋体" w:cs="Times New Roman"/>
          <w:color w:val="000000"/>
        </w:rPr>
        <w:t>临界量的比值</w:t>
      </w:r>
      <w:r>
        <w:rPr>
          <w:rFonts w:cs="Times New Roman"/>
          <w:color w:val="000000"/>
        </w:rPr>
        <w:t>Q</w:t>
      </w:r>
      <w:r>
        <w:rPr>
          <w:rFonts w:hAnsi="宋体" w:cs="Times New Roman"/>
          <w:color w:val="000000"/>
        </w:rPr>
        <w:t>：</w:t>
      </w:r>
    </w:p>
    <w:p>
      <w:pPr>
        <w:pStyle w:val="35"/>
        <w:ind w:firstLine="480"/>
        <w:rPr>
          <w:rFonts w:cs="Times New Roman"/>
          <w:color w:val="000000"/>
        </w:rPr>
      </w:pPr>
      <w:r>
        <w:rPr>
          <w:rFonts w:hAnsi="宋体" w:cs="Times New Roman"/>
          <w:color w:val="000000"/>
        </w:rPr>
        <w:t>（</w:t>
      </w:r>
      <w:r>
        <w:rPr>
          <w:rFonts w:cs="Times New Roman"/>
          <w:color w:val="000000"/>
        </w:rPr>
        <w:t>1</w:t>
      </w:r>
      <w:r>
        <w:rPr>
          <w:rFonts w:hAnsi="宋体" w:cs="Times New Roman"/>
          <w:color w:val="000000"/>
        </w:rPr>
        <w:t>）当企业只涉及一种化学物质时，该物质的总数量与其临界量比值，即为</w:t>
      </w:r>
      <w:r>
        <w:rPr>
          <w:rFonts w:cs="Times New Roman"/>
          <w:color w:val="000000"/>
        </w:rPr>
        <w:t>Q</w:t>
      </w:r>
      <w:r>
        <w:rPr>
          <w:rFonts w:hAnsi="宋体" w:cs="Times New Roman"/>
          <w:color w:val="000000"/>
        </w:rPr>
        <w:t>。</w:t>
      </w:r>
    </w:p>
    <w:p>
      <w:pPr>
        <w:pStyle w:val="35"/>
        <w:ind w:firstLine="480"/>
        <w:rPr>
          <w:rFonts w:cs="Times New Roman"/>
          <w:color w:val="000000"/>
        </w:rPr>
      </w:pPr>
      <w:r>
        <w:rPr>
          <w:rFonts w:hAnsi="宋体" w:cs="Times New Roman"/>
          <w:color w:val="000000"/>
        </w:rPr>
        <w:t>（</w:t>
      </w:r>
      <w:r>
        <w:rPr>
          <w:rFonts w:cs="Times New Roman"/>
          <w:color w:val="000000"/>
        </w:rPr>
        <w:t>2</w:t>
      </w:r>
      <w:r>
        <w:rPr>
          <w:rFonts w:hAnsi="宋体" w:cs="Times New Roman"/>
          <w:color w:val="000000"/>
        </w:rPr>
        <w:t>）当企业存在多种化学物质时，则按式（</w:t>
      </w:r>
      <w:r>
        <w:rPr>
          <w:rFonts w:cs="Times New Roman"/>
          <w:color w:val="000000"/>
        </w:rPr>
        <w:t>1</w:t>
      </w:r>
      <w:r>
        <w:rPr>
          <w:rFonts w:hAnsi="宋体" w:cs="Times New Roman"/>
          <w:color w:val="000000"/>
        </w:rPr>
        <w:t>）计算物质数量与其临界量比值（</w:t>
      </w:r>
      <w:r>
        <w:rPr>
          <w:rFonts w:cs="Times New Roman"/>
          <w:color w:val="000000"/>
        </w:rPr>
        <w:t>Q</w:t>
      </w:r>
      <w:r>
        <w:rPr>
          <w:rFonts w:hAnsi="宋体" w:cs="Times New Roman"/>
          <w:color w:val="000000"/>
        </w:rPr>
        <w:t>）：</w:t>
      </w:r>
    </w:p>
    <w:p>
      <w:pPr>
        <w:pStyle w:val="41"/>
        <w:ind w:firstLine="3780" w:firstLineChars="1350"/>
        <w:rPr>
          <w:color w:val="000000"/>
          <w:sz w:val="28"/>
          <w:szCs w:val="28"/>
        </w:rPr>
      </w:pPr>
      <w:r>
        <w:rPr>
          <w:color w:val="000000"/>
          <w:position w:val="-30"/>
          <w:sz w:val="28"/>
          <w:szCs w:val="28"/>
        </w:rPr>
        <w:object>
          <v:shape id="_x0000_i1028" o:spt="75" type="#_x0000_t75" style="height:34.25pt;width:112.7pt;" o:ole="t" filled="f" o:preferrelative="t" stroked="f" coordsize="21600,21600">
            <v:path/>
            <v:fill on="f" focussize="0,0"/>
            <v:stroke on="f" joinstyle="miter"/>
            <v:imagedata r:id="rId22" o:title=""/>
            <o:lock v:ext="edit" aspectratio="t"/>
            <w10:wrap type="none"/>
            <w10:anchorlock/>
          </v:shape>
          <o:OLEObject Type="Embed" ProgID="Equations" ShapeID="_x0000_i1028" DrawAspect="Content" ObjectID="_1468075728" r:id="rId21">
            <o:LockedField>false</o:LockedField>
          </o:OLEObject>
        </w:object>
      </w:r>
    </w:p>
    <w:p>
      <w:pPr>
        <w:pStyle w:val="35"/>
        <w:ind w:firstLine="480"/>
        <w:rPr>
          <w:rFonts w:cs="Times New Roman"/>
          <w:color w:val="000000"/>
        </w:rPr>
      </w:pPr>
      <w:r>
        <w:rPr>
          <w:rFonts w:hAnsi="宋体" w:cs="Times New Roman"/>
          <w:color w:val="000000"/>
        </w:rPr>
        <w:t>式中：</w:t>
      </w:r>
      <w:r>
        <w:rPr>
          <w:rFonts w:cs="Times New Roman"/>
          <w:color w:val="000000"/>
        </w:rPr>
        <w:t>q</w:t>
      </w:r>
      <w:r>
        <w:rPr>
          <w:rFonts w:cs="Times New Roman"/>
          <w:color w:val="000000"/>
          <w:vertAlign w:val="subscript"/>
        </w:rPr>
        <w:t>1</w:t>
      </w:r>
      <w:r>
        <w:rPr>
          <w:rFonts w:hAnsi="宋体" w:cs="Times New Roman"/>
          <w:color w:val="000000"/>
        </w:rPr>
        <w:t>、</w:t>
      </w:r>
      <w:r>
        <w:rPr>
          <w:rFonts w:cs="Times New Roman"/>
          <w:color w:val="000000"/>
        </w:rPr>
        <w:t>q</w:t>
      </w:r>
      <w:r>
        <w:rPr>
          <w:rFonts w:cs="Times New Roman"/>
          <w:color w:val="000000"/>
          <w:vertAlign w:val="subscript"/>
        </w:rPr>
        <w:t>2</w:t>
      </w:r>
      <w:r>
        <w:rPr>
          <w:rFonts w:hAnsi="宋体" w:cs="Times New Roman"/>
          <w:color w:val="000000"/>
        </w:rPr>
        <w:t>、</w:t>
      </w:r>
      <w:r>
        <w:rPr>
          <w:rFonts w:cs="Times New Roman"/>
          <w:color w:val="000000"/>
        </w:rPr>
        <w:t>… q</w:t>
      </w:r>
      <w:r>
        <w:rPr>
          <w:rFonts w:cs="Times New Roman"/>
          <w:color w:val="000000"/>
          <w:vertAlign w:val="subscript"/>
        </w:rPr>
        <w:t>n</w:t>
      </w:r>
      <w:r>
        <w:rPr>
          <w:rFonts w:cs="Times New Roman"/>
          <w:color w:val="000000"/>
        </w:rPr>
        <w:t>----</w:t>
      </w:r>
      <w:r>
        <w:rPr>
          <w:rFonts w:hAnsi="宋体" w:cs="Times New Roman"/>
          <w:color w:val="000000"/>
        </w:rPr>
        <w:t>每种化学物质的最大储存总量，</w:t>
      </w:r>
      <w:r>
        <w:rPr>
          <w:rFonts w:cs="Times New Roman"/>
          <w:color w:val="000000"/>
        </w:rPr>
        <w:t>t</w:t>
      </w:r>
      <w:r>
        <w:rPr>
          <w:rFonts w:hAnsi="宋体" w:cs="Times New Roman"/>
          <w:color w:val="000000"/>
        </w:rPr>
        <w:t>；</w:t>
      </w:r>
    </w:p>
    <w:p>
      <w:pPr>
        <w:pStyle w:val="35"/>
        <w:ind w:firstLine="480"/>
        <w:rPr>
          <w:rFonts w:cs="Times New Roman"/>
          <w:color w:val="000000"/>
        </w:rPr>
      </w:pPr>
      <w:r>
        <w:rPr>
          <w:rFonts w:cs="Times New Roman"/>
          <w:color w:val="000000"/>
        </w:rPr>
        <w:t>Q</w:t>
      </w:r>
      <w:r>
        <w:rPr>
          <w:rFonts w:cs="Times New Roman"/>
          <w:color w:val="000000"/>
          <w:vertAlign w:val="subscript"/>
        </w:rPr>
        <w:t>1</w:t>
      </w:r>
      <w:r>
        <w:rPr>
          <w:rFonts w:hAnsi="宋体" w:cs="Times New Roman"/>
          <w:color w:val="000000"/>
        </w:rPr>
        <w:t>、</w:t>
      </w:r>
      <w:r>
        <w:rPr>
          <w:rFonts w:cs="Times New Roman"/>
          <w:color w:val="000000"/>
        </w:rPr>
        <w:t>Q</w:t>
      </w:r>
      <w:r>
        <w:rPr>
          <w:rFonts w:cs="Times New Roman"/>
          <w:color w:val="000000"/>
          <w:vertAlign w:val="subscript"/>
        </w:rPr>
        <w:t>2</w:t>
      </w:r>
      <w:r>
        <w:rPr>
          <w:rFonts w:hAnsi="宋体" w:cs="Times New Roman"/>
          <w:color w:val="000000"/>
        </w:rPr>
        <w:t>、</w:t>
      </w:r>
      <w:r>
        <w:rPr>
          <w:rFonts w:cs="Times New Roman"/>
          <w:color w:val="000000"/>
        </w:rPr>
        <w:t>… Q</w:t>
      </w:r>
      <w:r>
        <w:rPr>
          <w:rFonts w:cs="Times New Roman"/>
          <w:color w:val="000000"/>
          <w:vertAlign w:val="subscript"/>
        </w:rPr>
        <w:t>n</w:t>
      </w:r>
      <w:r>
        <w:rPr>
          <w:rFonts w:cs="Times New Roman"/>
          <w:color w:val="000000"/>
        </w:rPr>
        <w:t>----</w:t>
      </w:r>
      <w:r>
        <w:rPr>
          <w:rFonts w:hAnsi="宋体" w:cs="Times New Roman"/>
          <w:color w:val="000000"/>
        </w:rPr>
        <w:t>每种化学物质的临界量，</w:t>
      </w:r>
      <w:r>
        <w:rPr>
          <w:rFonts w:cs="Times New Roman"/>
          <w:color w:val="000000"/>
        </w:rPr>
        <w:t>t</w:t>
      </w:r>
      <w:r>
        <w:rPr>
          <w:rFonts w:hAnsi="宋体" w:cs="Times New Roman"/>
          <w:color w:val="000000"/>
        </w:rPr>
        <w:t>。</w:t>
      </w:r>
    </w:p>
    <w:p>
      <w:pPr>
        <w:pStyle w:val="35"/>
        <w:ind w:firstLine="480"/>
        <w:rPr>
          <w:rFonts w:cs="Times New Roman"/>
          <w:color w:val="000000"/>
        </w:rPr>
      </w:pPr>
      <w:r>
        <w:rPr>
          <w:rFonts w:hAnsi="宋体" w:cs="Times New Roman"/>
          <w:color w:val="000000"/>
        </w:rPr>
        <w:t>当</w:t>
      </w:r>
      <w:r>
        <w:rPr>
          <w:rFonts w:cs="Times New Roman"/>
          <w:color w:val="000000"/>
        </w:rPr>
        <w:t>Q</w:t>
      </w:r>
      <w:r>
        <w:rPr>
          <w:rFonts w:hAnsi="宋体" w:cs="Times New Roman"/>
          <w:color w:val="000000"/>
        </w:rPr>
        <w:t>＜</w:t>
      </w:r>
      <w:r>
        <w:rPr>
          <w:rFonts w:cs="Times New Roman"/>
          <w:color w:val="000000"/>
        </w:rPr>
        <w:t>1</w:t>
      </w:r>
      <w:r>
        <w:rPr>
          <w:rFonts w:hAnsi="宋体" w:cs="Times New Roman"/>
          <w:color w:val="000000"/>
        </w:rPr>
        <w:t>时，企业直接评为一般环境风险等级，以</w:t>
      </w:r>
      <w:r>
        <w:rPr>
          <w:rFonts w:cs="Times New Roman"/>
          <w:color w:val="000000"/>
        </w:rPr>
        <w:t>Q</w:t>
      </w:r>
      <w:r>
        <w:rPr>
          <w:rFonts w:hAnsi="宋体" w:cs="Times New Roman"/>
          <w:color w:val="000000"/>
        </w:rPr>
        <w:t>表示。</w:t>
      </w:r>
    </w:p>
    <w:p>
      <w:pPr>
        <w:pStyle w:val="35"/>
        <w:ind w:firstLine="480"/>
        <w:rPr>
          <w:rFonts w:cs="Times New Roman"/>
          <w:color w:val="000000"/>
        </w:rPr>
      </w:pPr>
      <w:r>
        <w:rPr>
          <w:rFonts w:hAnsi="宋体" w:cs="Times New Roman"/>
          <w:color w:val="000000"/>
        </w:rPr>
        <w:t>当</w:t>
      </w:r>
      <w:r>
        <w:rPr>
          <w:rFonts w:cs="Times New Roman"/>
          <w:color w:val="000000"/>
        </w:rPr>
        <w:t>1≤Q</w:t>
      </w:r>
      <w:r>
        <w:rPr>
          <w:rFonts w:hAnsi="宋体" w:cs="Times New Roman"/>
          <w:color w:val="000000"/>
        </w:rPr>
        <w:t>时，将</w:t>
      </w:r>
      <w:r>
        <w:rPr>
          <w:rFonts w:cs="Times New Roman"/>
          <w:color w:val="000000"/>
        </w:rPr>
        <w:t>Q</w:t>
      </w:r>
      <w:r>
        <w:rPr>
          <w:rFonts w:hAnsi="宋体" w:cs="Times New Roman"/>
          <w:color w:val="000000"/>
        </w:rPr>
        <w:t>值划分为：（</w:t>
      </w:r>
      <w:r>
        <w:rPr>
          <w:rFonts w:cs="Times New Roman"/>
          <w:color w:val="000000"/>
        </w:rPr>
        <w:t>1</w:t>
      </w:r>
      <w:r>
        <w:rPr>
          <w:rFonts w:hAnsi="宋体" w:cs="Times New Roman"/>
          <w:color w:val="000000"/>
        </w:rPr>
        <w:t>）</w:t>
      </w:r>
      <w:r>
        <w:rPr>
          <w:rFonts w:cs="Times New Roman"/>
          <w:color w:val="000000"/>
        </w:rPr>
        <w:t>1≤Q</w:t>
      </w:r>
      <w:r>
        <w:rPr>
          <w:rFonts w:hAnsi="宋体" w:cs="Times New Roman"/>
          <w:color w:val="000000"/>
        </w:rPr>
        <w:t>＜</w:t>
      </w:r>
      <w:r>
        <w:rPr>
          <w:rFonts w:cs="Times New Roman"/>
          <w:color w:val="000000"/>
        </w:rPr>
        <w:t>10</w:t>
      </w:r>
      <w:r>
        <w:rPr>
          <w:rFonts w:hAnsi="宋体" w:cs="Times New Roman"/>
          <w:color w:val="000000"/>
        </w:rPr>
        <w:t>，（</w:t>
      </w:r>
      <w:r>
        <w:rPr>
          <w:rFonts w:cs="Times New Roman"/>
          <w:color w:val="000000"/>
        </w:rPr>
        <w:t>2</w:t>
      </w:r>
      <w:r>
        <w:rPr>
          <w:rFonts w:hAnsi="宋体" w:cs="Times New Roman"/>
          <w:color w:val="000000"/>
        </w:rPr>
        <w:t>）</w:t>
      </w:r>
      <w:r>
        <w:rPr>
          <w:rFonts w:cs="Times New Roman"/>
          <w:color w:val="000000"/>
        </w:rPr>
        <w:t>10≤Q</w:t>
      </w:r>
      <w:r>
        <w:rPr>
          <w:rFonts w:hAnsi="宋体" w:cs="Times New Roman"/>
          <w:color w:val="000000"/>
        </w:rPr>
        <w:t>＜</w:t>
      </w:r>
      <w:r>
        <w:rPr>
          <w:rFonts w:cs="Times New Roman"/>
          <w:color w:val="000000"/>
        </w:rPr>
        <w:t>100</w:t>
      </w:r>
      <w:r>
        <w:rPr>
          <w:rFonts w:hAnsi="宋体" w:cs="Times New Roman"/>
          <w:color w:val="000000"/>
        </w:rPr>
        <w:t>，（</w:t>
      </w:r>
      <w:r>
        <w:rPr>
          <w:rFonts w:cs="Times New Roman"/>
          <w:color w:val="000000"/>
        </w:rPr>
        <w:t>3</w:t>
      </w:r>
      <w:r>
        <w:rPr>
          <w:rFonts w:hAnsi="宋体" w:cs="Times New Roman"/>
          <w:color w:val="000000"/>
        </w:rPr>
        <w:t>）</w:t>
      </w:r>
      <w:r>
        <w:rPr>
          <w:rFonts w:cs="Times New Roman"/>
          <w:color w:val="000000"/>
        </w:rPr>
        <w:t>Q≥100</w:t>
      </w:r>
      <w:r>
        <w:rPr>
          <w:rFonts w:hAnsi="宋体" w:cs="Times New Roman"/>
          <w:color w:val="000000"/>
        </w:rPr>
        <w:t>，分别以</w:t>
      </w:r>
      <w:r>
        <w:rPr>
          <w:rFonts w:cs="Times New Roman"/>
          <w:color w:val="000000"/>
        </w:rPr>
        <w:t>Q1</w:t>
      </w:r>
      <w:r>
        <w:rPr>
          <w:rFonts w:hAnsi="宋体" w:cs="Times New Roman"/>
          <w:color w:val="000000"/>
        </w:rPr>
        <w:t>、</w:t>
      </w:r>
      <w:r>
        <w:rPr>
          <w:rFonts w:cs="Times New Roman"/>
          <w:color w:val="000000"/>
        </w:rPr>
        <w:t>Q2</w:t>
      </w:r>
      <w:r>
        <w:rPr>
          <w:rFonts w:hAnsi="宋体" w:cs="Times New Roman"/>
          <w:color w:val="000000"/>
        </w:rPr>
        <w:t>、</w:t>
      </w:r>
      <w:r>
        <w:rPr>
          <w:rFonts w:cs="Times New Roman"/>
          <w:color w:val="000000"/>
        </w:rPr>
        <w:t>Q3</w:t>
      </w:r>
      <w:r>
        <w:rPr>
          <w:rFonts w:hAnsi="宋体" w:cs="Times New Roman"/>
          <w:color w:val="000000"/>
        </w:rPr>
        <w:t>表示。</w:t>
      </w:r>
    </w:p>
    <w:p>
      <w:pPr>
        <w:pStyle w:val="35"/>
        <w:ind w:firstLine="480"/>
        <w:rPr>
          <w:rFonts w:hAnsi="宋体" w:cs="Times New Roman"/>
          <w:color w:val="000000"/>
        </w:rPr>
      </w:pPr>
      <w:r>
        <w:rPr>
          <w:rFonts w:hAnsi="宋体" w:cs="Times New Roman"/>
          <w:color w:val="000000"/>
        </w:rPr>
        <w:t>生产过程中，涉及到可能对环境产生风险的物质主要为原辅材料、危险化学品、危险废物以及三废。</w:t>
      </w:r>
      <w:r>
        <w:rPr>
          <w:rFonts w:hint="eastAsia" w:hAnsi="宋体" w:cs="Times New Roman"/>
          <w:color w:val="000000"/>
        </w:rPr>
        <w:t>本</w:t>
      </w:r>
      <w:r>
        <w:rPr>
          <w:rFonts w:hAnsi="宋体"/>
        </w:rPr>
        <w:t>公司产品、原辅料及固废等物质对照附录</w:t>
      </w:r>
      <w:r>
        <w:t>A</w:t>
      </w:r>
      <w:r>
        <w:rPr>
          <w:rFonts w:hAnsi="宋体"/>
        </w:rPr>
        <w:t>风险物质的结果，详见</w:t>
      </w:r>
      <w:r>
        <w:rPr>
          <w:rFonts w:hint="eastAsia" w:hAnsi="宋体"/>
        </w:rPr>
        <w:t>下表</w:t>
      </w:r>
      <w:r>
        <w:rPr>
          <w:rFonts w:hAnsi="宋体"/>
        </w:rPr>
        <w:t>。</w:t>
      </w:r>
    </w:p>
    <w:p>
      <w:pPr>
        <w:pStyle w:val="19"/>
        <w:tabs>
          <w:tab w:val="center" w:pos="4153"/>
          <w:tab w:val="left" w:pos="6845"/>
        </w:tabs>
        <w:spacing w:line="360" w:lineRule="auto"/>
        <w:rPr>
          <w:b/>
          <w:bCs/>
        </w:rPr>
      </w:pPr>
      <w:r>
        <w:rPr>
          <w:rFonts w:hint="eastAsia"/>
          <w:b/>
          <w:bCs/>
        </w:rPr>
        <w:t>表3-17  危险化学品储存量与临界量对比表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55"/>
        <w:gridCol w:w="1855"/>
        <w:gridCol w:w="1855"/>
        <w:gridCol w:w="1857"/>
        <w:gridCol w:w="18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7"/>
              <w:spacing w:line="240" w:lineRule="auto"/>
              <w:ind w:firstLine="422"/>
              <w:outlineLvl w:val="3"/>
              <w:rPr>
                <w:rFonts w:ascii="Times New Roman" w:hAnsi="Times New Roman" w:cs="Times New Roman"/>
                <w:sz w:val="21"/>
                <w:szCs w:val="21"/>
              </w:rPr>
            </w:pPr>
            <w:r>
              <w:rPr>
                <w:rFonts w:ascii="Times New Roman" w:hAnsi="Times New Roman" w:cs="Times New Roman"/>
                <w:sz w:val="21"/>
                <w:szCs w:val="21"/>
              </w:rPr>
              <w:t>名称</w:t>
            </w:r>
          </w:p>
        </w:tc>
        <w:tc>
          <w:tcPr>
            <w:tcW w:w="999" w:type="pct"/>
          </w:tcPr>
          <w:p>
            <w:pPr>
              <w:pStyle w:val="7"/>
              <w:spacing w:line="240" w:lineRule="auto"/>
              <w:ind w:firstLine="422"/>
              <w:outlineLvl w:val="3"/>
              <w:rPr>
                <w:rFonts w:ascii="Times New Roman" w:hAnsi="Times New Roman" w:cs="Times New Roman"/>
                <w:sz w:val="21"/>
                <w:szCs w:val="21"/>
              </w:rPr>
            </w:pPr>
            <w:r>
              <w:rPr>
                <w:rFonts w:ascii="Times New Roman" w:hAnsi="Times New Roman" w:cs="Times New Roman"/>
                <w:sz w:val="21"/>
                <w:szCs w:val="21"/>
              </w:rPr>
              <w:t>CAS号</w:t>
            </w:r>
          </w:p>
        </w:tc>
        <w:tc>
          <w:tcPr>
            <w:tcW w:w="999" w:type="pct"/>
          </w:tcPr>
          <w:p>
            <w:pPr>
              <w:pStyle w:val="7"/>
              <w:spacing w:line="240" w:lineRule="auto"/>
              <w:ind w:firstLine="0" w:firstLineChars="0"/>
              <w:outlineLvl w:val="3"/>
              <w:rPr>
                <w:rFonts w:ascii="Times New Roman" w:hAnsi="Times New Roman" w:cs="Times New Roman"/>
                <w:sz w:val="21"/>
                <w:szCs w:val="21"/>
              </w:rPr>
            </w:pPr>
            <w:r>
              <w:rPr>
                <w:rFonts w:ascii="Times New Roman" w:hAnsi="Times New Roman" w:cs="Times New Roman"/>
                <w:sz w:val="21"/>
                <w:szCs w:val="21"/>
              </w:rPr>
              <w:t>最大储存量</w:t>
            </w:r>
            <w:r>
              <w:rPr>
                <w:rFonts w:ascii="Times New Roman" w:hAnsi="Times New Roman" w:cs="Times New Roman"/>
                <w:smallCaps w:val="0"/>
                <w:sz w:val="21"/>
                <w:szCs w:val="21"/>
              </w:rPr>
              <w:t>q(t)</w:t>
            </w:r>
          </w:p>
        </w:tc>
        <w:tc>
          <w:tcPr>
            <w:tcW w:w="1000" w:type="pct"/>
          </w:tcPr>
          <w:p>
            <w:pPr>
              <w:pStyle w:val="7"/>
              <w:spacing w:line="240" w:lineRule="auto"/>
              <w:ind w:firstLine="0" w:firstLineChars="0"/>
              <w:outlineLvl w:val="3"/>
              <w:rPr>
                <w:rFonts w:ascii="Times New Roman" w:hAnsi="Times New Roman" w:cs="Times New Roman"/>
                <w:sz w:val="21"/>
                <w:szCs w:val="21"/>
              </w:rPr>
            </w:pPr>
            <w:r>
              <w:rPr>
                <w:rFonts w:ascii="Times New Roman" w:hAnsi="Times New Roman" w:cs="Times New Roman"/>
                <w:sz w:val="21"/>
                <w:szCs w:val="21"/>
              </w:rPr>
              <w:t>临界量Q（</w:t>
            </w:r>
            <w:r>
              <w:rPr>
                <w:rFonts w:ascii="Times New Roman" w:hAnsi="Times New Roman" w:cs="Times New Roman"/>
                <w:smallCaps w:val="0"/>
                <w:sz w:val="21"/>
                <w:szCs w:val="21"/>
              </w:rPr>
              <w:t>t</w:t>
            </w:r>
            <w:r>
              <w:rPr>
                <w:rFonts w:ascii="Times New Roman" w:hAnsi="Times New Roman" w:cs="Times New Roman"/>
                <w:sz w:val="21"/>
                <w:szCs w:val="21"/>
              </w:rPr>
              <w:t>）</w:t>
            </w:r>
          </w:p>
        </w:tc>
        <w:tc>
          <w:tcPr>
            <w:tcW w:w="1000" w:type="pct"/>
          </w:tcPr>
          <w:p>
            <w:pPr>
              <w:pStyle w:val="7"/>
              <w:spacing w:line="240" w:lineRule="auto"/>
              <w:ind w:firstLine="422"/>
              <w:outlineLvl w:val="3"/>
              <w:rPr>
                <w:rFonts w:ascii="Times New Roman" w:hAnsi="Times New Roman" w:cs="Times New Roman"/>
                <w:sz w:val="21"/>
                <w:szCs w:val="21"/>
              </w:rPr>
            </w:pPr>
            <w:r>
              <w:rPr>
                <w:rFonts w:ascii="Times New Roman" w:hAnsi="Times New Roman" w:cs="Times New Roman"/>
                <w:smallCaps w:val="0"/>
                <w:sz w:val="21"/>
                <w:szCs w:val="21"/>
              </w:rPr>
              <w:t>q/Q</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PAC</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7446-70-0</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15</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PAM</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9003-05-8</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氢氧化钠</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1310-73-2</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20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硫酸</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7664-93-9</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30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双氧水</w:t>
            </w:r>
          </w:p>
        </w:tc>
        <w:tc>
          <w:tcPr>
            <w:tcW w:w="999" w:type="pct"/>
          </w:tcPr>
          <w:p>
            <w:pPr>
              <w:pStyle w:val="7"/>
              <w:spacing w:line="240" w:lineRule="auto"/>
              <w:ind w:firstLine="420"/>
              <w:outlineLvl w:val="3"/>
              <w:rPr>
                <w:rFonts w:ascii="Times New Roman" w:hAnsi="Times New Roman" w:cs="Times New Roman"/>
                <w:b w:val="0"/>
                <w:sz w:val="21"/>
                <w:szCs w:val="21"/>
              </w:rPr>
            </w:pPr>
            <w:r>
              <w:fldChar w:fldCharType="begin"/>
            </w:r>
            <w:r>
              <w:instrText xml:space="preserve"> HYPERLINK "https://www.chemsrc.com/baike/584358.html" \t "https://www.chemsrc.com/searchResult/%25E5%258F%258C%25E6%25B0%25A7%25E6%25B0%25B4/_blank" </w:instrText>
            </w:r>
            <w:r>
              <w:fldChar w:fldCharType="separate"/>
            </w:r>
            <w:r>
              <w:rPr>
                <w:rStyle w:val="29"/>
                <w:rFonts w:ascii="Times New Roman" w:hAnsi="Times New Roman" w:eastAsia="Helvetica" w:cs="Times New Roman"/>
                <w:b w:val="0"/>
                <w:smallCaps w:val="0"/>
                <w:color w:val="000000" w:themeColor="text1"/>
                <w:sz w:val="21"/>
                <w:szCs w:val="21"/>
              </w:rPr>
              <w:t>7722-84-1</w:t>
            </w:r>
            <w:r>
              <w:rPr>
                <w:rStyle w:val="29"/>
                <w:rFonts w:ascii="Times New Roman" w:hAnsi="Times New Roman" w:eastAsia="Helvetica" w:cs="Times New Roman"/>
                <w:b w:val="0"/>
                <w:smallCaps w:val="0"/>
                <w:color w:val="000000" w:themeColor="text1"/>
                <w:sz w:val="21"/>
                <w:szCs w:val="21"/>
              </w:rPr>
              <w:fldChar w:fldCharType="end"/>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20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rFonts w:cs="Times New Roman"/>
                <w:sz w:val="21"/>
                <w:szCs w:val="21"/>
              </w:rPr>
            </w:pPr>
            <w:r>
              <w:rPr>
                <w:rFonts w:hint="eastAsia"/>
                <w:sz w:val="21"/>
                <w:szCs w:val="21"/>
              </w:rPr>
              <w:t>硫酸亚铁</w:t>
            </w:r>
          </w:p>
        </w:tc>
        <w:tc>
          <w:tcPr>
            <w:tcW w:w="999" w:type="pct"/>
          </w:tcPr>
          <w:p>
            <w:pPr>
              <w:pStyle w:val="7"/>
              <w:spacing w:line="240" w:lineRule="auto"/>
              <w:ind w:firstLine="420"/>
              <w:outlineLvl w:val="3"/>
              <w:rPr>
                <w:rFonts w:ascii="Times New Roman" w:hAnsi="Times New Roman" w:cs="Times New Roman"/>
                <w:b w:val="0"/>
                <w:sz w:val="21"/>
                <w:szCs w:val="21"/>
              </w:rPr>
            </w:pPr>
            <w:r>
              <w:rPr>
                <w:rFonts w:ascii="Times New Roman" w:hAnsi="Times New Roman" w:cs="Times New Roman"/>
                <w:b w:val="0"/>
                <w:color w:val="000000" w:themeColor="text1"/>
                <w:sz w:val="21"/>
                <w:szCs w:val="21"/>
                <w:shd w:val="clear" w:color="auto" w:fill="FFFFFF"/>
              </w:rPr>
              <w:t>7720-78-7</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25</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sz w:val="21"/>
                <w:szCs w:val="21"/>
              </w:rPr>
            </w:pPr>
            <w:r>
              <w:rPr>
                <w:rFonts w:hint="eastAsia"/>
                <w:sz w:val="21"/>
                <w:szCs w:val="21"/>
              </w:rPr>
              <w:t>氢氧化钙</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1305-62-0</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10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spacing w:line="240" w:lineRule="auto"/>
              <w:ind w:firstLine="0" w:firstLineChars="0"/>
              <w:jc w:val="center"/>
              <w:rPr>
                <w:sz w:val="21"/>
                <w:szCs w:val="21"/>
              </w:rPr>
            </w:pPr>
            <w:r>
              <w:rPr>
                <w:rFonts w:hint="eastAsia"/>
                <w:sz w:val="21"/>
                <w:szCs w:val="21"/>
              </w:rPr>
              <w:t>次氯酸钠</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7681-52-9</w:t>
            </w:r>
          </w:p>
        </w:tc>
        <w:tc>
          <w:tcPr>
            <w:tcW w:w="999"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30</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5</w:t>
            </w:r>
          </w:p>
        </w:tc>
        <w:tc>
          <w:tcPr>
            <w:tcW w:w="1000" w:type="pct"/>
          </w:tcPr>
          <w:p>
            <w:pPr>
              <w:pStyle w:val="7"/>
              <w:spacing w:line="240" w:lineRule="auto"/>
              <w:ind w:firstLine="420"/>
              <w:outlineLvl w:val="3"/>
              <w:rPr>
                <w:rFonts w:ascii="Times New Roman" w:hAnsi="Times New Roman" w:cs="Times New Roman"/>
                <w:b w:val="0"/>
                <w:sz w:val="21"/>
                <w:szCs w:val="21"/>
              </w:rPr>
            </w:pPr>
            <w:r>
              <w:rPr>
                <w:rFonts w:hint="eastAsia" w:ascii="Times New Roman" w:hAnsi="Times New Roman" w:cs="Times New Roman"/>
                <w:b w:val="0"/>
                <w:sz w:val="21"/>
                <w:szCs w:val="21"/>
              </w:rPr>
              <w:t>6</w:t>
            </w:r>
          </w:p>
        </w:tc>
      </w:tr>
    </w:tbl>
    <w:p>
      <w:pPr>
        <w:keepNext/>
        <w:keepLines/>
        <w:spacing w:beforeLines="50"/>
        <w:ind w:firstLine="480"/>
        <w:rPr>
          <w:rFonts w:hAnsi="宋体" w:cs="Times New Roman"/>
          <w:color w:val="000000"/>
        </w:rPr>
      </w:pPr>
      <w:r>
        <w:rPr>
          <w:rFonts w:hint="eastAsia" w:ascii="宋体" w:hAnsi="宋体"/>
        </w:rPr>
        <w:t>根据《危险化学品重大危险源辨识》（GB18218-2018）可知：Q=3+6=9；用Q1表示。</w:t>
      </w:r>
    </w:p>
    <w:p>
      <w:pPr>
        <w:pStyle w:val="20"/>
        <w:ind w:firstLine="480"/>
        <w:rPr>
          <w:rFonts w:hAnsi="宋体" w:cs="Times New Roman"/>
          <w:color w:val="000000"/>
        </w:rPr>
      </w:pPr>
      <w:r>
        <w:rPr>
          <w:rFonts w:hAnsi="宋体" w:cs="Times New Roman"/>
          <w:color w:val="000000"/>
        </w:rPr>
        <w:t>分析项目涉及的物料，本项目涉气</w:t>
      </w:r>
      <w:r>
        <w:rPr>
          <w:rFonts w:cs="Times New Roman"/>
          <w:color w:val="000000"/>
        </w:rPr>
        <w:t>Q</w:t>
      </w:r>
      <w:r>
        <w:rPr>
          <w:rFonts w:hAnsi="宋体" w:cs="Times New Roman"/>
          <w:color w:val="000000"/>
        </w:rPr>
        <w:t>值为</w:t>
      </w:r>
      <w:r>
        <w:rPr>
          <w:rFonts w:hint="eastAsia" w:cs="Times New Roman"/>
          <w:color w:val="000000"/>
        </w:rPr>
        <w:t>9，</w:t>
      </w:r>
      <w:r>
        <w:rPr>
          <w:rFonts w:hAnsi="宋体" w:cs="Times New Roman"/>
          <w:color w:val="000000"/>
        </w:rPr>
        <w:t>为</w:t>
      </w:r>
      <w:r>
        <w:rPr>
          <w:rFonts w:cs="Times New Roman"/>
          <w:color w:val="000000"/>
        </w:rPr>
        <w:t>Q</w:t>
      </w:r>
      <w:r>
        <w:rPr>
          <w:rFonts w:hint="eastAsia" w:cs="Times New Roman"/>
          <w:color w:val="000000"/>
        </w:rPr>
        <w:t>1</w:t>
      </w:r>
      <w:r>
        <w:rPr>
          <w:rFonts w:hAnsi="宋体" w:cs="Times New Roman"/>
          <w:color w:val="000000"/>
        </w:rPr>
        <w:t>级别。</w:t>
      </w:r>
    </w:p>
    <w:p>
      <w:pPr>
        <w:pStyle w:val="19"/>
        <w:spacing w:line="360" w:lineRule="auto"/>
        <w:ind w:firstLine="482" w:firstLineChars="200"/>
        <w:jc w:val="both"/>
        <w:rPr>
          <w:color w:val="000000"/>
          <w:sz w:val="32"/>
          <w:szCs w:val="40"/>
        </w:rPr>
      </w:pPr>
      <w:bookmarkStart w:id="146" w:name="_Toc9002350"/>
      <w:bookmarkStart w:id="147" w:name="_Toc509220199"/>
      <w:bookmarkStart w:id="148" w:name="_Toc5781240"/>
      <w:bookmarkStart w:id="149" w:name="_Toc9002611"/>
      <w:r>
        <w:rPr>
          <w:rFonts w:hint="eastAsia" w:ascii="宋体" w:hAnsi="宋体" w:cs="宋体"/>
          <w:b/>
          <w:bCs/>
        </w:rPr>
        <w:t>7.2突发大气环境风险等级确定</w:t>
      </w:r>
      <w:bookmarkEnd w:id="146"/>
      <w:bookmarkEnd w:id="147"/>
      <w:bookmarkEnd w:id="148"/>
      <w:bookmarkEnd w:id="149"/>
    </w:p>
    <w:p>
      <w:pPr>
        <w:pStyle w:val="5"/>
        <w:ind w:firstLine="482" w:firstLineChars="200"/>
        <w:rPr>
          <w:color w:val="000000"/>
        </w:rPr>
      </w:pPr>
      <w:bookmarkStart w:id="150" w:name="_Toc9002351"/>
      <w:bookmarkStart w:id="151" w:name="_Toc9002612"/>
      <w:bookmarkStart w:id="152" w:name="_Toc5781241"/>
      <w:r>
        <w:rPr>
          <w:color w:val="000000"/>
        </w:rPr>
        <w:t>7.2.1</w:t>
      </w:r>
      <w:r>
        <w:rPr>
          <w:rFonts w:hAnsi="宋体"/>
          <w:color w:val="000000"/>
        </w:rPr>
        <w:t>大气环境</w:t>
      </w:r>
      <w:r>
        <w:rPr>
          <w:color w:val="000000"/>
        </w:rPr>
        <w:t>Q</w:t>
      </w:r>
      <w:r>
        <w:rPr>
          <w:rFonts w:hAnsi="宋体"/>
          <w:color w:val="000000"/>
        </w:rPr>
        <w:t>值确定</w:t>
      </w:r>
      <w:bookmarkEnd w:id="150"/>
      <w:bookmarkEnd w:id="151"/>
      <w:bookmarkEnd w:id="152"/>
    </w:p>
    <w:p>
      <w:pPr>
        <w:pStyle w:val="35"/>
        <w:ind w:firstLine="480"/>
        <w:rPr>
          <w:rFonts w:cs="Times New Roman"/>
          <w:color w:val="000000"/>
        </w:rPr>
      </w:pPr>
      <w:r>
        <w:rPr>
          <w:rFonts w:hAnsi="宋体" w:cs="Times New Roman"/>
          <w:color w:val="000000"/>
        </w:rPr>
        <w:t>根据企业</w:t>
      </w:r>
      <w:r>
        <w:rPr>
          <w:rFonts w:cs="Times New Roman"/>
          <w:color w:val="000000"/>
        </w:rPr>
        <w:t>Q</w:t>
      </w:r>
      <w:r>
        <w:rPr>
          <w:rFonts w:hAnsi="宋体" w:cs="Times New Roman"/>
          <w:color w:val="000000"/>
        </w:rPr>
        <w:t>值，</w:t>
      </w:r>
      <w:r>
        <w:rPr>
          <w:rFonts w:cs="Times New Roman"/>
          <w:color w:val="000000"/>
          <w:lang w:val="zh-CN"/>
        </w:rPr>
        <w:t>Q</w:t>
      </w:r>
      <w:r>
        <w:rPr>
          <w:rFonts w:hAnsi="宋体" w:cs="Times New Roman"/>
          <w:color w:val="000000"/>
          <w:vertAlign w:val="subscript"/>
          <w:lang w:val="zh-CN"/>
        </w:rPr>
        <w:t>大气</w:t>
      </w:r>
      <w:r>
        <w:rPr>
          <w:rFonts w:cs="Times New Roman"/>
          <w:color w:val="000000"/>
          <w:lang w:val="zh-CN"/>
        </w:rPr>
        <w:t>=</w:t>
      </w:r>
      <w:r>
        <w:rPr>
          <w:rFonts w:hint="eastAsia" w:cs="Times New Roman"/>
          <w:color w:val="000000"/>
        </w:rPr>
        <w:t>9</w:t>
      </w:r>
      <w:r>
        <w:rPr>
          <w:rFonts w:hAnsi="宋体" w:cs="Times New Roman"/>
          <w:color w:val="000000"/>
          <w:lang w:val="zh-CN"/>
        </w:rPr>
        <w:t>。</w:t>
      </w:r>
    </w:p>
    <w:p>
      <w:pPr>
        <w:pStyle w:val="5"/>
        <w:ind w:firstLine="482" w:firstLineChars="200"/>
        <w:rPr>
          <w:color w:val="000000"/>
        </w:rPr>
      </w:pPr>
      <w:bookmarkStart w:id="153" w:name="_Toc9002613"/>
      <w:bookmarkStart w:id="154" w:name="_Toc5781242"/>
      <w:bookmarkStart w:id="155" w:name="_Toc9002352"/>
      <w:r>
        <w:rPr>
          <w:color w:val="000000"/>
        </w:rPr>
        <w:t>7.2.2</w:t>
      </w:r>
      <w:r>
        <w:rPr>
          <w:rFonts w:hAnsi="宋体"/>
          <w:color w:val="000000"/>
        </w:rPr>
        <w:t>大气环境</w:t>
      </w:r>
      <w:r>
        <w:rPr>
          <w:color w:val="000000"/>
        </w:rPr>
        <w:t>M</w:t>
      </w:r>
      <w:r>
        <w:rPr>
          <w:rFonts w:hAnsi="宋体"/>
          <w:color w:val="000000"/>
        </w:rPr>
        <w:t>值确定</w:t>
      </w:r>
      <w:bookmarkEnd w:id="153"/>
      <w:bookmarkEnd w:id="154"/>
      <w:bookmarkEnd w:id="155"/>
    </w:p>
    <w:p>
      <w:pPr>
        <w:pStyle w:val="7"/>
        <w:spacing w:before="120" w:after="120"/>
        <w:ind w:firstLine="481" w:firstLineChars="171"/>
        <w:rPr>
          <w:rFonts w:ascii="Times New Roman" w:hAnsi="Times New Roman"/>
          <w:color w:val="000000"/>
        </w:rPr>
      </w:pPr>
      <w:r>
        <w:rPr>
          <w:rFonts w:ascii="Times New Roman" w:hAnsi="宋体"/>
          <w:color w:val="000000"/>
        </w:rPr>
        <w:t>生产工艺过程评分</w:t>
      </w:r>
    </w:p>
    <w:p>
      <w:pPr>
        <w:pStyle w:val="35"/>
        <w:ind w:firstLine="480"/>
        <w:rPr>
          <w:rFonts w:cs="Times New Roman"/>
          <w:color w:val="000000"/>
        </w:rPr>
      </w:pPr>
      <w:r>
        <w:rPr>
          <w:rFonts w:hAnsi="宋体" w:cs="Times New Roman"/>
          <w:color w:val="000000"/>
        </w:rPr>
        <w:t>根据企业生产工艺过程评分表，企业生产工艺过程评分为</w:t>
      </w:r>
      <w:r>
        <w:rPr>
          <w:rFonts w:hint="eastAsia" w:cs="Times New Roman"/>
          <w:color w:val="000000"/>
        </w:rPr>
        <w:t>0</w:t>
      </w:r>
      <w:r>
        <w:rPr>
          <w:rFonts w:hAnsi="宋体" w:cs="Times New Roman"/>
          <w:color w:val="000000"/>
        </w:rPr>
        <w:t>。</w:t>
      </w:r>
    </w:p>
    <w:p>
      <w:pPr>
        <w:pStyle w:val="7"/>
        <w:spacing w:before="120" w:after="120"/>
        <w:ind w:firstLineChars="71"/>
        <w:rPr>
          <w:rFonts w:ascii="Times New Roman" w:hAnsi="Times New Roman"/>
          <w:color w:val="000000"/>
        </w:rPr>
      </w:pPr>
      <w:r>
        <w:rPr>
          <w:rFonts w:ascii="Times New Roman" w:hAnsi="宋体"/>
          <w:color w:val="000000"/>
        </w:rPr>
        <w:t>企业大气环境风险措施和突发大气环境事件发生情况评分</w:t>
      </w:r>
    </w:p>
    <w:p>
      <w:pPr>
        <w:pStyle w:val="35"/>
        <w:ind w:firstLine="480"/>
        <w:rPr>
          <w:rFonts w:cs="Times New Roman"/>
          <w:color w:val="000000"/>
        </w:rPr>
      </w:pPr>
      <w:r>
        <w:rPr>
          <w:rFonts w:hAnsi="宋体" w:cs="Times New Roman"/>
          <w:color w:val="000000"/>
        </w:rPr>
        <w:t>根据下表评估企业大气环境风险。</w:t>
      </w:r>
    </w:p>
    <w:p>
      <w:pPr>
        <w:pStyle w:val="10"/>
        <w:keepNext/>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 xml:space="preserve"> 7</w:t>
      </w:r>
      <w:r>
        <w:rPr>
          <w:rFonts w:hint="eastAsia" w:ascii="Times New Roman" w:hAnsi="Times New Roman" w:eastAsia="宋体" w:cs="Times New Roman"/>
          <w:b/>
          <w:color w:val="000000"/>
          <w:sz w:val="24"/>
          <w:szCs w:val="24"/>
        </w:rPr>
        <w:t>-2</w:t>
      </w:r>
      <w:r>
        <w:rPr>
          <w:rFonts w:ascii="Times New Roman" w:hAnsi="Times New Roman" w:eastAsia="宋体" w:cs="Times New Roman"/>
          <w:b/>
          <w:color w:val="000000"/>
          <w:sz w:val="24"/>
          <w:szCs w:val="24"/>
        </w:rPr>
        <w:t xml:space="preserve">  </w:t>
      </w:r>
      <w:r>
        <w:rPr>
          <w:rFonts w:ascii="Times New Roman" w:hAnsi="宋体" w:eastAsia="宋体" w:cs="Times New Roman"/>
          <w:b/>
          <w:color w:val="000000"/>
          <w:sz w:val="24"/>
          <w:szCs w:val="24"/>
        </w:rPr>
        <w:t>企业大气环境风险措施和突发大气环境事件发生情况评估表</w:t>
      </w:r>
    </w:p>
    <w:tbl>
      <w:tblPr>
        <w:tblStyle w:val="21"/>
        <w:tblpPr w:leftFromText="180" w:rightFromText="180" w:vertAnchor="text" w:tblpXSpec="center" w:tblpY="1"/>
        <w:tblOverlap w:val="never"/>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007"/>
        <w:gridCol w:w="3248"/>
        <w:gridCol w:w="1345"/>
        <w:gridCol w:w="1343"/>
        <w:gridCol w:w="13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75" w:hRule="atLeast"/>
          <w:tblHeader/>
          <w:jc w:val="center"/>
        </w:trPr>
        <w:tc>
          <w:tcPr>
            <w:tcW w:w="1081" w:type="pct"/>
            <w:shd w:val="clear" w:color="auto" w:fill="D9D9D9"/>
            <w:vAlign w:val="center"/>
          </w:tcPr>
          <w:p>
            <w:pPr>
              <w:pStyle w:val="45"/>
              <w:framePr w:wrap="auto" w:vAnchor="margin" w:hAnchor="text" w:yAlign="inline"/>
              <w:rPr>
                <w:color w:val="000000"/>
              </w:rPr>
            </w:pPr>
            <w:r>
              <w:rPr>
                <w:rFonts w:hAnsi="宋体"/>
                <w:color w:val="000000"/>
              </w:rPr>
              <w:t>评估指标</w:t>
            </w:r>
          </w:p>
        </w:tc>
        <w:tc>
          <w:tcPr>
            <w:tcW w:w="1749" w:type="pct"/>
            <w:shd w:val="clear" w:color="auto" w:fill="D9D9D9"/>
            <w:vAlign w:val="center"/>
          </w:tcPr>
          <w:p>
            <w:pPr>
              <w:pStyle w:val="45"/>
              <w:framePr w:wrap="auto" w:vAnchor="margin" w:hAnchor="text" w:yAlign="inline"/>
              <w:rPr>
                <w:color w:val="000000"/>
              </w:rPr>
            </w:pPr>
            <w:r>
              <w:rPr>
                <w:rFonts w:hAnsi="宋体"/>
                <w:color w:val="000000"/>
              </w:rPr>
              <w:t>评估依据</w:t>
            </w:r>
          </w:p>
        </w:tc>
        <w:tc>
          <w:tcPr>
            <w:tcW w:w="724" w:type="pct"/>
            <w:shd w:val="clear" w:color="auto" w:fill="D9D9D9"/>
            <w:vAlign w:val="center"/>
          </w:tcPr>
          <w:p>
            <w:pPr>
              <w:pStyle w:val="45"/>
              <w:framePr w:wrap="auto" w:vAnchor="margin" w:hAnchor="text" w:yAlign="inline"/>
              <w:rPr>
                <w:color w:val="000000"/>
              </w:rPr>
            </w:pPr>
            <w:r>
              <w:rPr>
                <w:rFonts w:hAnsi="宋体"/>
                <w:color w:val="000000"/>
              </w:rPr>
              <w:t>分值</w:t>
            </w:r>
          </w:p>
        </w:tc>
        <w:tc>
          <w:tcPr>
            <w:tcW w:w="723" w:type="pct"/>
            <w:shd w:val="clear" w:color="auto" w:fill="D9D9D9"/>
            <w:vAlign w:val="center"/>
          </w:tcPr>
          <w:p>
            <w:pPr>
              <w:pStyle w:val="45"/>
              <w:framePr w:wrap="auto" w:vAnchor="margin" w:hAnchor="text" w:yAlign="inline"/>
              <w:rPr>
                <w:color w:val="000000"/>
              </w:rPr>
            </w:pPr>
            <w:r>
              <w:rPr>
                <w:rFonts w:hAnsi="宋体"/>
                <w:color w:val="000000"/>
              </w:rPr>
              <w:t>具体分值</w:t>
            </w:r>
          </w:p>
        </w:tc>
        <w:tc>
          <w:tcPr>
            <w:tcW w:w="723" w:type="pct"/>
            <w:shd w:val="clear" w:color="auto" w:fill="D9D9D9"/>
          </w:tcPr>
          <w:p>
            <w:pPr>
              <w:pStyle w:val="45"/>
              <w:framePr w:wrap="auto" w:vAnchor="margin" w:hAnchor="text" w:yAlign="inline"/>
              <w:rPr>
                <w:color w:val="000000"/>
              </w:rPr>
            </w:pPr>
            <w:r>
              <w:rPr>
                <w:rFonts w:hAnsi="宋体"/>
                <w:color w:val="000000"/>
              </w:rPr>
              <w:t>说明</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restart"/>
            <w:vAlign w:val="center"/>
          </w:tcPr>
          <w:p>
            <w:pPr>
              <w:pStyle w:val="45"/>
              <w:framePr w:wrap="auto" w:vAnchor="margin" w:hAnchor="text" w:yAlign="inline"/>
              <w:rPr>
                <w:color w:val="000000"/>
              </w:rPr>
            </w:pPr>
            <w:r>
              <w:rPr>
                <w:rFonts w:hAnsi="宋体"/>
                <w:color w:val="000000"/>
              </w:rPr>
              <w:t>毒性气体泄漏监控预警措施</w:t>
            </w:r>
          </w:p>
        </w:tc>
        <w:tc>
          <w:tcPr>
            <w:tcW w:w="1749" w:type="pct"/>
            <w:vAlign w:val="center"/>
          </w:tcPr>
          <w:p>
            <w:pPr>
              <w:pStyle w:val="45"/>
              <w:framePr w:wrap="auto" w:vAnchor="margin" w:hAnchor="text" w:yAlign="inline"/>
              <w:rPr>
                <w:color w:val="000000"/>
              </w:rPr>
            </w:pPr>
            <w:r>
              <w:rPr>
                <w:rFonts w:hAnsi="宋体"/>
                <w:color w:val="000000"/>
              </w:rPr>
              <w:t>（</w:t>
            </w:r>
            <w:r>
              <w:rPr>
                <w:color w:val="000000"/>
              </w:rPr>
              <w:t>1</w:t>
            </w:r>
            <w:r>
              <w:rPr>
                <w:rFonts w:hAnsi="宋体"/>
                <w:color w:val="000000"/>
              </w:rPr>
              <w:t>）不涉及附录</w:t>
            </w:r>
            <w:r>
              <w:rPr>
                <w:color w:val="000000"/>
              </w:rPr>
              <w:t>A</w:t>
            </w:r>
            <w:r>
              <w:rPr>
                <w:rFonts w:hAnsi="宋体"/>
                <w:color w:val="000000"/>
              </w:rPr>
              <w:t>中有毒有害气体的；或</w:t>
            </w:r>
          </w:p>
          <w:p>
            <w:pPr>
              <w:pStyle w:val="45"/>
              <w:framePr w:wrap="auto" w:vAnchor="margin" w:hAnchor="text" w:yAlign="inline"/>
              <w:rPr>
                <w:color w:val="000000"/>
              </w:rPr>
            </w:pPr>
            <w:r>
              <w:rPr>
                <w:rFonts w:hAnsi="宋体"/>
                <w:color w:val="000000"/>
              </w:rPr>
              <w:t>（</w:t>
            </w:r>
            <w:r>
              <w:rPr>
                <w:color w:val="000000"/>
              </w:rPr>
              <w:t>2</w:t>
            </w:r>
            <w:r>
              <w:rPr>
                <w:rFonts w:hAnsi="宋体"/>
                <w:color w:val="000000"/>
              </w:rPr>
              <w:t>）根据实际情况，具备有毒有害气体（如硫化氢、氰化氢、氯化氢、光气、氯气、氨气、苯等）厂界泄漏监控预警系统的</w:t>
            </w:r>
          </w:p>
        </w:tc>
        <w:tc>
          <w:tcPr>
            <w:tcW w:w="724" w:type="pct"/>
            <w:vAlign w:val="center"/>
          </w:tcPr>
          <w:p>
            <w:pPr>
              <w:pStyle w:val="45"/>
              <w:framePr w:wrap="auto" w:vAnchor="margin" w:hAnchor="text" w:yAlign="inline"/>
              <w:rPr>
                <w:color w:val="000000"/>
              </w:rPr>
            </w:pPr>
            <w:r>
              <w:rPr>
                <w:color w:val="000000"/>
              </w:rPr>
              <w:t>0</w:t>
            </w:r>
          </w:p>
        </w:tc>
        <w:tc>
          <w:tcPr>
            <w:tcW w:w="723" w:type="pct"/>
            <w:vMerge w:val="restart"/>
            <w:vAlign w:val="center"/>
          </w:tcPr>
          <w:p>
            <w:pPr>
              <w:pStyle w:val="45"/>
              <w:framePr w:wrap="auto" w:vAnchor="margin" w:hAnchor="text" w:yAlign="inline"/>
              <w:rPr>
                <w:color w:val="000000"/>
              </w:rPr>
            </w:pPr>
            <w:r>
              <w:rPr>
                <w:color w:val="000000"/>
              </w:rPr>
              <w:t>0</w:t>
            </w:r>
          </w:p>
        </w:tc>
        <w:tc>
          <w:tcPr>
            <w:tcW w:w="723" w:type="pct"/>
            <w:vMerge w:val="restart"/>
            <w:vAlign w:val="center"/>
          </w:tcPr>
          <w:p>
            <w:pPr>
              <w:pStyle w:val="45"/>
              <w:framePr w:wrap="auto" w:vAnchor="margin" w:hAnchor="text" w:yAlign="inline"/>
              <w:rPr>
                <w:color w:val="000000"/>
              </w:rPr>
            </w:pPr>
            <w:r>
              <w:rPr>
                <w:rFonts w:hint="eastAsia"/>
                <w:color w:val="000000"/>
              </w:rPr>
              <w:t>厂区处理废水过程中产生硫化氢、氨。厂区在污泥处理间与粗格栅生产单元安装预警系统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continue"/>
            <w:vAlign w:val="center"/>
          </w:tcPr>
          <w:p>
            <w:pPr>
              <w:pStyle w:val="45"/>
              <w:framePr w:wrap="auto" w:vAnchor="margin" w:hAnchor="text" w:yAlign="inline"/>
              <w:rPr>
                <w:color w:val="000000"/>
              </w:rPr>
            </w:pPr>
          </w:p>
        </w:tc>
        <w:tc>
          <w:tcPr>
            <w:tcW w:w="1749" w:type="pct"/>
            <w:vAlign w:val="center"/>
          </w:tcPr>
          <w:p>
            <w:pPr>
              <w:pStyle w:val="45"/>
              <w:framePr w:wrap="auto" w:vAnchor="margin" w:hAnchor="text" w:yAlign="inline"/>
              <w:rPr>
                <w:color w:val="000000"/>
              </w:rPr>
            </w:pPr>
            <w:r>
              <w:rPr>
                <w:rFonts w:hAnsi="宋体"/>
                <w:color w:val="000000"/>
              </w:rPr>
              <w:t>不具备厂界有毒有害气体泄漏监控预警系统的</w:t>
            </w:r>
          </w:p>
        </w:tc>
        <w:tc>
          <w:tcPr>
            <w:tcW w:w="724" w:type="pct"/>
            <w:vAlign w:val="center"/>
          </w:tcPr>
          <w:p>
            <w:pPr>
              <w:pStyle w:val="45"/>
              <w:framePr w:wrap="auto" w:vAnchor="margin" w:hAnchor="text" w:yAlign="inline"/>
              <w:rPr>
                <w:color w:val="000000"/>
              </w:rPr>
            </w:pPr>
            <w:r>
              <w:rPr>
                <w:color w:val="000000"/>
              </w:rPr>
              <w:t>25</w:t>
            </w:r>
          </w:p>
        </w:tc>
        <w:tc>
          <w:tcPr>
            <w:tcW w:w="723" w:type="pct"/>
            <w:vMerge w:val="continue"/>
            <w:vAlign w:val="center"/>
          </w:tcPr>
          <w:p>
            <w:pPr>
              <w:pStyle w:val="45"/>
              <w:framePr w:wrap="auto" w:vAnchor="margin" w:hAnchor="text" w:yAlign="inline"/>
              <w:rPr>
                <w:color w:val="000000"/>
              </w:rPr>
            </w:pPr>
          </w:p>
        </w:tc>
        <w:tc>
          <w:tcPr>
            <w:tcW w:w="723" w:type="pct"/>
            <w:vMerge w:val="continue"/>
          </w:tcPr>
          <w:p>
            <w:pPr>
              <w:pStyle w:val="45"/>
              <w:framePr w:wrap="auto" w:vAnchor="margin" w:hAnchor="text" w:yAlign="inline"/>
              <w:rPr>
                <w:color w:val="00000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restart"/>
            <w:vAlign w:val="center"/>
          </w:tcPr>
          <w:p>
            <w:pPr>
              <w:pStyle w:val="45"/>
              <w:framePr w:wrap="auto" w:vAnchor="margin" w:hAnchor="text" w:yAlign="inline"/>
              <w:rPr>
                <w:color w:val="000000"/>
              </w:rPr>
            </w:pPr>
            <w:r>
              <w:rPr>
                <w:rFonts w:hAnsi="宋体"/>
                <w:color w:val="000000"/>
              </w:rPr>
              <w:t>符合防护距离情况</w:t>
            </w:r>
          </w:p>
        </w:tc>
        <w:tc>
          <w:tcPr>
            <w:tcW w:w="1749" w:type="pct"/>
            <w:vAlign w:val="center"/>
          </w:tcPr>
          <w:p>
            <w:pPr>
              <w:pStyle w:val="45"/>
              <w:framePr w:wrap="auto" w:vAnchor="margin" w:hAnchor="text" w:yAlign="inline"/>
              <w:rPr>
                <w:color w:val="000000"/>
              </w:rPr>
            </w:pPr>
            <w:r>
              <w:rPr>
                <w:rFonts w:hAnsi="宋体"/>
                <w:color w:val="000000"/>
              </w:rPr>
              <w:t>符合环评及批复文件防护距离要求的</w:t>
            </w:r>
          </w:p>
        </w:tc>
        <w:tc>
          <w:tcPr>
            <w:tcW w:w="724" w:type="pct"/>
            <w:vAlign w:val="center"/>
          </w:tcPr>
          <w:p>
            <w:pPr>
              <w:pStyle w:val="45"/>
              <w:framePr w:wrap="auto" w:vAnchor="margin" w:hAnchor="text" w:yAlign="inline"/>
              <w:rPr>
                <w:color w:val="000000"/>
              </w:rPr>
            </w:pPr>
            <w:r>
              <w:rPr>
                <w:color w:val="000000"/>
              </w:rPr>
              <w:t>0</w:t>
            </w:r>
          </w:p>
        </w:tc>
        <w:tc>
          <w:tcPr>
            <w:tcW w:w="723" w:type="pct"/>
            <w:vMerge w:val="restart"/>
            <w:vAlign w:val="center"/>
          </w:tcPr>
          <w:p>
            <w:pPr>
              <w:pStyle w:val="45"/>
              <w:framePr w:wrap="auto" w:vAnchor="margin" w:hAnchor="text" w:yAlign="inline"/>
              <w:rPr>
                <w:color w:val="000000"/>
              </w:rPr>
            </w:pPr>
            <w:r>
              <w:rPr>
                <w:color w:val="000000"/>
              </w:rPr>
              <w:t>0</w:t>
            </w:r>
          </w:p>
        </w:tc>
        <w:tc>
          <w:tcPr>
            <w:tcW w:w="723" w:type="pct"/>
            <w:vMerge w:val="restart"/>
            <w:vAlign w:val="center"/>
          </w:tcPr>
          <w:p>
            <w:pPr>
              <w:pStyle w:val="45"/>
              <w:framePr w:wrap="auto" w:vAnchor="margin" w:hAnchor="text" w:yAlign="inline"/>
              <w:rPr>
                <w:color w:val="000000"/>
              </w:rPr>
            </w:pPr>
            <w:r>
              <w:rPr>
                <w:color w:val="000000"/>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continue"/>
            <w:vAlign w:val="center"/>
          </w:tcPr>
          <w:p>
            <w:pPr>
              <w:pStyle w:val="45"/>
              <w:framePr w:wrap="auto" w:vAnchor="margin" w:hAnchor="text" w:yAlign="inline"/>
              <w:rPr>
                <w:color w:val="000000"/>
              </w:rPr>
            </w:pPr>
          </w:p>
        </w:tc>
        <w:tc>
          <w:tcPr>
            <w:tcW w:w="1749" w:type="pct"/>
            <w:vAlign w:val="center"/>
          </w:tcPr>
          <w:p>
            <w:pPr>
              <w:pStyle w:val="45"/>
              <w:framePr w:wrap="auto" w:vAnchor="margin" w:hAnchor="text" w:yAlign="inline"/>
              <w:rPr>
                <w:color w:val="000000"/>
              </w:rPr>
            </w:pPr>
            <w:r>
              <w:rPr>
                <w:rFonts w:hAnsi="宋体"/>
                <w:color w:val="000000"/>
              </w:rPr>
              <w:t>不符合环评及批复文件防护距离要求的</w:t>
            </w:r>
          </w:p>
        </w:tc>
        <w:tc>
          <w:tcPr>
            <w:tcW w:w="724" w:type="pct"/>
            <w:vAlign w:val="center"/>
          </w:tcPr>
          <w:p>
            <w:pPr>
              <w:pStyle w:val="45"/>
              <w:framePr w:wrap="auto" w:vAnchor="margin" w:hAnchor="text" w:yAlign="inline"/>
              <w:rPr>
                <w:color w:val="000000"/>
              </w:rPr>
            </w:pPr>
            <w:r>
              <w:rPr>
                <w:color w:val="000000"/>
              </w:rPr>
              <w:t>25</w:t>
            </w:r>
          </w:p>
        </w:tc>
        <w:tc>
          <w:tcPr>
            <w:tcW w:w="723" w:type="pct"/>
            <w:vMerge w:val="continue"/>
            <w:vAlign w:val="center"/>
          </w:tcPr>
          <w:p>
            <w:pPr>
              <w:pStyle w:val="45"/>
              <w:framePr w:wrap="auto" w:vAnchor="margin" w:hAnchor="text" w:yAlign="inline"/>
              <w:rPr>
                <w:color w:val="000000"/>
              </w:rPr>
            </w:pPr>
          </w:p>
        </w:tc>
        <w:tc>
          <w:tcPr>
            <w:tcW w:w="723" w:type="pct"/>
            <w:vMerge w:val="continue"/>
            <w:vAlign w:val="center"/>
          </w:tcPr>
          <w:p>
            <w:pPr>
              <w:pStyle w:val="45"/>
              <w:framePr w:wrap="auto" w:vAnchor="margin" w:hAnchor="text" w:yAlign="inline"/>
              <w:rPr>
                <w:color w:val="00000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restart"/>
            <w:vAlign w:val="center"/>
          </w:tcPr>
          <w:p>
            <w:pPr>
              <w:pStyle w:val="45"/>
              <w:framePr w:wrap="auto" w:vAnchor="margin" w:hAnchor="text" w:yAlign="inline"/>
              <w:rPr>
                <w:color w:val="000000"/>
              </w:rPr>
            </w:pPr>
            <w:r>
              <w:rPr>
                <w:rFonts w:hAnsi="宋体"/>
                <w:color w:val="000000"/>
              </w:rPr>
              <w:t>近</w:t>
            </w:r>
            <w:r>
              <w:rPr>
                <w:color w:val="000000"/>
              </w:rPr>
              <w:t>3</w:t>
            </w:r>
            <w:r>
              <w:rPr>
                <w:rFonts w:hAnsi="宋体"/>
                <w:color w:val="000000"/>
              </w:rPr>
              <w:t>年内突发大气环境事件发生情况</w:t>
            </w:r>
          </w:p>
        </w:tc>
        <w:tc>
          <w:tcPr>
            <w:tcW w:w="1749" w:type="pct"/>
            <w:vAlign w:val="center"/>
          </w:tcPr>
          <w:p>
            <w:pPr>
              <w:pStyle w:val="45"/>
              <w:framePr w:wrap="auto" w:vAnchor="margin" w:hAnchor="text" w:yAlign="inline"/>
              <w:rPr>
                <w:color w:val="000000"/>
              </w:rPr>
            </w:pPr>
            <w:r>
              <w:rPr>
                <w:rFonts w:hAnsi="宋体"/>
                <w:color w:val="000000"/>
              </w:rPr>
              <w:t>发生过特别重大或重大等级突发大气环境事件的</w:t>
            </w:r>
          </w:p>
        </w:tc>
        <w:tc>
          <w:tcPr>
            <w:tcW w:w="724" w:type="pct"/>
            <w:vAlign w:val="center"/>
          </w:tcPr>
          <w:p>
            <w:pPr>
              <w:pStyle w:val="45"/>
              <w:framePr w:wrap="auto" w:vAnchor="margin" w:hAnchor="text" w:yAlign="inline"/>
              <w:rPr>
                <w:color w:val="000000"/>
              </w:rPr>
            </w:pPr>
            <w:r>
              <w:rPr>
                <w:color w:val="000000"/>
              </w:rPr>
              <w:t>20</w:t>
            </w:r>
          </w:p>
        </w:tc>
        <w:tc>
          <w:tcPr>
            <w:tcW w:w="723" w:type="pct"/>
            <w:vMerge w:val="restart"/>
            <w:vAlign w:val="center"/>
          </w:tcPr>
          <w:p>
            <w:pPr>
              <w:pStyle w:val="45"/>
              <w:framePr w:wrap="auto" w:vAnchor="margin" w:hAnchor="text" w:yAlign="inline"/>
              <w:rPr>
                <w:color w:val="000000"/>
              </w:rPr>
            </w:pPr>
            <w:r>
              <w:rPr>
                <w:color w:val="000000"/>
              </w:rPr>
              <w:t>0</w:t>
            </w:r>
          </w:p>
        </w:tc>
        <w:tc>
          <w:tcPr>
            <w:tcW w:w="723" w:type="pct"/>
            <w:vMerge w:val="restart"/>
            <w:vAlign w:val="center"/>
          </w:tcPr>
          <w:p>
            <w:pPr>
              <w:pStyle w:val="45"/>
              <w:framePr w:wrap="auto" w:vAnchor="margin" w:hAnchor="text" w:yAlign="inline"/>
              <w:rPr>
                <w:color w:val="000000"/>
              </w:rPr>
            </w:pPr>
            <w:r>
              <w:rPr>
                <w:color w:val="000000"/>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continue"/>
            <w:vAlign w:val="center"/>
          </w:tcPr>
          <w:p>
            <w:pPr>
              <w:pStyle w:val="45"/>
              <w:framePr w:wrap="auto" w:vAnchor="margin" w:hAnchor="text" w:yAlign="inline"/>
              <w:rPr>
                <w:color w:val="000000"/>
              </w:rPr>
            </w:pPr>
          </w:p>
        </w:tc>
        <w:tc>
          <w:tcPr>
            <w:tcW w:w="1749" w:type="pct"/>
            <w:vAlign w:val="center"/>
          </w:tcPr>
          <w:p>
            <w:pPr>
              <w:pStyle w:val="45"/>
              <w:framePr w:wrap="auto" w:vAnchor="margin" w:hAnchor="text" w:yAlign="inline"/>
              <w:rPr>
                <w:color w:val="000000"/>
              </w:rPr>
            </w:pPr>
            <w:r>
              <w:rPr>
                <w:rFonts w:hAnsi="宋体"/>
                <w:color w:val="000000"/>
              </w:rPr>
              <w:t>发生过较大等级突发大气环境事件的</w:t>
            </w:r>
          </w:p>
        </w:tc>
        <w:tc>
          <w:tcPr>
            <w:tcW w:w="724" w:type="pct"/>
            <w:vAlign w:val="center"/>
          </w:tcPr>
          <w:p>
            <w:pPr>
              <w:pStyle w:val="45"/>
              <w:framePr w:wrap="auto" w:vAnchor="margin" w:hAnchor="text" w:yAlign="inline"/>
              <w:rPr>
                <w:color w:val="000000"/>
              </w:rPr>
            </w:pPr>
            <w:r>
              <w:rPr>
                <w:color w:val="000000"/>
              </w:rPr>
              <w:t>15</w:t>
            </w:r>
          </w:p>
        </w:tc>
        <w:tc>
          <w:tcPr>
            <w:tcW w:w="723" w:type="pct"/>
            <w:vMerge w:val="continue"/>
            <w:vAlign w:val="center"/>
          </w:tcPr>
          <w:p>
            <w:pPr>
              <w:pStyle w:val="45"/>
              <w:framePr w:wrap="auto" w:vAnchor="margin" w:hAnchor="text" w:yAlign="inline"/>
              <w:rPr>
                <w:color w:val="000000"/>
              </w:rPr>
            </w:pPr>
          </w:p>
        </w:tc>
        <w:tc>
          <w:tcPr>
            <w:tcW w:w="723" w:type="pct"/>
            <w:vMerge w:val="continue"/>
          </w:tcPr>
          <w:p>
            <w:pPr>
              <w:pStyle w:val="45"/>
              <w:framePr w:wrap="auto" w:vAnchor="margin" w:hAnchor="text" w:yAlign="inline"/>
              <w:rPr>
                <w:color w:val="00000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continue"/>
            <w:vAlign w:val="center"/>
          </w:tcPr>
          <w:p>
            <w:pPr>
              <w:pStyle w:val="45"/>
              <w:framePr w:wrap="auto" w:vAnchor="margin" w:hAnchor="text" w:yAlign="inline"/>
              <w:rPr>
                <w:color w:val="000000"/>
              </w:rPr>
            </w:pPr>
          </w:p>
        </w:tc>
        <w:tc>
          <w:tcPr>
            <w:tcW w:w="1749" w:type="pct"/>
            <w:vAlign w:val="center"/>
          </w:tcPr>
          <w:p>
            <w:pPr>
              <w:pStyle w:val="45"/>
              <w:framePr w:wrap="auto" w:vAnchor="margin" w:hAnchor="text" w:yAlign="inline"/>
              <w:rPr>
                <w:color w:val="000000"/>
              </w:rPr>
            </w:pPr>
            <w:r>
              <w:rPr>
                <w:rFonts w:hAnsi="宋体"/>
                <w:color w:val="000000"/>
              </w:rPr>
              <w:t>发生过一般等级突发大气环境事件的</w:t>
            </w:r>
          </w:p>
        </w:tc>
        <w:tc>
          <w:tcPr>
            <w:tcW w:w="724" w:type="pct"/>
            <w:vAlign w:val="center"/>
          </w:tcPr>
          <w:p>
            <w:pPr>
              <w:pStyle w:val="45"/>
              <w:framePr w:wrap="auto" w:vAnchor="margin" w:hAnchor="text" w:yAlign="inline"/>
              <w:rPr>
                <w:color w:val="000000"/>
              </w:rPr>
            </w:pPr>
            <w:r>
              <w:rPr>
                <w:color w:val="000000"/>
              </w:rPr>
              <w:t>10</w:t>
            </w:r>
          </w:p>
        </w:tc>
        <w:tc>
          <w:tcPr>
            <w:tcW w:w="723" w:type="pct"/>
            <w:vMerge w:val="continue"/>
            <w:vAlign w:val="center"/>
          </w:tcPr>
          <w:p>
            <w:pPr>
              <w:pStyle w:val="45"/>
              <w:framePr w:wrap="auto" w:vAnchor="margin" w:hAnchor="text" w:yAlign="inline"/>
              <w:rPr>
                <w:color w:val="000000"/>
              </w:rPr>
            </w:pPr>
          </w:p>
        </w:tc>
        <w:tc>
          <w:tcPr>
            <w:tcW w:w="723" w:type="pct"/>
            <w:vMerge w:val="continue"/>
          </w:tcPr>
          <w:p>
            <w:pPr>
              <w:pStyle w:val="45"/>
              <w:framePr w:wrap="auto" w:vAnchor="margin" w:hAnchor="text" w:yAlign="inline"/>
              <w:rPr>
                <w:color w:val="00000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081" w:type="pct"/>
            <w:vMerge w:val="continue"/>
            <w:vAlign w:val="center"/>
          </w:tcPr>
          <w:p>
            <w:pPr>
              <w:pStyle w:val="45"/>
              <w:framePr w:wrap="auto" w:vAnchor="margin" w:hAnchor="text" w:yAlign="inline"/>
              <w:rPr>
                <w:color w:val="000000"/>
              </w:rPr>
            </w:pPr>
          </w:p>
        </w:tc>
        <w:tc>
          <w:tcPr>
            <w:tcW w:w="1749" w:type="pct"/>
            <w:vAlign w:val="center"/>
          </w:tcPr>
          <w:p>
            <w:pPr>
              <w:pStyle w:val="45"/>
              <w:framePr w:wrap="auto" w:vAnchor="margin" w:hAnchor="text" w:yAlign="inline"/>
              <w:rPr>
                <w:color w:val="000000"/>
              </w:rPr>
            </w:pPr>
            <w:r>
              <w:rPr>
                <w:rFonts w:hAnsi="宋体"/>
                <w:color w:val="000000"/>
              </w:rPr>
              <w:t>未发生突发大气环境事件的</w:t>
            </w:r>
          </w:p>
        </w:tc>
        <w:tc>
          <w:tcPr>
            <w:tcW w:w="724" w:type="pct"/>
            <w:vAlign w:val="center"/>
          </w:tcPr>
          <w:p>
            <w:pPr>
              <w:pStyle w:val="45"/>
              <w:framePr w:wrap="auto" w:vAnchor="margin" w:hAnchor="text" w:yAlign="inline"/>
              <w:rPr>
                <w:color w:val="000000"/>
              </w:rPr>
            </w:pPr>
            <w:r>
              <w:rPr>
                <w:color w:val="000000"/>
              </w:rPr>
              <w:t>0</w:t>
            </w:r>
          </w:p>
        </w:tc>
        <w:tc>
          <w:tcPr>
            <w:tcW w:w="723" w:type="pct"/>
            <w:vMerge w:val="continue"/>
            <w:vAlign w:val="center"/>
          </w:tcPr>
          <w:p>
            <w:pPr>
              <w:pStyle w:val="45"/>
              <w:framePr w:wrap="auto" w:vAnchor="margin" w:hAnchor="text" w:yAlign="inline"/>
              <w:rPr>
                <w:color w:val="000000"/>
              </w:rPr>
            </w:pPr>
          </w:p>
        </w:tc>
        <w:tc>
          <w:tcPr>
            <w:tcW w:w="723" w:type="pct"/>
            <w:vMerge w:val="continue"/>
          </w:tcPr>
          <w:p>
            <w:pPr>
              <w:pStyle w:val="45"/>
              <w:framePr w:wrap="auto" w:vAnchor="margin" w:hAnchor="text" w:yAlign="inline"/>
              <w:rPr>
                <w:color w:val="000000"/>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830" w:type="pct"/>
            <w:gridSpan w:val="2"/>
            <w:vAlign w:val="center"/>
          </w:tcPr>
          <w:p>
            <w:pPr>
              <w:pStyle w:val="45"/>
              <w:framePr w:wrap="auto" w:vAnchor="margin" w:hAnchor="text" w:yAlign="inline"/>
              <w:rPr>
                <w:color w:val="000000"/>
              </w:rPr>
            </w:pPr>
            <w:r>
              <w:rPr>
                <w:rFonts w:hAnsi="宋体"/>
                <w:color w:val="000000"/>
              </w:rPr>
              <w:t>总分</w:t>
            </w:r>
          </w:p>
        </w:tc>
        <w:tc>
          <w:tcPr>
            <w:tcW w:w="724" w:type="pct"/>
            <w:vAlign w:val="center"/>
          </w:tcPr>
          <w:p>
            <w:pPr>
              <w:pStyle w:val="45"/>
              <w:framePr w:wrap="auto" w:vAnchor="margin" w:hAnchor="text" w:yAlign="inline"/>
              <w:rPr>
                <w:color w:val="000000"/>
              </w:rPr>
            </w:pPr>
            <w:r>
              <w:rPr>
                <w:color w:val="000000"/>
              </w:rPr>
              <w:t>-</w:t>
            </w:r>
          </w:p>
        </w:tc>
        <w:tc>
          <w:tcPr>
            <w:tcW w:w="723" w:type="pct"/>
            <w:vAlign w:val="center"/>
          </w:tcPr>
          <w:p>
            <w:pPr>
              <w:pStyle w:val="45"/>
              <w:framePr w:wrap="auto" w:vAnchor="margin" w:hAnchor="text" w:yAlign="inline"/>
              <w:rPr>
                <w:color w:val="000000"/>
              </w:rPr>
            </w:pPr>
            <w:r>
              <w:rPr>
                <w:color w:val="000000"/>
              </w:rPr>
              <w:t>0</w:t>
            </w:r>
          </w:p>
        </w:tc>
        <w:tc>
          <w:tcPr>
            <w:tcW w:w="723" w:type="pct"/>
          </w:tcPr>
          <w:p>
            <w:pPr>
              <w:pStyle w:val="45"/>
              <w:framePr w:wrap="auto" w:vAnchor="margin" w:hAnchor="text" w:yAlign="inline"/>
              <w:rPr>
                <w:color w:val="000000"/>
              </w:rPr>
            </w:pPr>
            <w:r>
              <w:rPr>
                <w:color w:val="000000"/>
              </w:rPr>
              <w:t>/</w:t>
            </w:r>
          </w:p>
        </w:tc>
      </w:tr>
    </w:tbl>
    <w:p>
      <w:pPr>
        <w:pStyle w:val="46"/>
        <w:spacing w:before="72" w:after="72"/>
        <w:rPr>
          <w:color w:val="000000"/>
        </w:rPr>
      </w:pPr>
    </w:p>
    <w:p>
      <w:pPr>
        <w:pStyle w:val="35"/>
        <w:ind w:firstLine="480"/>
        <w:rPr>
          <w:rFonts w:cs="Times New Roman"/>
          <w:color w:val="000000"/>
        </w:rPr>
      </w:pPr>
      <w:r>
        <w:rPr>
          <w:rFonts w:hAnsi="宋体" w:cs="Times New Roman"/>
          <w:color w:val="000000"/>
        </w:rPr>
        <w:t>根据企业大气环境风险措施和突发大气环境事件发生情况评估表，本企业大气环境风险措施和突发大气环境事</w:t>
      </w:r>
      <w:r>
        <w:rPr>
          <w:rFonts w:hAnsi="宋体" w:cs="Times New Roman"/>
          <w:color w:val="FF0000"/>
        </w:rPr>
        <w:t>件发生情况评分为</w:t>
      </w:r>
      <w:r>
        <w:rPr>
          <w:rFonts w:hint="eastAsia" w:cs="Times New Roman"/>
          <w:color w:val="FF0000"/>
        </w:rPr>
        <w:t>0</w:t>
      </w:r>
      <w:r>
        <w:rPr>
          <w:rFonts w:hAnsi="宋体" w:cs="Times New Roman"/>
          <w:color w:val="FF0000"/>
        </w:rPr>
        <w:t>。</w:t>
      </w:r>
    </w:p>
    <w:p>
      <w:pPr>
        <w:pStyle w:val="35"/>
        <w:ind w:firstLine="480"/>
        <w:rPr>
          <w:rFonts w:hAnsi="宋体" w:cs="Times New Roman"/>
          <w:color w:val="000000"/>
        </w:rPr>
      </w:pPr>
      <w:r>
        <w:rPr>
          <w:rFonts w:hAnsi="宋体" w:cs="Times New Roman"/>
          <w:color w:val="000000"/>
        </w:rPr>
        <w:t>根据上述评分表格，</w:t>
      </w:r>
      <w:r>
        <w:rPr>
          <w:rFonts w:cs="Times New Roman"/>
          <w:color w:val="000000"/>
        </w:rPr>
        <w:t>M</w:t>
      </w:r>
      <w:r>
        <w:rPr>
          <w:rFonts w:hAnsi="宋体" w:cs="Times New Roman"/>
          <w:color w:val="000000"/>
          <w:vertAlign w:val="subscript"/>
        </w:rPr>
        <w:t>大气</w:t>
      </w:r>
      <w:r>
        <w:rPr>
          <w:rFonts w:cs="Times New Roman"/>
          <w:color w:val="000000"/>
        </w:rPr>
        <w:t>=</w:t>
      </w:r>
      <w:r>
        <w:rPr>
          <w:rFonts w:hint="eastAsia" w:cs="Times New Roman"/>
          <w:color w:val="000000"/>
        </w:rPr>
        <w:t>0</w:t>
      </w:r>
      <w:r>
        <w:rPr>
          <w:rFonts w:hAnsi="宋体" w:cs="Times New Roman"/>
          <w:color w:val="000000"/>
        </w:rPr>
        <w:t>。属于M</w:t>
      </w:r>
      <w:r>
        <w:rPr>
          <w:rFonts w:hint="eastAsia" w:hAnsi="宋体" w:cs="Times New Roman"/>
          <w:color w:val="000000"/>
        </w:rPr>
        <w:t>1</w:t>
      </w:r>
      <w:r>
        <w:rPr>
          <w:rFonts w:hAnsi="宋体" w:cs="Times New Roman"/>
          <w:color w:val="000000"/>
        </w:rPr>
        <w:t>类水平。</w:t>
      </w:r>
    </w:p>
    <w:p>
      <w:pPr>
        <w:pStyle w:val="5"/>
        <w:ind w:firstLine="482" w:firstLineChars="200"/>
        <w:rPr>
          <w:color w:val="000000"/>
        </w:rPr>
      </w:pPr>
      <w:bookmarkStart w:id="156" w:name="_Toc9002353"/>
      <w:bookmarkStart w:id="157" w:name="_Toc5781243"/>
      <w:bookmarkStart w:id="158" w:name="_Toc9002614"/>
      <w:r>
        <w:rPr>
          <w:color w:val="000000"/>
        </w:rPr>
        <w:t>7.2.3</w:t>
      </w:r>
      <w:r>
        <w:rPr>
          <w:rFonts w:hAnsi="宋体"/>
          <w:color w:val="000000"/>
        </w:rPr>
        <w:t>大气环境</w:t>
      </w:r>
      <w:r>
        <w:rPr>
          <w:color w:val="000000"/>
        </w:rPr>
        <w:t>E</w:t>
      </w:r>
      <w:r>
        <w:rPr>
          <w:rFonts w:hAnsi="宋体"/>
          <w:color w:val="000000"/>
        </w:rPr>
        <w:t>值确定</w:t>
      </w:r>
      <w:bookmarkEnd w:id="156"/>
      <w:bookmarkEnd w:id="157"/>
      <w:bookmarkEnd w:id="158"/>
    </w:p>
    <w:p>
      <w:pPr>
        <w:pStyle w:val="35"/>
        <w:ind w:firstLine="480"/>
        <w:rPr>
          <w:rFonts w:cs="Times New Roman"/>
          <w:color w:val="000000"/>
        </w:rPr>
      </w:pPr>
      <w:r>
        <w:rPr>
          <w:rFonts w:hAnsi="宋体" w:cs="Times New Roman"/>
          <w:color w:val="000000"/>
        </w:rPr>
        <w:t>企业周边</w:t>
      </w:r>
      <w:r>
        <w:rPr>
          <w:rFonts w:cs="Times New Roman"/>
          <w:color w:val="000000"/>
        </w:rPr>
        <w:t>5</w:t>
      </w:r>
      <w:r>
        <w:rPr>
          <w:rFonts w:hAnsi="宋体" w:cs="Times New Roman"/>
          <w:color w:val="000000"/>
        </w:rPr>
        <w:t>公里范围内居住区、医疗卫生机构、文化教育机构、科研单位、行政机关、企事业单位、商场、公园等人口总数约</w:t>
      </w:r>
      <w:r>
        <w:rPr>
          <w:rFonts w:hint="eastAsia" w:cs="Times New Roman"/>
          <w:color w:val="000000"/>
        </w:rPr>
        <w:t>13000多</w:t>
      </w:r>
      <w:r>
        <w:rPr>
          <w:rFonts w:hAnsi="宋体" w:cs="Times New Roman"/>
          <w:color w:val="000000"/>
        </w:rPr>
        <w:t>人，企业周边半径</w:t>
      </w:r>
      <w:r>
        <w:rPr>
          <w:rFonts w:cs="Times New Roman"/>
          <w:color w:val="000000"/>
        </w:rPr>
        <w:t>500m</w:t>
      </w:r>
      <w:r>
        <w:rPr>
          <w:rFonts w:hAnsi="宋体" w:cs="Times New Roman"/>
          <w:color w:val="000000"/>
        </w:rPr>
        <w:t>范围内居住区、医疗卫生机构、文化教育机构、科研单位、行政机关、企事业单位、商场、公园等人口总数约</w:t>
      </w:r>
      <w:r>
        <w:rPr>
          <w:rFonts w:hint="eastAsia" w:cs="Times New Roman"/>
          <w:color w:val="000000"/>
        </w:rPr>
        <w:t>600</w:t>
      </w:r>
      <w:r>
        <w:rPr>
          <w:rFonts w:hAnsi="宋体" w:cs="Times New Roman"/>
          <w:color w:val="000000"/>
        </w:rPr>
        <w:t>人。</w:t>
      </w:r>
    </w:p>
    <w:p>
      <w:pPr>
        <w:pStyle w:val="35"/>
        <w:ind w:firstLine="480"/>
        <w:rPr>
          <w:rFonts w:hAnsi="宋体" w:cs="Times New Roman"/>
          <w:color w:val="000000"/>
        </w:rPr>
      </w:pPr>
      <w:r>
        <w:rPr>
          <w:rFonts w:hAnsi="宋体" w:cs="Times New Roman"/>
          <w:color w:val="000000"/>
        </w:rPr>
        <w:t>根据下表，确定</w:t>
      </w:r>
      <w:r>
        <w:rPr>
          <w:rFonts w:hint="eastAsia" w:hAnsi="宋体" w:cs="Times New Roman"/>
          <w:color w:val="000000"/>
        </w:rPr>
        <w:t>本厂</w:t>
      </w:r>
      <w:r>
        <w:rPr>
          <w:rFonts w:hAnsi="宋体" w:cs="Times New Roman"/>
          <w:color w:val="000000"/>
        </w:rPr>
        <w:t>周边大气环境风险受体属于类型</w:t>
      </w:r>
      <w:r>
        <w:rPr>
          <w:rFonts w:hint="eastAsia" w:cs="Times New Roman"/>
          <w:color w:val="000000"/>
        </w:rPr>
        <w:t>2</w:t>
      </w:r>
      <w:r>
        <w:rPr>
          <w:rFonts w:hAnsi="宋体" w:cs="Times New Roman"/>
          <w:color w:val="000000"/>
        </w:rPr>
        <w:t>（</w:t>
      </w:r>
      <w:r>
        <w:rPr>
          <w:rFonts w:cs="Times New Roman"/>
          <w:color w:val="000000"/>
        </w:rPr>
        <w:t>E</w:t>
      </w:r>
      <w:r>
        <w:rPr>
          <w:rFonts w:hint="eastAsia" w:cs="Times New Roman"/>
          <w:color w:val="000000"/>
        </w:rPr>
        <w:t>2</w:t>
      </w:r>
      <w:r>
        <w:rPr>
          <w:rFonts w:hAnsi="宋体" w:cs="Times New Roman"/>
          <w:color w:val="000000"/>
        </w:rPr>
        <w:t>）。</w:t>
      </w:r>
    </w:p>
    <w:p>
      <w:pPr>
        <w:pStyle w:val="10"/>
        <w:keepNext/>
        <w:jc w:val="center"/>
        <w:rPr>
          <w:rFonts w:ascii="Times New Roman" w:hAnsi="宋体" w:eastAsia="宋体" w:cs="Times New Roman"/>
          <w:b/>
          <w:color w:val="000000"/>
          <w:sz w:val="24"/>
          <w:szCs w:val="24"/>
        </w:rPr>
      </w:pPr>
      <w:r>
        <w:rPr>
          <w:rFonts w:ascii="Times New Roman" w:hAnsi="宋体" w:eastAsia="宋体" w:cs="Times New Roman"/>
          <w:b/>
          <w:color w:val="000000"/>
          <w:sz w:val="24"/>
          <w:szCs w:val="24"/>
        </w:rPr>
        <w:t>表</w:t>
      </w:r>
      <w:r>
        <w:rPr>
          <w:rFonts w:hint="eastAsia" w:ascii="Times New Roman" w:hAnsi="宋体" w:eastAsia="宋体" w:cs="Times New Roman"/>
          <w:b/>
          <w:color w:val="000000"/>
          <w:sz w:val="24"/>
          <w:szCs w:val="24"/>
        </w:rPr>
        <w:t>7-3</w:t>
      </w:r>
      <w:r>
        <w:rPr>
          <w:rFonts w:ascii="Times New Roman" w:hAnsi="宋体" w:eastAsia="宋体" w:cs="Times New Roman"/>
          <w:b/>
          <w:color w:val="000000"/>
          <w:sz w:val="24"/>
          <w:szCs w:val="24"/>
        </w:rPr>
        <w:t xml:space="preserve">  企业周边环境风险受体表</w:t>
      </w:r>
    </w:p>
    <w:p>
      <w:pPr>
        <w:pStyle w:val="10"/>
        <w:keepNext/>
        <w:jc w:val="center"/>
        <w:rPr>
          <w:rFonts w:ascii="Times New Roman" w:hAnsi="宋体" w:eastAsia="宋体" w:cs="Times New Roman"/>
          <w:b/>
          <w:color w:val="FFFFFF" w:themeColor="background1"/>
          <w:sz w:val="13"/>
          <w:szCs w:val="13"/>
        </w:rPr>
      </w:pPr>
      <w:r>
        <w:rPr>
          <w:rFonts w:ascii="Times New Roman" w:hAnsi="宋体" w:eastAsia="宋体" w:cs="Times New Roman"/>
          <w:b/>
          <w:color w:val="FFFFFF" w:themeColor="background1"/>
          <w:sz w:val="13"/>
          <w:szCs w:val="13"/>
        </w:rPr>
        <w:t>表</w:t>
      </w:r>
      <w:r>
        <w:rPr>
          <w:rFonts w:hint="eastAsia" w:ascii="Times New Roman" w:hAnsi="宋体" w:eastAsia="宋体" w:cs="Times New Roman"/>
          <w:b/>
          <w:color w:val="FFFFFF" w:themeColor="background1"/>
          <w:sz w:val="13"/>
          <w:szCs w:val="13"/>
        </w:rPr>
        <w:t>7-3</w:t>
      </w:r>
      <w:r>
        <w:rPr>
          <w:rFonts w:ascii="Times New Roman" w:hAnsi="宋体" w:eastAsia="宋体" w:cs="Times New Roman"/>
          <w:b/>
          <w:color w:val="FFFFFF" w:themeColor="background1"/>
          <w:sz w:val="13"/>
          <w:szCs w:val="13"/>
        </w:rPr>
        <w:t xml:space="preserve">  企业周边环境风险受体表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9"/>
        <w:gridCol w:w="82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shd w:val="clear" w:color="auto" w:fill="D9D9D9"/>
            <w:vAlign w:val="center"/>
          </w:tcPr>
          <w:p>
            <w:pPr>
              <w:pStyle w:val="45"/>
              <w:rPr>
                <w:color w:val="000000"/>
              </w:rPr>
            </w:pPr>
            <w:r>
              <w:rPr>
                <w:rFonts w:hAnsi="宋体"/>
                <w:color w:val="000000"/>
              </w:rPr>
              <w:t>类别</w:t>
            </w:r>
          </w:p>
        </w:tc>
        <w:tc>
          <w:tcPr>
            <w:tcW w:w="8237" w:type="dxa"/>
            <w:shd w:val="clear" w:color="auto" w:fill="D9D9D9"/>
            <w:vAlign w:val="center"/>
          </w:tcPr>
          <w:p>
            <w:pPr>
              <w:pStyle w:val="45"/>
              <w:rPr>
                <w:color w:val="000000"/>
              </w:rPr>
            </w:pPr>
            <w:r>
              <w:rPr>
                <w:rFonts w:hAnsi="宋体"/>
                <w:color w:val="000000"/>
              </w:rPr>
              <w:t>环</w:t>
            </w:r>
            <w:r>
              <w:rPr>
                <w:color w:val="000000"/>
              </w:rPr>
              <w:t xml:space="preserve"> </w:t>
            </w:r>
            <w:r>
              <w:rPr>
                <w:rFonts w:hAnsi="宋体"/>
                <w:color w:val="000000"/>
              </w:rPr>
              <w:t>境</w:t>
            </w:r>
            <w:r>
              <w:rPr>
                <w:color w:val="000000"/>
              </w:rPr>
              <w:t xml:space="preserve"> </w:t>
            </w:r>
            <w:r>
              <w:rPr>
                <w:rFonts w:hAnsi="宋体"/>
                <w:color w:val="000000"/>
              </w:rPr>
              <w:t>风</w:t>
            </w:r>
            <w:r>
              <w:rPr>
                <w:color w:val="000000"/>
              </w:rPr>
              <w:t xml:space="preserve"> </w:t>
            </w:r>
            <w:r>
              <w:rPr>
                <w:rFonts w:hAnsi="宋体"/>
                <w:color w:val="000000"/>
              </w:rPr>
              <w:t>险</w:t>
            </w:r>
            <w:r>
              <w:rPr>
                <w:color w:val="000000"/>
              </w:rPr>
              <w:t xml:space="preserve"> </w:t>
            </w:r>
            <w:r>
              <w:rPr>
                <w:rFonts w:hAnsi="宋体"/>
                <w:color w:val="000000"/>
              </w:rPr>
              <w:t>受</w:t>
            </w:r>
            <w:r>
              <w:rPr>
                <w:color w:val="000000"/>
              </w:rPr>
              <w:t xml:space="preserve"> </w:t>
            </w:r>
            <w:r>
              <w:rPr>
                <w:rFonts w:hAnsi="宋体"/>
                <w:color w:val="000000"/>
              </w:rPr>
              <w:t>体</w:t>
            </w:r>
            <w:r>
              <w:rPr>
                <w:color w:val="000000"/>
              </w:rPr>
              <w:t xml:space="preserve"> </w:t>
            </w:r>
            <w:r>
              <w:rPr>
                <w:rFonts w:hAnsi="宋体"/>
                <w:color w:val="000000"/>
              </w:rPr>
              <w:t>情</w:t>
            </w:r>
            <w:r>
              <w:rPr>
                <w:color w:val="000000"/>
              </w:rPr>
              <w:t xml:space="preserve"> </w:t>
            </w:r>
            <w:r>
              <w:rPr>
                <w:rFonts w:hAnsi="宋体"/>
                <w:color w:val="000000"/>
              </w:rPr>
              <w:t>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vAlign w:val="center"/>
          </w:tcPr>
          <w:p>
            <w:pPr>
              <w:pStyle w:val="45"/>
              <w:rPr>
                <w:color w:val="000000"/>
              </w:rPr>
            </w:pPr>
            <w:r>
              <w:rPr>
                <w:rFonts w:hAnsi="宋体"/>
                <w:color w:val="000000"/>
              </w:rPr>
              <w:t>类型</w:t>
            </w:r>
            <w:r>
              <w:rPr>
                <w:color w:val="000000"/>
              </w:rPr>
              <w:t>1</w:t>
            </w:r>
          </w:p>
          <w:p>
            <w:pPr>
              <w:pStyle w:val="45"/>
              <w:rPr>
                <w:color w:val="000000"/>
              </w:rPr>
            </w:pPr>
            <w:r>
              <w:rPr>
                <w:rFonts w:hAnsi="宋体"/>
                <w:color w:val="000000"/>
              </w:rPr>
              <w:t>（</w:t>
            </w:r>
            <w:r>
              <w:rPr>
                <w:color w:val="000000"/>
              </w:rPr>
              <w:t>E1</w:t>
            </w:r>
            <w:r>
              <w:rPr>
                <w:rFonts w:hAnsi="宋体"/>
                <w:color w:val="000000"/>
              </w:rPr>
              <w:t>）</w:t>
            </w:r>
          </w:p>
        </w:tc>
        <w:tc>
          <w:tcPr>
            <w:tcW w:w="8237" w:type="dxa"/>
          </w:tcPr>
          <w:p>
            <w:pPr>
              <w:pStyle w:val="45"/>
              <w:rPr>
                <w:color w:val="000000"/>
              </w:rPr>
            </w:pPr>
            <w:r>
              <w:rPr>
                <w:rFonts w:hAnsi="宋体"/>
                <w:color w:val="000000"/>
              </w:rPr>
              <w:t>企业周边</w:t>
            </w:r>
            <w:r>
              <w:rPr>
                <w:color w:val="000000"/>
              </w:rPr>
              <w:t>5</w:t>
            </w:r>
            <w:r>
              <w:rPr>
                <w:rFonts w:hAnsi="宋体"/>
                <w:color w:val="000000"/>
              </w:rPr>
              <w:t>公里范围内居住区、医疗卫生机构、文化教育机构、科研单位、行政机关、企事业单位、商场、公园等人口总数</w:t>
            </w:r>
            <w:r>
              <w:rPr>
                <w:color w:val="000000"/>
              </w:rPr>
              <w:t>5</w:t>
            </w:r>
            <w:r>
              <w:rPr>
                <w:rFonts w:hAnsi="宋体"/>
                <w:color w:val="000000"/>
              </w:rPr>
              <w:t>万以上，或企业周边</w:t>
            </w:r>
            <w:r>
              <w:rPr>
                <w:color w:val="000000"/>
              </w:rPr>
              <w:t>500</w:t>
            </w:r>
            <w:r>
              <w:rPr>
                <w:rFonts w:hAnsi="宋体"/>
                <w:color w:val="000000"/>
              </w:rPr>
              <w:t>米范围内人口总数</w:t>
            </w:r>
            <w:r>
              <w:rPr>
                <w:color w:val="000000"/>
              </w:rPr>
              <w:t>1000</w:t>
            </w:r>
            <w:r>
              <w:rPr>
                <w:rFonts w:hAnsi="宋体"/>
                <w:color w:val="000000"/>
              </w:rPr>
              <w:t>人以上，或企业周边</w:t>
            </w:r>
            <w:r>
              <w:rPr>
                <w:color w:val="000000"/>
              </w:rPr>
              <w:t>5</w:t>
            </w:r>
            <w:r>
              <w:rPr>
                <w:rFonts w:hAnsi="宋体"/>
                <w:color w:val="000000"/>
              </w:rPr>
              <w:t>公里涉及军事禁区、军事管理区、国家相关保密区域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vAlign w:val="center"/>
          </w:tcPr>
          <w:p>
            <w:pPr>
              <w:pStyle w:val="45"/>
              <w:rPr>
                <w:color w:val="000000"/>
              </w:rPr>
            </w:pPr>
            <w:r>
              <w:rPr>
                <w:rFonts w:hAnsi="宋体"/>
                <w:color w:val="000000"/>
              </w:rPr>
              <w:t>类型</w:t>
            </w:r>
            <w:r>
              <w:rPr>
                <w:color w:val="000000"/>
              </w:rPr>
              <w:t>2</w:t>
            </w:r>
          </w:p>
          <w:p>
            <w:pPr>
              <w:pStyle w:val="45"/>
              <w:rPr>
                <w:color w:val="000000"/>
              </w:rPr>
            </w:pPr>
            <w:r>
              <w:rPr>
                <w:rFonts w:hAnsi="宋体"/>
                <w:color w:val="000000"/>
              </w:rPr>
              <w:t>（</w:t>
            </w:r>
            <w:r>
              <w:rPr>
                <w:color w:val="000000"/>
              </w:rPr>
              <w:t>E2</w:t>
            </w:r>
            <w:r>
              <w:rPr>
                <w:rFonts w:hAnsi="宋体"/>
                <w:color w:val="000000"/>
              </w:rPr>
              <w:t>）</w:t>
            </w:r>
          </w:p>
        </w:tc>
        <w:tc>
          <w:tcPr>
            <w:tcW w:w="8237" w:type="dxa"/>
          </w:tcPr>
          <w:p>
            <w:pPr>
              <w:pStyle w:val="45"/>
              <w:rPr>
                <w:color w:val="000000"/>
              </w:rPr>
            </w:pPr>
            <w:r>
              <w:rPr>
                <w:rFonts w:hAnsi="宋体"/>
                <w:color w:val="000000"/>
              </w:rPr>
              <w:t>企业周边</w:t>
            </w:r>
            <w:r>
              <w:rPr>
                <w:color w:val="000000"/>
              </w:rPr>
              <w:t>5</w:t>
            </w:r>
            <w:r>
              <w:rPr>
                <w:rFonts w:hAnsi="宋体"/>
                <w:color w:val="000000"/>
              </w:rPr>
              <w:t>公里范围内居住区、医疗卫生机构、文化教育机构、科研单位、行政机关、企事业单位、商场、公园等人口总数</w:t>
            </w:r>
            <w:r>
              <w:rPr>
                <w:color w:val="000000"/>
              </w:rPr>
              <w:t>1</w:t>
            </w:r>
            <w:r>
              <w:rPr>
                <w:rFonts w:hAnsi="宋体"/>
                <w:color w:val="000000"/>
              </w:rPr>
              <w:t>万以上、</w:t>
            </w:r>
            <w:r>
              <w:rPr>
                <w:color w:val="000000"/>
              </w:rPr>
              <w:t>5</w:t>
            </w:r>
            <w:r>
              <w:rPr>
                <w:rFonts w:hAnsi="宋体"/>
                <w:color w:val="000000"/>
              </w:rPr>
              <w:t>万人以下，或企业周边</w:t>
            </w:r>
            <w:r>
              <w:rPr>
                <w:color w:val="000000"/>
              </w:rPr>
              <w:t>500</w:t>
            </w:r>
            <w:r>
              <w:rPr>
                <w:rFonts w:hAnsi="宋体"/>
                <w:color w:val="000000"/>
              </w:rPr>
              <w:t>米范围内人口总数</w:t>
            </w:r>
            <w:r>
              <w:rPr>
                <w:color w:val="000000"/>
              </w:rPr>
              <w:t>500</w:t>
            </w:r>
            <w:r>
              <w:rPr>
                <w:rFonts w:hAnsi="宋体"/>
                <w:color w:val="000000"/>
              </w:rPr>
              <w:t>人以上、</w:t>
            </w:r>
            <w:r>
              <w:rPr>
                <w:color w:val="000000"/>
              </w:rPr>
              <w:t>1000</w:t>
            </w:r>
            <w:r>
              <w:rPr>
                <w:rFonts w:hAnsi="宋体"/>
                <w:color w:val="000000"/>
              </w:rPr>
              <w:t>人以下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49" w:type="dxa"/>
            <w:vAlign w:val="center"/>
          </w:tcPr>
          <w:p>
            <w:pPr>
              <w:pStyle w:val="45"/>
              <w:rPr>
                <w:color w:val="000000"/>
              </w:rPr>
            </w:pPr>
            <w:r>
              <w:rPr>
                <w:rFonts w:hAnsi="宋体"/>
                <w:color w:val="000000"/>
              </w:rPr>
              <w:t>类型</w:t>
            </w:r>
            <w:r>
              <w:rPr>
                <w:color w:val="000000"/>
              </w:rPr>
              <w:t>3</w:t>
            </w:r>
          </w:p>
          <w:p>
            <w:pPr>
              <w:pStyle w:val="45"/>
              <w:rPr>
                <w:color w:val="000000"/>
              </w:rPr>
            </w:pPr>
            <w:r>
              <w:rPr>
                <w:rFonts w:hAnsi="宋体"/>
                <w:color w:val="000000"/>
              </w:rPr>
              <w:t>（</w:t>
            </w:r>
            <w:r>
              <w:rPr>
                <w:color w:val="000000"/>
              </w:rPr>
              <w:t>E3</w:t>
            </w:r>
            <w:r>
              <w:rPr>
                <w:rFonts w:hAnsi="宋体"/>
                <w:color w:val="000000"/>
              </w:rPr>
              <w:t>）</w:t>
            </w:r>
          </w:p>
        </w:tc>
        <w:tc>
          <w:tcPr>
            <w:tcW w:w="8237" w:type="dxa"/>
          </w:tcPr>
          <w:p>
            <w:pPr>
              <w:pStyle w:val="45"/>
              <w:rPr>
                <w:color w:val="000000"/>
              </w:rPr>
            </w:pPr>
            <w:r>
              <w:rPr>
                <w:rFonts w:hAnsi="宋体"/>
                <w:color w:val="000000"/>
              </w:rPr>
              <w:t>企业周边</w:t>
            </w:r>
            <w:r>
              <w:rPr>
                <w:color w:val="000000"/>
              </w:rPr>
              <w:t>5</w:t>
            </w:r>
            <w:r>
              <w:rPr>
                <w:rFonts w:hAnsi="宋体"/>
                <w:color w:val="000000"/>
              </w:rPr>
              <w:t>公里范围内居住区、医疗卫生机构、文化教育机构、科研单位、行政机关、企事业单位、商场、公园等人口总数</w:t>
            </w:r>
            <w:r>
              <w:rPr>
                <w:color w:val="000000"/>
              </w:rPr>
              <w:t>1</w:t>
            </w:r>
            <w:r>
              <w:rPr>
                <w:rFonts w:hAnsi="宋体"/>
                <w:color w:val="000000"/>
              </w:rPr>
              <w:t>万人以下，且企业周边</w:t>
            </w:r>
            <w:r>
              <w:rPr>
                <w:color w:val="000000"/>
              </w:rPr>
              <w:t>500</w:t>
            </w:r>
            <w:r>
              <w:rPr>
                <w:rFonts w:hAnsi="宋体"/>
                <w:color w:val="000000"/>
              </w:rPr>
              <w:t>米范围内人口总数</w:t>
            </w:r>
            <w:r>
              <w:rPr>
                <w:color w:val="000000"/>
              </w:rPr>
              <w:t>500</w:t>
            </w:r>
            <w:r>
              <w:rPr>
                <w:rFonts w:hAnsi="宋体"/>
                <w:color w:val="000000"/>
              </w:rPr>
              <w:t>人以下</w:t>
            </w:r>
          </w:p>
        </w:tc>
      </w:tr>
    </w:tbl>
    <w:p>
      <w:pPr>
        <w:pStyle w:val="46"/>
        <w:spacing w:before="72" w:after="72"/>
        <w:rPr>
          <w:color w:val="000000"/>
        </w:rPr>
      </w:pPr>
    </w:p>
    <w:p>
      <w:pPr>
        <w:pStyle w:val="5"/>
        <w:ind w:firstLine="482" w:firstLineChars="200"/>
        <w:rPr>
          <w:color w:val="000000"/>
        </w:rPr>
      </w:pPr>
      <w:bookmarkStart w:id="159" w:name="_Toc5781244"/>
      <w:bookmarkStart w:id="160" w:name="_Toc9002615"/>
      <w:bookmarkStart w:id="161" w:name="_Toc9002354"/>
      <w:r>
        <w:rPr>
          <w:color w:val="000000"/>
        </w:rPr>
        <w:t>7.2.4</w:t>
      </w:r>
      <w:r>
        <w:rPr>
          <w:rFonts w:hAnsi="宋体"/>
          <w:color w:val="000000"/>
        </w:rPr>
        <w:t>突发大气环境风险等级确定</w:t>
      </w:r>
      <w:bookmarkEnd w:id="159"/>
      <w:bookmarkEnd w:id="160"/>
      <w:bookmarkEnd w:id="161"/>
    </w:p>
    <w:p>
      <w:pPr>
        <w:pStyle w:val="35"/>
        <w:spacing w:line="240" w:lineRule="auto"/>
        <w:ind w:firstLine="480"/>
        <w:rPr>
          <w:rFonts w:cs="Times New Roman"/>
          <w:color w:val="000000"/>
        </w:rPr>
      </w:pPr>
      <w:r>
        <w:rPr>
          <w:rFonts w:hAnsi="宋体" w:cs="Times New Roman"/>
          <w:color w:val="000000"/>
        </w:rPr>
        <w:t>当企业周边环境风险受体属于类型</w:t>
      </w:r>
      <w:r>
        <w:rPr>
          <w:rFonts w:hint="eastAsia" w:cs="Times New Roman"/>
          <w:color w:val="000000"/>
        </w:rPr>
        <w:t>2</w:t>
      </w:r>
      <w:r>
        <w:rPr>
          <w:rFonts w:hAnsi="宋体" w:cs="Times New Roman"/>
          <w:color w:val="000000"/>
        </w:rPr>
        <w:t>（</w:t>
      </w:r>
      <w:r>
        <w:rPr>
          <w:rFonts w:cs="Times New Roman"/>
          <w:color w:val="000000"/>
        </w:rPr>
        <w:t>E</w:t>
      </w:r>
      <w:r>
        <w:rPr>
          <w:rFonts w:hint="eastAsia" w:cs="Times New Roman"/>
          <w:color w:val="000000"/>
        </w:rPr>
        <w:t>2</w:t>
      </w:r>
      <w:r>
        <w:rPr>
          <w:rFonts w:hAnsi="宋体" w:cs="Times New Roman"/>
          <w:color w:val="000000"/>
        </w:rPr>
        <w:t>）时，按下表确定风险等级。</w:t>
      </w:r>
    </w:p>
    <w:p>
      <w:pPr>
        <w:pStyle w:val="10"/>
        <w:keepNext/>
        <w:spacing w:afterLines="50"/>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 xml:space="preserve"> 7</w:t>
      </w:r>
      <w:r>
        <w:rPr>
          <w:rFonts w:hint="eastAsia" w:ascii="Times New Roman" w:hAnsi="Times New Roman" w:eastAsia="宋体" w:cs="Times New Roman"/>
          <w:b/>
          <w:color w:val="000000"/>
          <w:sz w:val="24"/>
          <w:szCs w:val="24"/>
        </w:rPr>
        <w:t>-4</w:t>
      </w:r>
      <w:r>
        <w:rPr>
          <w:rFonts w:ascii="Times New Roman" w:hAnsi="Times New Roman" w:eastAsia="宋体" w:cs="Times New Roman"/>
          <w:b/>
          <w:color w:val="000000"/>
          <w:sz w:val="24"/>
          <w:szCs w:val="24"/>
        </w:rPr>
        <w:t xml:space="preserve">  </w:t>
      </w:r>
      <w:r>
        <w:rPr>
          <w:rFonts w:ascii="Times New Roman" w:hAnsi="宋体" w:eastAsia="宋体" w:cs="Times New Roman"/>
          <w:b/>
          <w:color w:val="000000"/>
          <w:sz w:val="24"/>
          <w:szCs w:val="24"/>
        </w:rPr>
        <w:t>企业突发环境事件环境风险分级表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3"/>
        <w:gridCol w:w="2050"/>
        <w:gridCol w:w="1857"/>
        <w:gridCol w:w="1857"/>
        <w:gridCol w:w="1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vMerge w:val="restart"/>
            <w:shd w:val="clear" w:color="auto" w:fill="D9D9D9"/>
          </w:tcPr>
          <w:p>
            <w:pPr>
              <w:pStyle w:val="52"/>
              <w:spacing w:line="360" w:lineRule="auto"/>
              <w:rPr>
                <w:b/>
                <w:color w:val="000000"/>
                <w:sz w:val="24"/>
                <w:szCs w:val="24"/>
              </w:rPr>
            </w:pPr>
            <w:r>
              <w:rPr>
                <w:rFonts w:hAnsi="宋体"/>
                <w:b/>
                <w:color w:val="000000"/>
                <w:sz w:val="24"/>
                <w:szCs w:val="24"/>
              </w:rPr>
              <w:t>风险物质数量</w:t>
            </w:r>
          </w:p>
          <w:p>
            <w:pPr>
              <w:pStyle w:val="52"/>
              <w:spacing w:line="360" w:lineRule="auto"/>
              <w:rPr>
                <w:b/>
                <w:color w:val="000000"/>
                <w:sz w:val="24"/>
                <w:szCs w:val="24"/>
              </w:rPr>
            </w:pPr>
            <w:r>
              <w:rPr>
                <w:rFonts w:hAnsi="宋体"/>
                <w:b/>
                <w:color w:val="000000"/>
                <w:sz w:val="24"/>
                <w:szCs w:val="24"/>
              </w:rPr>
              <w:t>与临界量比（</w:t>
            </w:r>
            <w:r>
              <w:rPr>
                <w:b/>
                <w:color w:val="000000"/>
                <w:sz w:val="24"/>
                <w:szCs w:val="24"/>
              </w:rPr>
              <w:t>Q</w:t>
            </w:r>
            <w:r>
              <w:rPr>
                <w:rFonts w:hAnsi="宋体"/>
                <w:b/>
                <w:color w:val="000000"/>
                <w:sz w:val="24"/>
                <w:szCs w:val="24"/>
              </w:rPr>
              <w:t>）</w:t>
            </w:r>
          </w:p>
        </w:tc>
        <w:tc>
          <w:tcPr>
            <w:tcW w:w="7623" w:type="dxa"/>
            <w:gridSpan w:val="4"/>
            <w:shd w:val="clear" w:color="auto" w:fill="D9D9D9"/>
          </w:tcPr>
          <w:p>
            <w:pPr>
              <w:pStyle w:val="52"/>
              <w:spacing w:line="360" w:lineRule="auto"/>
              <w:rPr>
                <w:b/>
                <w:color w:val="000000"/>
                <w:sz w:val="24"/>
                <w:szCs w:val="24"/>
              </w:rPr>
            </w:pPr>
            <w:r>
              <w:rPr>
                <w:rFonts w:hAnsi="宋体"/>
                <w:b/>
                <w:color w:val="000000"/>
                <w:sz w:val="24"/>
                <w:szCs w:val="24"/>
              </w:rPr>
              <w:t>工艺过程与环境风险控制水平（</w:t>
            </w:r>
            <w:r>
              <w:rPr>
                <w:b/>
                <w:color w:val="000000"/>
                <w:sz w:val="24"/>
                <w:szCs w:val="24"/>
              </w:rPr>
              <w:t>M</w:t>
            </w:r>
            <w:r>
              <w:rPr>
                <w:rFonts w:hAnsi="宋体"/>
                <w:b/>
                <w:color w:val="00000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vMerge w:val="continue"/>
            <w:shd w:val="clear" w:color="auto" w:fill="D9D9D9"/>
          </w:tcPr>
          <w:p>
            <w:pPr>
              <w:pStyle w:val="52"/>
              <w:spacing w:line="360" w:lineRule="auto"/>
              <w:rPr>
                <w:b/>
                <w:color w:val="000000"/>
                <w:sz w:val="24"/>
                <w:szCs w:val="24"/>
              </w:rPr>
            </w:pPr>
          </w:p>
        </w:tc>
        <w:tc>
          <w:tcPr>
            <w:tcW w:w="2050" w:type="dxa"/>
            <w:tcBorders>
              <w:bottom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M1</w:t>
            </w:r>
            <w:r>
              <w:rPr>
                <w:rFonts w:hAnsi="宋体"/>
                <w:b/>
                <w:color w:val="000000"/>
                <w:sz w:val="24"/>
                <w:szCs w:val="24"/>
              </w:rPr>
              <w:t>类水平</w:t>
            </w:r>
          </w:p>
        </w:tc>
        <w:tc>
          <w:tcPr>
            <w:tcW w:w="1857" w:type="dxa"/>
            <w:tcBorders>
              <w:bottom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M2</w:t>
            </w:r>
            <w:r>
              <w:rPr>
                <w:rFonts w:hAnsi="宋体"/>
                <w:b/>
                <w:color w:val="000000"/>
                <w:sz w:val="24"/>
                <w:szCs w:val="24"/>
              </w:rPr>
              <w:t>类水平</w:t>
            </w:r>
          </w:p>
        </w:tc>
        <w:tc>
          <w:tcPr>
            <w:tcW w:w="1857" w:type="dxa"/>
            <w:tcBorders>
              <w:bottom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M3</w:t>
            </w:r>
            <w:r>
              <w:rPr>
                <w:rFonts w:hAnsi="宋体"/>
                <w:b/>
                <w:color w:val="000000"/>
                <w:sz w:val="24"/>
                <w:szCs w:val="24"/>
              </w:rPr>
              <w:t>类水平</w:t>
            </w:r>
          </w:p>
        </w:tc>
        <w:tc>
          <w:tcPr>
            <w:tcW w:w="1859" w:type="dxa"/>
            <w:tcBorders>
              <w:bottom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M4</w:t>
            </w:r>
            <w:r>
              <w:rPr>
                <w:rFonts w:hAnsi="宋体"/>
                <w:b/>
                <w:color w:val="000000"/>
                <w:sz w:val="24"/>
                <w:szCs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shd w:val="clear" w:color="auto" w:fill="auto"/>
          </w:tcPr>
          <w:p>
            <w:pPr>
              <w:pStyle w:val="52"/>
              <w:spacing w:line="360" w:lineRule="auto"/>
              <w:rPr>
                <w:color w:val="000000"/>
                <w:sz w:val="24"/>
                <w:szCs w:val="24"/>
              </w:rPr>
            </w:pPr>
            <w:r>
              <w:rPr>
                <w:color w:val="000000"/>
                <w:sz w:val="24"/>
                <w:szCs w:val="24"/>
              </w:rPr>
              <w:t>1≤ Q</w:t>
            </w:r>
            <w:r>
              <w:rPr>
                <w:rFonts w:hAnsi="宋体"/>
                <w:color w:val="000000"/>
                <w:sz w:val="24"/>
                <w:szCs w:val="24"/>
              </w:rPr>
              <w:t>＜</w:t>
            </w:r>
            <w:r>
              <w:rPr>
                <w:color w:val="000000"/>
                <w:sz w:val="24"/>
                <w:szCs w:val="24"/>
              </w:rPr>
              <w:t>10</w:t>
            </w:r>
          </w:p>
        </w:tc>
        <w:tc>
          <w:tcPr>
            <w:tcW w:w="2050" w:type="dxa"/>
            <w:tcBorders>
              <w:bottom w:val="single" w:color="auto" w:sz="4" w:space="0"/>
            </w:tcBorders>
            <w:shd w:val="clear" w:color="auto" w:fill="FFFFFF"/>
          </w:tcPr>
          <w:p>
            <w:pPr>
              <w:pStyle w:val="52"/>
              <w:spacing w:line="360" w:lineRule="auto"/>
              <w:rPr>
                <w:color w:val="000000"/>
                <w:sz w:val="24"/>
                <w:szCs w:val="24"/>
              </w:rPr>
            </w:pPr>
            <w:r>
              <w:rPr>
                <w:rFonts w:hAnsi="宋体"/>
                <w:color w:val="000000"/>
                <w:sz w:val="24"/>
                <w:szCs w:val="24"/>
              </w:rPr>
              <w:t>一般环境风险</w:t>
            </w:r>
          </w:p>
        </w:tc>
        <w:tc>
          <w:tcPr>
            <w:tcW w:w="1857" w:type="dxa"/>
            <w:shd w:val="clear" w:color="auto" w:fill="FFFFFF"/>
          </w:tcPr>
          <w:p>
            <w:pPr>
              <w:pStyle w:val="52"/>
              <w:spacing w:line="360" w:lineRule="auto"/>
              <w:rPr>
                <w:color w:val="000000"/>
                <w:sz w:val="24"/>
                <w:szCs w:val="24"/>
              </w:rPr>
            </w:pPr>
            <w:r>
              <w:rPr>
                <w:rFonts w:hAnsi="宋体"/>
                <w:color w:val="000000"/>
                <w:sz w:val="24"/>
                <w:szCs w:val="24"/>
              </w:rPr>
              <w:t>较大环境风险</w:t>
            </w:r>
          </w:p>
        </w:tc>
        <w:tc>
          <w:tcPr>
            <w:tcW w:w="1857" w:type="dxa"/>
            <w:tcBorders>
              <w:bottom w:val="single" w:color="auto" w:sz="4" w:space="0"/>
            </w:tcBorders>
            <w:shd w:val="clear" w:color="auto" w:fill="FFFFFF"/>
          </w:tcPr>
          <w:p>
            <w:pPr>
              <w:pStyle w:val="52"/>
              <w:spacing w:line="360" w:lineRule="auto"/>
              <w:rPr>
                <w:color w:val="000000"/>
                <w:sz w:val="24"/>
                <w:szCs w:val="24"/>
              </w:rPr>
            </w:pPr>
            <w:r>
              <w:rPr>
                <w:rFonts w:hAnsi="宋体"/>
                <w:color w:val="000000"/>
                <w:sz w:val="24"/>
                <w:szCs w:val="24"/>
              </w:rPr>
              <w:t>较大环境风险</w:t>
            </w:r>
          </w:p>
        </w:tc>
        <w:tc>
          <w:tcPr>
            <w:tcW w:w="1859" w:type="dxa"/>
            <w:shd w:val="clear" w:color="auto" w:fill="FFFFFF"/>
          </w:tcPr>
          <w:p>
            <w:pPr>
              <w:pStyle w:val="52"/>
              <w:spacing w:line="360" w:lineRule="auto"/>
              <w:rPr>
                <w:color w:val="000000"/>
                <w:sz w:val="24"/>
                <w:szCs w:val="24"/>
              </w:rPr>
            </w:pPr>
            <w:r>
              <w:rPr>
                <w:rFonts w:hAnsi="宋体"/>
                <w:color w:val="000000"/>
                <w:sz w:val="24"/>
                <w:szCs w:val="24"/>
              </w:rPr>
              <w:t>重大环境风险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663" w:type="dxa"/>
            <w:shd w:val="clear" w:color="auto" w:fill="auto"/>
          </w:tcPr>
          <w:p>
            <w:pPr>
              <w:pStyle w:val="52"/>
              <w:spacing w:line="360" w:lineRule="auto"/>
              <w:rPr>
                <w:color w:val="000000"/>
                <w:sz w:val="24"/>
                <w:szCs w:val="24"/>
              </w:rPr>
            </w:pPr>
            <w:r>
              <w:rPr>
                <w:color w:val="000000"/>
                <w:sz w:val="24"/>
                <w:szCs w:val="24"/>
              </w:rPr>
              <w:t xml:space="preserve">10≤ Q </w:t>
            </w:r>
            <w:r>
              <w:rPr>
                <w:rFonts w:hAnsi="宋体"/>
                <w:color w:val="000000"/>
                <w:sz w:val="24"/>
                <w:szCs w:val="24"/>
              </w:rPr>
              <w:t>＜</w:t>
            </w:r>
            <w:r>
              <w:rPr>
                <w:color w:val="000000"/>
                <w:sz w:val="24"/>
                <w:szCs w:val="24"/>
              </w:rPr>
              <w:t>100</w:t>
            </w:r>
          </w:p>
        </w:tc>
        <w:tc>
          <w:tcPr>
            <w:tcW w:w="2050" w:type="dxa"/>
            <w:shd w:val="clear" w:color="auto" w:fill="FFFFFF"/>
          </w:tcPr>
          <w:p>
            <w:pPr>
              <w:pStyle w:val="52"/>
              <w:spacing w:line="360" w:lineRule="auto"/>
              <w:rPr>
                <w:color w:val="000000"/>
                <w:sz w:val="24"/>
                <w:szCs w:val="24"/>
              </w:rPr>
            </w:pPr>
            <w:r>
              <w:rPr>
                <w:rFonts w:hAnsi="宋体"/>
                <w:color w:val="000000"/>
                <w:sz w:val="24"/>
                <w:szCs w:val="24"/>
              </w:rPr>
              <w:t>较大环境风险</w:t>
            </w:r>
          </w:p>
        </w:tc>
        <w:tc>
          <w:tcPr>
            <w:tcW w:w="1857" w:type="dxa"/>
            <w:tcBorders>
              <w:bottom w:val="single" w:color="auto" w:sz="4" w:space="0"/>
            </w:tcBorders>
            <w:shd w:val="clear" w:color="auto" w:fill="FFFFFF"/>
          </w:tcPr>
          <w:p>
            <w:pPr>
              <w:pStyle w:val="52"/>
              <w:spacing w:line="360" w:lineRule="auto"/>
              <w:rPr>
                <w:color w:val="000000"/>
                <w:sz w:val="24"/>
                <w:szCs w:val="24"/>
              </w:rPr>
            </w:pPr>
            <w:r>
              <w:rPr>
                <w:rFonts w:hAnsi="宋体"/>
                <w:color w:val="000000"/>
                <w:sz w:val="24"/>
                <w:szCs w:val="24"/>
              </w:rPr>
              <w:t>较大环境风险</w:t>
            </w:r>
          </w:p>
        </w:tc>
        <w:tc>
          <w:tcPr>
            <w:tcW w:w="1857" w:type="dxa"/>
            <w:shd w:val="clear" w:color="auto" w:fill="FFFFFF"/>
          </w:tcPr>
          <w:p>
            <w:pPr>
              <w:pStyle w:val="52"/>
              <w:spacing w:line="360" w:lineRule="auto"/>
              <w:rPr>
                <w:color w:val="000000"/>
                <w:sz w:val="24"/>
                <w:szCs w:val="24"/>
              </w:rPr>
            </w:pPr>
            <w:r>
              <w:rPr>
                <w:rFonts w:hAnsi="宋体"/>
                <w:color w:val="000000"/>
                <w:sz w:val="24"/>
                <w:szCs w:val="24"/>
              </w:rPr>
              <w:t>重大环境风险</w:t>
            </w:r>
          </w:p>
        </w:tc>
        <w:tc>
          <w:tcPr>
            <w:tcW w:w="1859" w:type="dxa"/>
            <w:shd w:val="clear" w:color="auto" w:fill="FFFFFF"/>
          </w:tcPr>
          <w:p>
            <w:pPr>
              <w:pStyle w:val="52"/>
              <w:spacing w:line="360" w:lineRule="auto"/>
              <w:rPr>
                <w:color w:val="000000"/>
                <w:sz w:val="24"/>
                <w:szCs w:val="24"/>
              </w:rPr>
            </w:pPr>
            <w:r>
              <w:rPr>
                <w:rFonts w:hAnsi="宋体"/>
                <w:color w:val="000000"/>
                <w:sz w:val="24"/>
                <w:szCs w:val="24"/>
              </w:rPr>
              <w:t>重大环境风险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shd w:val="clear" w:color="auto" w:fill="auto"/>
          </w:tcPr>
          <w:p>
            <w:pPr>
              <w:pStyle w:val="52"/>
              <w:spacing w:line="360" w:lineRule="auto"/>
              <w:rPr>
                <w:color w:val="000000"/>
                <w:sz w:val="24"/>
                <w:szCs w:val="24"/>
              </w:rPr>
            </w:pPr>
            <w:r>
              <w:rPr>
                <w:color w:val="000000"/>
                <w:sz w:val="24"/>
                <w:szCs w:val="24"/>
              </w:rPr>
              <w:t>100 ≤ Q</w:t>
            </w:r>
          </w:p>
        </w:tc>
        <w:tc>
          <w:tcPr>
            <w:tcW w:w="2050" w:type="dxa"/>
            <w:shd w:val="clear" w:color="auto" w:fill="FFFFFF"/>
          </w:tcPr>
          <w:p>
            <w:pPr>
              <w:pStyle w:val="52"/>
              <w:spacing w:line="360" w:lineRule="auto"/>
              <w:rPr>
                <w:color w:val="000000"/>
                <w:sz w:val="24"/>
                <w:szCs w:val="24"/>
              </w:rPr>
            </w:pPr>
            <w:r>
              <w:rPr>
                <w:rFonts w:hAnsi="宋体"/>
                <w:color w:val="000000"/>
                <w:sz w:val="24"/>
                <w:szCs w:val="24"/>
              </w:rPr>
              <w:t>重大环境风险</w:t>
            </w:r>
          </w:p>
        </w:tc>
        <w:tc>
          <w:tcPr>
            <w:tcW w:w="1857" w:type="dxa"/>
            <w:shd w:val="clear" w:color="auto" w:fill="FFFFFF"/>
          </w:tcPr>
          <w:p>
            <w:pPr>
              <w:pStyle w:val="52"/>
              <w:spacing w:line="360" w:lineRule="auto"/>
              <w:rPr>
                <w:color w:val="000000"/>
                <w:sz w:val="24"/>
                <w:szCs w:val="24"/>
              </w:rPr>
            </w:pPr>
            <w:r>
              <w:rPr>
                <w:rFonts w:hAnsi="宋体"/>
                <w:color w:val="000000"/>
                <w:sz w:val="24"/>
                <w:szCs w:val="24"/>
              </w:rPr>
              <w:t>重大环境风险</w:t>
            </w:r>
          </w:p>
        </w:tc>
        <w:tc>
          <w:tcPr>
            <w:tcW w:w="1857" w:type="dxa"/>
            <w:shd w:val="clear" w:color="auto" w:fill="FFFFFF"/>
          </w:tcPr>
          <w:p>
            <w:pPr>
              <w:pStyle w:val="52"/>
              <w:spacing w:line="360" w:lineRule="auto"/>
              <w:rPr>
                <w:color w:val="000000"/>
                <w:sz w:val="24"/>
                <w:szCs w:val="24"/>
              </w:rPr>
            </w:pPr>
            <w:r>
              <w:rPr>
                <w:rFonts w:hAnsi="宋体"/>
                <w:color w:val="000000"/>
                <w:sz w:val="24"/>
                <w:szCs w:val="24"/>
              </w:rPr>
              <w:t>重大环境风险</w:t>
            </w:r>
          </w:p>
        </w:tc>
        <w:tc>
          <w:tcPr>
            <w:tcW w:w="1859" w:type="dxa"/>
            <w:shd w:val="clear" w:color="auto" w:fill="FFFFFF"/>
          </w:tcPr>
          <w:p>
            <w:pPr>
              <w:pStyle w:val="52"/>
              <w:spacing w:line="360" w:lineRule="auto"/>
              <w:rPr>
                <w:color w:val="000000"/>
                <w:sz w:val="24"/>
                <w:szCs w:val="24"/>
              </w:rPr>
            </w:pPr>
            <w:r>
              <w:rPr>
                <w:rFonts w:hAnsi="宋体"/>
                <w:color w:val="000000"/>
                <w:sz w:val="24"/>
                <w:szCs w:val="24"/>
              </w:rPr>
              <w:t>重大环境风险</w:t>
            </w:r>
          </w:p>
        </w:tc>
      </w:tr>
    </w:tbl>
    <w:p>
      <w:pPr>
        <w:pStyle w:val="46"/>
        <w:spacing w:before="72" w:after="72"/>
        <w:rPr>
          <w:color w:val="000000"/>
        </w:rPr>
      </w:pPr>
    </w:p>
    <w:p>
      <w:pPr>
        <w:pStyle w:val="35"/>
        <w:ind w:firstLine="480"/>
        <w:rPr>
          <w:rFonts w:cs="Times New Roman"/>
          <w:color w:val="000000"/>
        </w:rPr>
      </w:pPr>
      <w:r>
        <w:rPr>
          <w:rFonts w:hAnsi="宋体" w:cs="Times New Roman"/>
          <w:color w:val="000000"/>
        </w:rPr>
        <w:t>由前述可知，</w:t>
      </w:r>
      <w:r>
        <w:rPr>
          <w:rFonts w:hint="eastAsia" w:hAnsi="宋体" w:cs="Times New Roman"/>
          <w:color w:val="000000"/>
        </w:rPr>
        <w:t>本污水处理厂</w:t>
      </w:r>
      <w:r>
        <w:rPr>
          <w:rFonts w:hAnsi="宋体" w:cs="Times New Roman"/>
          <w:color w:val="000000"/>
        </w:rPr>
        <w:t>大气环境风险物质数量与临界量比</w:t>
      </w:r>
      <w:r>
        <w:rPr>
          <w:rFonts w:cs="Times New Roman"/>
          <w:color w:val="000000"/>
        </w:rPr>
        <w:t xml:space="preserve"> Q</w:t>
      </w:r>
      <w:r>
        <w:rPr>
          <w:rFonts w:hAnsi="宋体" w:cs="Times New Roman"/>
          <w:color w:val="000000"/>
          <w:vertAlign w:val="subscript"/>
        </w:rPr>
        <w:t>大气</w:t>
      </w:r>
      <w:r>
        <w:rPr>
          <w:rFonts w:cs="Times New Roman"/>
          <w:color w:val="000000"/>
        </w:rPr>
        <w:t>=</w:t>
      </w:r>
      <w:r>
        <w:rPr>
          <w:rFonts w:hint="eastAsia" w:cs="Times New Roman"/>
          <w:color w:val="000000"/>
        </w:rPr>
        <w:t>9</w:t>
      </w:r>
      <w:r>
        <w:rPr>
          <w:rFonts w:hAnsi="宋体" w:cs="Times New Roman"/>
          <w:color w:val="000000"/>
        </w:rPr>
        <w:t>，</w:t>
      </w:r>
      <w:r>
        <w:rPr>
          <w:rFonts w:cs="Times New Roman"/>
          <w:color w:val="000000"/>
        </w:rPr>
        <w:t>Q</w:t>
      </w:r>
      <w:r>
        <w:rPr>
          <w:rFonts w:hint="eastAsia" w:cs="Times New Roman"/>
          <w:color w:val="000000"/>
        </w:rPr>
        <w:t>1</w:t>
      </w:r>
      <w:r>
        <w:rPr>
          <w:rFonts w:hAnsi="宋体" w:cs="Times New Roman"/>
          <w:color w:val="000000"/>
        </w:rPr>
        <w:t>水平，生产工艺过程与环境风险控制水平为</w:t>
      </w:r>
      <w:r>
        <w:rPr>
          <w:rFonts w:cs="Times New Roman"/>
          <w:color w:val="000000"/>
        </w:rPr>
        <w:t>M</w:t>
      </w:r>
      <w:r>
        <w:rPr>
          <w:rFonts w:hint="eastAsia" w:cs="Times New Roman"/>
          <w:color w:val="000000"/>
        </w:rPr>
        <w:t>1</w:t>
      </w:r>
      <w:r>
        <w:rPr>
          <w:rFonts w:hAnsi="宋体" w:cs="Times New Roman"/>
          <w:color w:val="000000"/>
        </w:rPr>
        <w:t>类水平，环境风险受体水平为</w:t>
      </w:r>
      <w:r>
        <w:rPr>
          <w:rFonts w:cs="Times New Roman"/>
          <w:color w:val="000000"/>
        </w:rPr>
        <w:t>E</w:t>
      </w:r>
      <w:r>
        <w:rPr>
          <w:rFonts w:hint="eastAsia" w:cs="Times New Roman"/>
          <w:color w:val="000000"/>
        </w:rPr>
        <w:t>2</w:t>
      </w:r>
      <w:r>
        <w:rPr>
          <w:rFonts w:hAnsi="宋体" w:cs="Times New Roman"/>
          <w:color w:val="000000"/>
        </w:rPr>
        <w:t>类水平。因此，企业突发大气环境风险等级确定为</w:t>
      </w:r>
      <w:r>
        <w:rPr>
          <w:rFonts w:cs="Times New Roman"/>
          <w:color w:val="000000"/>
        </w:rPr>
        <w:t>“</w:t>
      </w:r>
      <w:r>
        <w:rPr>
          <w:rFonts w:hint="eastAsia" w:hAnsi="宋体" w:cs="Times New Roman"/>
          <w:color w:val="000000"/>
        </w:rPr>
        <w:t>一般</w:t>
      </w:r>
      <w:r>
        <w:rPr>
          <w:rFonts w:cs="Times New Roman"/>
          <w:color w:val="000000"/>
        </w:rPr>
        <w:t>-</w:t>
      </w:r>
      <w:r>
        <w:rPr>
          <w:rFonts w:hAnsi="宋体" w:cs="Times New Roman"/>
          <w:color w:val="000000"/>
        </w:rPr>
        <w:t>大气</w:t>
      </w:r>
      <w:r>
        <w:rPr>
          <w:rFonts w:hint="eastAsia" w:hAnsi="宋体" w:cs="Times New Roman"/>
          <w:color w:val="000000"/>
        </w:rPr>
        <w:t>（</w:t>
      </w:r>
      <w:r>
        <w:rPr>
          <w:rFonts w:cs="Times New Roman"/>
          <w:color w:val="000000"/>
        </w:rPr>
        <w:t>Q</w:t>
      </w:r>
      <w:r>
        <w:rPr>
          <w:rFonts w:hint="eastAsia" w:cs="Times New Roman"/>
          <w:color w:val="000000"/>
        </w:rPr>
        <w:t>1-M1-E2）</w:t>
      </w:r>
      <w:r>
        <w:rPr>
          <w:rFonts w:cs="Times New Roman"/>
          <w:color w:val="000000"/>
        </w:rPr>
        <w:t>”</w:t>
      </w:r>
      <w:r>
        <w:rPr>
          <w:rFonts w:hAnsi="宋体" w:cs="Times New Roman"/>
          <w:color w:val="000000"/>
        </w:rPr>
        <w:t>。</w:t>
      </w:r>
    </w:p>
    <w:p>
      <w:pPr>
        <w:pStyle w:val="19"/>
        <w:spacing w:line="360" w:lineRule="auto"/>
        <w:ind w:firstLine="482" w:firstLineChars="200"/>
        <w:jc w:val="both"/>
        <w:rPr>
          <w:rFonts w:ascii="宋体" w:hAnsi="宋体" w:cs="宋体"/>
          <w:b/>
          <w:bCs/>
        </w:rPr>
      </w:pPr>
      <w:bookmarkStart w:id="162" w:name="_Toc5780684"/>
      <w:bookmarkStart w:id="163" w:name="_Toc9002355"/>
      <w:bookmarkStart w:id="164" w:name="_Toc9002616"/>
      <w:bookmarkStart w:id="165" w:name="_Toc509220200"/>
      <w:bookmarkStart w:id="166" w:name="_Toc5781245"/>
      <w:r>
        <w:rPr>
          <w:rFonts w:hint="eastAsia" w:ascii="宋体" w:hAnsi="宋体" w:cs="宋体"/>
          <w:b/>
          <w:bCs/>
        </w:rPr>
        <w:t>7.3突发水环境风险等级确定</w:t>
      </w:r>
      <w:bookmarkEnd w:id="162"/>
      <w:bookmarkEnd w:id="163"/>
      <w:bookmarkEnd w:id="164"/>
      <w:bookmarkEnd w:id="165"/>
      <w:bookmarkEnd w:id="166"/>
    </w:p>
    <w:p>
      <w:pPr>
        <w:pStyle w:val="5"/>
        <w:ind w:firstLine="482" w:firstLineChars="200"/>
        <w:rPr>
          <w:color w:val="000000"/>
        </w:rPr>
      </w:pPr>
      <w:bookmarkStart w:id="167" w:name="_Toc9002617"/>
      <w:bookmarkStart w:id="168" w:name="_Toc9002356"/>
      <w:bookmarkStart w:id="169" w:name="_Toc5781246"/>
      <w:r>
        <w:rPr>
          <w:rFonts w:hint="eastAsia" w:hAnsi="宋体"/>
          <w:color w:val="000000"/>
        </w:rPr>
        <w:t>7.3.1</w:t>
      </w:r>
      <w:r>
        <w:rPr>
          <w:rFonts w:hAnsi="宋体"/>
          <w:color w:val="000000"/>
        </w:rPr>
        <w:t>水环境</w:t>
      </w:r>
      <w:r>
        <w:rPr>
          <w:color w:val="000000"/>
        </w:rPr>
        <w:t>Q</w:t>
      </w:r>
      <w:r>
        <w:rPr>
          <w:rFonts w:hAnsi="宋体"/>
          <w:color w:val="000000"/>
        </w:rPr>
        <w:t>值确定</w:t>
      </w:r>
      <w:bookmarkEnd w:id="167"/>
      <w:bookmarkEnd w:id="168"/>
      <w:bookmarkEnd w:id="169"/>
    </w:p>
    <w:p>
      <w:pPr>
        <w:pStyle w:val="35"/>
        <w:ind w:firstLine="480"/>
        <w:rPr>
          <w:rFonts w:cs="Times New Roman"/>
          <w:color w:val="000000"/>
        </w:rPr>
      </w:pPr>
      <w:r>
        <w:rPr>
          <w:rFonts w:hAnsi="宋体" w:cs="Times New Roman"/>
          <w:color w:val="000000"/>
        </w:rPr>
        <w:t>根据企业</w:t>
      </w:r>
      <w:r>
        <w:rPr>
          <w:rFonts w:cs="Times New Roman"/>
          <w:color w:val="000000"/>
        </w:rPr>
        <w:t>Q</w:t>
      </w:r>
      <w:r>
        <w:rPr>
          <w:rFonts w:hAnsi="宋体" w:cs="Times New Roman"/>
          <w:color w:val="000000"/>
        </w:rPr>
        <w:t>值计算，</w:t>
      </w:r>
      <w:r>
        <w:rPr>
          <w:rFonts w:cs="Times New Roman"/>
          <w:color w:val="000000"/>
          <w:lang w:val="zh-CN"/>
        </w:rPr>
        <w:t>Q</w:t>
      </w:r>
      <w:r>
        <w:rPr>
          <w:rFonts w:hAnsi="宋体" w:cs="Times New Roman"/>
          <w:color w:val="000000"/>
          <w:vertAlign w:val="subscript"/>
          <w:lang w:val="zh-CN"/>
        </w:rPr>
        <w:t>水</w:t>
      </w:r>
      <w:r>
        <w:rPr>
          <w:rFonts w:cs="Times New Roman"/>
          <w:color w:val="000000"/>
          <w:lang w:val="zh-CN"/>
        </w:rPr>
        <w:t>=</w:t>
      </w:r>
      <w:r>
        <w:rPr>
          <w:rFonts w:hint="eastAsia" w:cs="Times New Roman"/>
          <w:color w:val="000000"/>
        </w:rPr>
        <w:t>9</w:t>
      </w:r>
      <w:r>
        <w:rPr>
          <w:rFonts w:hAnsi="宋体" w:cs="Times New Roman"/>
          <w:color w:val="000000"/>
          <w:lang w:val="zh-CN"/>
        </w:rPr>
        <w:t>。</w:t>
      </w:r>
    </w:p>
    <w:p>
      <w:pPr>
        <w:pStyle w:val="5"/>
        <w:ind w:firstLine="482" w:firstLineChars="200"/>
        <w:rPr>
          <w:color w:val="000000"/>
        </w:rPr>
      </w:pPr>
      <w:bookmarkStart w:id="170" w:name="_Toc9002357"/>
      <w:bookmarkStart w:id="171" w:name="_Toc9002618"/>
      <w:bookmarkStart w:id="172" w:name="_Toc5781247"/>
      <w:r>
        <w:rPr>
          <w:rFonts w:hint="eastAsia" w:hAnsi="宋体"/>
          <w:color w:val="000000"/>
        </w:rPr>
        <w:t>7.3.2</w:t>
      </w:r>
      <w:r>
        <w:rPr>
          <w:rFonts w:hAnsi="宋体"/>
          <w:color w:val="000000"/>
        </w:rPr>
        <w:t>水环境</w:t>
      </w:r>
      <w:r>
        <w:rPr>
          <w:color w:val="000000"/>
        </w:rPr>
        <w:t>M</w:t>
      </w:r>
      <w:r>
        <w:rPr>
          <w:rFonts w:hAnsi="宋体"/>
          <w:color w:val="000000"/>
        </w:rPr>
        <w:t>值确定</w:t>
      </w:r>
      <w:bookmarkEnd w:id="170"/>
      <w:bookmarkEnd w:id="171"/>
      <w:bookmarkEnd w:id="172"/>
    </w:p>
    <w:p>
      <w:pPr>
        <w:pStyle w:val="7"/>
        <w:spacing w:before="120" w:after="120"/>
        <w:ind w:firstLine="481" w:firstLineChars="171"/>
        <w:rPr>
          <w:rFonts w:ascii="Times New Roman" w:hAnsi="Times New Roman"/>
          <w:color w:val="000000"/>
        </w:rPr>
      </w:pPr>
      <w:r>
        <w:rPr>
          <w:rFonts w:ascii="Times New Roman" w:hAnsi="宋体"/>
          <w:color w:val="000000"/>
        </w:rPr>
        <w:t>生产工艺过程评分</w:t>
      </w:r>
    </w:p>
    <w:p>
      <w:pPr>
        <w:pStyle w:val="35"/>
        <w:ind w:firstLine="480"/>
        <w:rPr>
          <w:rFonts w:cs="Times New Roman"/>
          <w:color w:val="000000"/>
        </w:rPr>
      </w:pPr>
      <w:r>
        <w:rPr>
          <w:rFonts w:hAnsi="宋体" w:cs="Times New Roman"/>
          <w:color w:val="000000"/>
        </w:rPr>
        <w:t>根据企业生产工艺过程评分表，企业生产工艺过程评分为</w:t>
      </w:r>
      <w:r>
        <w:rPr>
          <w:rFonts w:hint="eastAsia" w:cs="Times New Roman"/>
          <w:color w:val="000000"/>
        </w:rPr>
        <w:t>0</w:t>
      </w:r>
      <w:r>
        <w:rPr>
          <w:rFonts w:hAnsi="宋体" w:cs="Times New Roman"/>
          <w:color w:val="000000"/>
        </w:rPr>
        <w:t>。</w:t>
      </w:r>
    </w:p>
    <w:p>
      <w:pPr>
        <w:pStyle w:val="7"/>
        <w:spacing w:before="120" w:after="120"/>
        <w:ind w:firstLine="481" w:firstLineChars="171"/>
        <w:rPr>
          <w:rFonts w:ascii="Times New Roman" w:hAnsi="Times New Roman"/>
          <w:color w:val="000000"/>
        </w:rPr>
      </w:pPr>
      <w:r>
        <w:rPr>
          <w:rFonts w:ascii="Times New Roman" w:hAnsi="宋体"/>
          <w:color w:val="000000"/>
        </w:rPr>
        <w:t>企业水环境风险措施和突发水环境事件发生情况评分</w:t>
      </w:r>
    </w:p>
    <w:p>
      <w:pPr>
        <w:pStyle w:val="35"/>
        <w:ind w:firstLine="480"/>
        <w:rPr>
          <w:rFonts w:cs="Times New Roman"/>
          <w:color w:val="000000"/>
        </w:rPr>
      </w:pPr>
      <w:r>
        <w:rPr>
          <w:rFonts w:hAnsi="宋体" w:cs="Times New Roman"/>
          <w:color w:val="000000"/>
        </w:rPr>
        <w:t>按照下表评估企业水环境风险措施和突发水环境事件发生情况。</w:t>
      </w:r>
    </w:p>
    <w:p>
      <w:pPr>
        <w:pStyle w:val="35"/>
        <w:ind w:firstLine="480"/>
        <w:rPr>
          <w:rFonts w:cs="Times New Roman"/>
          <w:color w:val="000000"/>
        </w:rPr>
      </w:pPr>
    </w:p>
    <w:p>
      <w:pPr>
        <w:pStyle w:val="35"/>
        <w:ind w:firstLine="480"/>
        <w:rPr>
          <w:rFonts w:cs="Times New Roman"/>
          <w:color w:val="000000"/>
        </w:rPr>
      </w:pPr>
    </w:p>
    <w:p>
      <w:pPr>
        <w:pStyle w:val="35"/>
        <w:ind w:firstLine="480"/>
        <w:rPr>
          <w:rFonts w:cs="Times New Roman"/>
          <w:color w:val="000000"/>
        </w:rPr>
      </w:pPr>
    </w:p>
    <w:p>
      <w:pPr>
        <w:pStyle w:val="35"/>
        <w:ind w:firstLine="480"/>
        <w:rPr>
          <w:rFonts w:cs="Times New Roman"/>
          <w:color w:val="000000"/>
        </w:rPr>
        <w:sectPr>
          <w:pgSz w:w="11906" w:h="16838"/>
          <w:pgMar w:top="1418" w:right="1418" w:bottom="1418" w:left="1418" w:header="851" w:footer="992" w:gutter="0"/>
          <w:cols w:space="720" w:num="1"/>
          <w:docGrid w:linePitch="312" w:charSpace="0"/>
        </w:sectPr>
      </w:pPr>
    </w:p>
    <w:p>
      <w:pPr>
        <w:pStyle w:val="10"/>
        <w:keepNext/>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 xml:space="preserve"> </w:t>
      </w:r>
      <w:r>
        <w:rPr>
          <w:rFonts w:hint="eastAsia" w:ascii="Times New Roman" w:hAnsi="Times New Roman" w:eastAsia="宋体" w:cs="Times New Roman"/>
          <w:b/>
          <w:color w:val="000000"/>
          <w:sz w:val="24"/>
          <w:szCs w:val="24"/>
        </w:rPr>
        <w:t>7-5</w:t>
      </w:r>
      <w:r>
        <w:rPr>
          <w:rFonts w:ascii="Times New Roman" w:hAnsi="Times New Roman" w:eastAsia="宋体" w:cs="Times New Roman"/>
          <w:b/>
          <w:color w:val="000000"/>
          <w:sz w:val="24"/>
          <w:szCs w:val="24"/>
        </w:rPr>
        <w:t xml:space="preserve">  </w:t>
      </w:r>
      <w:r>
        <w:rPr>
          <w:rFonts w:ascii="Times New Roman" w:hAnsi="宋体" w:eastAsia="宋体" w:cs="Times New Roman"/>
          <w:b/>
          <w:color w:val="000000"/>
          <w:sz w:val="24"/>
          <w:szCs w:val="24"/>
        </w:rPr>
        <w:t>环境风险防控措施评分表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8"/>
        <w:gridCol w:w="1975"/>
        <w:gridCol w:w="5695"/>
        <w:gridCol w:w="1417"/>
        <w:gridCol w:w="1560"/>
        <w:gridCol w:w="2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shd w:val="clear" w:color="auto" w:fill="D9D9D9"/>
            <w:vAlign w:val="center"/>
          </w:tcPr>
          <w:p>
            <w:pPr>
              <w:pStyle w:val="52"/>
              <w:spacing w:line="400" w:lineRule="exact"/>
              <w:rPr>
                <w:b/>
                <w:color w:val="000000"/>
                <w:sz w:val="24"/>
                <w:szCs w:val="24"/>
              </w:rPr>
            </w:pPr>
            <w:r>
              <w:rPr>
                <w:rFonts w:hAnsi="宋体"/>
                <w:b/>
                <w:color w:val="000000"/>
                <w:sz w:val="24"/>
                <w:szCs w:val="24"/>
              </w:rPr>
              <w:t>序号</w:t>
            </w:r>
          </w:p>
        </w:tc>
        <w:tc>
          <w:tcPr>
            <w:tcW w:w="1975" w:type="dxa"/>
            <w:shd w:val="clear" w:color="auto" w:fill="D9D9D9"/>
            <w:vAlign w:val="center"/>
          </w:tcPr>
          <w:p>
            <w:pPr>
              <w:pStyle w:val="52"/>
              <w:spacing w:line="400" w:lineRule="exact"/>
              <w:rPr>
                <w:b/>
                <w:color w:val="000000"/>
                <w:sz w:val="24"/>
                <w:szCs w:val="24"/>
              </w:rPr>
            </w:pPr>
            <w:r>
              <w:rPr>
                <w:rFonts w:hAnsi="宋体"/>
                <w:b/>
                <w:color w:val="000000"/>
                <w:sz w:val="24"/>
                <w:szCs w:val="24"/>
              </w:rPr>
              <w:t>评估指标</w:t>
            </w:r>
          </w:p>
        </w:tc>
        <w:tc>
          <w:tcPr>
            <w:tcW w:w="5695" w:type="dxa"/>
            <w:shd w:val="clear" w:color="auto" w:fill="D9D9D9"/>
            <w:vAlign w:val="center"/>
          </w:tcPr>
          <w:p>
            <w:pPr>
              <w:pStyle w:val="52"/>
              <w:spacing w:line="400" w:lineRule="exact"/>
              <w:rPr>
                <w:b/>
                <w:color w:val="000000"/>
                <w:sz w:val="24"/>
                <w:szCs w:val="24"/>
              </w:rPr>
            </w:pPr>
            <w:r>
              <w:rPr>
                <w:rFonts w:hAnsi="宋体"/>
                <w:b/>
                <w:color w:val="000000"/>
                <w:sz w:val="24"/>
                <w:szCs w:val="24"/>
              </w:rPr>
              <w:t>评估依据</w:t>
            </w:r>
          </w:p>
        </w:tc>
        <w:tc>
          <w:tcPr>
            <w:tcW w:w="1417" w:type="dxa"/>
            <w:shd w:val="clear" w:color="auto" w:fill="D9D9D9"/>
            <w:vAlign w:val="center"/>
          </w:tcPr>
          <w:p>
            <w:pPr>
              <w:pStyle w:val="52"/>
              <w:spacing w:line="400" w:lineRule="exact"/>
              <w:rPr>
                <w:b/>
                <w:color w:val="000000"/>
                <w:sz w:val="24"/>
                <w:szCs w:val="24"/>
              </w:rPr>
            </w:pPr>
            <w:r>
              <w:rPr>
                <w:rFonts w:hAnsi="宋体"/>
                <w:b/>
                <w:color w:val="000000"/>
                <w:sz w:val="24"/>
                <w:szCs w:val="24"/>
              </w:rPr>
              <w:t>分值</w:t>
            </w:r>
          </w:p>
        </w:tc>
        <w:tc>
          <w:tcPr>
            <w:tcW w:w="1560" w:type="dxa"/>
            <w:shd w:val="clear" w:color="auto" w:fill="D9D9D9"/>
            <w:vAlign w:val="center"/>
          </w:tcPr>
          <w:p>
            <w:pPr>
              <w:pStyle w:val="52"/>
              <w:spacing w:line="400" w:lineRule="exact"/>
              <w:rPr>
                <w:b/>
                <w:color w:val="000000"/>
                <w:sz w:val="24"/>
                <w:szCs w:val="24"/>
              </w:rPr>
            </w:pPr>
            <w:r>
              <w:rPr>
                <w:rFonts w:hAnsi="宋体"/>
                <w:b/>
                <w:color w:val="000000"/>
                <w:sz w:val="24"/>
                <w:szCs w:val="24"/>
              </w:rPr>
              <w:t>具体评分</w:t>
            </w:r>
          </w:p>
        </w:tc>
        <w:tc>
          <w:tcPr>
            <w:tcW w:w="2693" w:type="dxa"/>
            <w:shd w:val="clear" w:color="auto" w:fill="D9D9D9"/>
            <w:vAlign w:val="center"/>
          </w:tcPr>
          <w:p>
            <w:pPr>
              <w:pStyle w:val="52"/>
              <w:spacing w:line="400" w:lineRule="exact"/>
              <w:rPr>
                <w:b/>
                <w:color w:val="000000"/>
                <w:sz w:val="24"/>
                <w:szCs w:val="24"/>
              </w:rPr>
            </w:pPr>
            <w:r>
              <w:rPr>
                <w:rFonts w:hAnsi="宋体"/>
                <w:b/>
                <w:color w:val="00000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vMerge w:val="restart"/>
            <w:vAlign w:val="center"/>
          </w:tcPr>
          <w:p>
            <w:pPr>
              <w:pStyle w:val="52"/>
              <w:spacing w:line="400" w:lineRule="exact"/>
              <w:rPr>
                <w:color w:val="000000"/>
                <w:sz w:val="24"/>
                <w:szCs w:val="24"/>
              </w:rPr>
            </w:pPr>
            <w:r>
              <w:rPr>
                <w:color w:val="000000"/>
                <w:sz w:val="24"/>
                <w:szCs w:val="24"/>
              </w:rPr>
              <w:t>1</w:t>
            </w:r>
          </w:p>
        </w:tc>
        <w:tc>
          <w:tcPr>
            <w:tcW w:w="1975" w:type="dxa"/>
            <w:vMerge w:val="restart"/>
            <w:vAlign w:val="center"/>
          </w:tcPr>
          <w:p>
            <w:pPr>
              <w:pStyle w:val="52"/>
              <w:spacing w:line="400" w:lineRule="exact"/>
              <w:rPr>
                <w:color w:val="000000"/>
                <w:sz w:val="24"/>
                <w:szCs w:val="24"/>
              </w:rPr>
            </w:pPr>
            <w:r>
              <w:rPr>
                <w:rFonts w:hAnsi="宋体"/>
                <w:color w:val="000000"/>
                <w:sz w:val="24"/>
                <w:szCs w:val="24"/>
              </w:rPr>
              <w:t>截流措施</w:t>
            </w:r>
          </w:p>
        </w:tc>
        <w:tc>
          <w:tcPr>
            <w:tcW w:w="5695" w:type="dxa"/>
            <w:vAlign w:val="center"/>
          </w:tcPr>
          <w:p>
            <w:pPr>
              <w:pStyle w:val="52"/>
              <w:spacing w:line="400" w:lineRule="exact"/>
              <w:jc w:val="left"/>
              <w:rPr>
                <w:color w:val="000000"/>
                <w:sz w:val="24"/>
                <w:szCs w:val="24"/>
              </w:rPr>
            </w:pPr>
            <w:r>
              <w:rPr>
                <w:color w:val="000000"/>
                <w:sz w:val="24"/>
                <w:szCs w:val="24"/>
              </w:rPr>
              <w:t>1)</w:t>
            </w:r>
            <w:r>
              <w:rPr>
                <w:rFonts w:hAnsi="宋体"/>
                <w:color w:val="000000"/>
                <w:sz w:val="24"/>
                <w:szCs w:val="24"/>
              </w:rPr>
              <w:t>各个环境风险单元设防渗漏、防腐蚀、防淋溶、防流失措施，设防初期雨水、泄漏物、受污染的消防水（溢）流入雨水和清净下水系统的导流围挡收集措施（如防火堤、围堰等），且相关措施符合设计规范；且</w:t>
            </w:r>
          </w:p>
          <w:p>
            <w:pPr>
              <w:pStyle w:val="52"/>
              <w:spacing w:line="400" w:lineRule="exact"/>
              <w:jc w:val="left"/>
              <w:rPr>
                <w:color w:val="000000"/>
                <w:sz w:val="24"/>
                <w:szCs w:val="24"/>
              </w:rPr>
            </w:pPr>
            <w:r>
              <w:rPr>
                <w:color w:val="000000"/>
                <w:sz w:val="24"/>
                <w:szCs w:val="24"/>
              </w:rPr>
              <w:t>2)</w:t>
            </w:r>
            <w:r>
              <w:rPr>
                <w:rFonts w:hAnsi="宋体"/>
                <w:color w:val="000000"/>
                <w:sz w:val="24"/>
                <w:szCs w:val="24"/>
              </w:rPr>
              <w:t>装置围堰与罐区防火堤（围堰）外设排水切换阀，正常情况下通向雨水系统的阀门关闭，通向事故存液池、应急事故水池、清净下水排放缓冲池或污水处理系统的阀门打开；且</w:t>
            </w:r>
          </w:p>
          <w:p>
            <w:pPr>
              <w:pStyle w:val="52"/>
              <w:spacing w:line="400" w:lineRule="exact"/>
              <w:jc w:val="left"/>
              <w:rPr>
                <w:color w:val="000000"/>
                <w:sz w:val="24"/>
                <w:szCs w:val="24"/>
              </w:rPr>
            </w:pPr>
            <w:r>
              <w:rPr>
                <w:color w:val="000000"/>
                <w:sz w:val="24"/>
                <w:szCs w:val="24"/>
              </w:rPr>
              <w:t>3)</w:t>
            </w:r>
            <w:r>
              <w:rPr>
                <w:rFonts w:hAnsi="宋体"/>
                <w:color w:val="000000"/>
                <w:sz w:val="24"/>
                <w:szCs w:val="24"/>
              </w:rPr>
              <w:t>前述措施日常管理及维护良好，有专人负责阀门切换，保证初期雨水、泄漏物和受污染的消防水排入污水系统。</w:t>
            </w:r>
          </w:p>
        </w:tc>
        <w:tc>
          <w:tcPr>
            <w:tcW w:w="1417" w:type="dxa"/>
            <w:vAlign w:val="center"/>
          </w:tcPr>
          <w:p>
            <w:pPr>
              <w:pStyle w:val="52"/>
              <w:spacing w:line="400" w:lineRule="exact"/>
              <w:rPr>
                <w:color w:val="000000"/>
                <w:sz w:val="24"/>
                <w:szCs w:val="24"/>
              </w:rPr>
            </w:pPr>
          </w:p>
          <w:p>
            <w:pPr>
              <w:pStyle w:val="52"/>
              <w:spacing w:line="400" w:lineRule="exact"/>
              <w:rPr>
                <w:color w:val="000000"/>
                <w:sz w:val="24"/>
                <w:szCs w:val="24"/>
              </w:rPr>
            </w:pPr>
          </w:p>
          <w:p>
            <w:pPr>
              <w:pStyle w:val="52"/>
              <w:spacing w:line="400" w:lineRule="exact"/>
              <w:rPr>
                <w:color w:val="000000"/>
                <w:sz w:val="24"/>
                <w:szCs w:val="24"/>
              </w:rPr>
            </w:pPr>
          </w:p>
          <w:p>
            <w:pPr>
              <w:pStyle w:val="52"/>
              <w:spacing w:line="400" w:lineRule="exact"/>
              <w:rPr>
                <w:color w:val="000000"/>
                <w:sz w:val="24"/>
                <w:szCs w:val="24"/>
              </w:rPr>
            </w:pPr>
            <w:r>
              <w:rPr>
                <w:color w:val="000000"/>
                <w:sz w:val="24"/>
                <w:szCs w:val="24"/>
              </w:rPr>
              <w:t>0</w:t>
            </w:r>
          </w:p>
          <w:p>
            <w:pPr>
              <w:pStyle w:val="52"/>
              <w:spacing w:line="400" w:lineRule="exact"/>
              <w:rPr>
                <w:color w:val="000000"/>
                <w:sz w:val="24"/>
                <w:szCs w:val="24"/>
              </w:rPr>
            </w:pPr>
          </w:p>
          <w:p>
            <w:pPr>
              <w:pStyle w:val="52"/>
              <w:spacing w:line="400" w:lineRule="exact"/>
              <w:rPr>
                <w:color w:val="000000"/>
                <w:sz w:val="24"/>
                <w:szCs w:val="24"/>
              </w:rPr>
            </w:pPr>
          </w:p>
          <w:p>
            <w:pPr>
              <w:pStyle w:val="52"/>
              <w:spacing w:line="400" w:lineRule="exact"/>
              <w:rPr>
                <w:color w:val="000000"/>
                <w:sz w:val="24"/>
                <w:szCs w:val="24"/>
              </w:rPr>
            </w:pPr>
          </w:p>
        </w:tc>
        <w:tc>
          <w:tcPr>
            <w:tcW w:w="1560" w:type="dxa"/>
            <w:vMerge w:val="restart"/>
            <w:vAlign w:val="center"/>
          </w:tcPr>
          <w:p>
            <w:pPr>
              <w:pStyle w:val="52"/>
              <w:spacing w:line="400" w:lineRule="exact"/>
              <w:rPr>
                <w:color w:val="000000"/>
                <w:sz w:val="24"/>
                <w:szCs w:val="24"/>
              </w:rPr>
            </w:pPr>
            <w:r>
              <w:rPr>
                <w:color w:val="000000"/>
                <w:sz w:val="24"/>
                <w:szCs w:val="24"/>
              </w:rPr>
              <w:t>0</w:t>
            </w:r>
          </w:p>
        </w:tc>
        <w:tc>
          <w:tcPr>
            <w:tcW w:w="2693" w:type="dxa"/>
            <w:vMerge w:val="restart"/>
            <w:vAlign w:val="center"/>
          </w:tcPr>
          <w:p>
            <w:pPr>
              <w:pStyle w:val="52"/>
              <w:spacing w:line="400" w:lineRule="exact"/>
              <w:jc w:val="left"/>
              <w:rPr>
                <w:color w:val="000000"/>
                <w:sz w:val="24"/>
                <w:szCs w:val="24"/>
              </w:rPr>
            </w:pPr>
            <w:r>
              <w:rPr>
                <w:rFonts w:hint="eastAsia" w:hAnsi="宋体"/>
                <w:color w:val="000000"/>
                <w:sz w:val="24"/>
                <w:szCs w:val="24"/>
              </w:rPr>
              <w:t>危化品</w:t>
            </w:r>
            <w:r>
              <w:rPr>
                <w:rFonts w:hAnsi="宋体"/>
                <w:color w:val="000000"/>
                <w:sz w:val="24"/>
                <w:szCs w:val="24"/>
              </w:rPr>
              <w:t>存</w:t>
            </w:r>
            <w:r>
              <w:rPr>
                <w:rFonts w:hint="eastAsia" w:hAnsi="宋体"/>
                <w:color w:val="000000"/>
                <w:sz w:val="24"/>
                <w:szCs w:val="24"/>
              </w:rPr>
              <w:t>放</w:t>
            </w:r>
            <w:r>
              <w:rPr>
                <w:rFonts w:hAnsi="宋体"/>
                <w:color w:val="000000"/>
                <w:sz w:val="24"/>
                <w:szCs w:val="24"/>
              </w:rPr>
              <w:t>专门的</w:t>
            </w:r>
            <w:r>
              <w:rPr>
                <w:rFonts w:hint="eastAsia" w:hAnsi="宋体"/>
                <w:color w:val="000000"/>
                <w:sz w:val="24"/>
                <w:szCs w:val="24"/>
              </w:rPr>
              <w:t>罐区或</w:t>
            </w:r>
            <w:r>
              <w:rPr>
                <w:rFonts w:hAnsi="宋体"/>
                <w:color w:val="000000"/>
                <w:sz w:val="24"/>
                <w:szCs w:val="24"/>
              </w:rPr>
              <w:t>库房内，设置有</w:t>
            </w:r>
            <w:r>
              <w:rPr>
                <w:rFonts w:hint="eastAsia" w:hAnsi="宋体"/>
                <w:color w:val="000000"/>
                <w:sz w:val="24"/>
                <w:szCs w:val="24"/>
              </w:rPr>
              <w:t>相应</w:t>
            </w:r>
            <w:r>
              <w:rPr>
                <w:rFonts w:hAnsi="宋体"/>
                <w:color w:val="000000"/>
                <w:sz w:val="24"/>
                <w:szCs w:val="24"/>
              </w:rPr>
              <w:t>标识，专人负责看管，</w:t>
            </w:r>
            <w:r>
              <w:rPr>
                <w:rFonts w:hint="eastAsia" w:hAnsi="宋体"/>
                <w:color w:val="000000"/>
                <w:sz w:val="24"/>
                <w:szCs w:val="24"/>
              </w:rPr>
              <w:t>罐区附近及</w:t>
            </w:r>
            <w:r>
              <w:rPr>
                <w:rFonts w:hAnsi="宋体"/>
                <w:color w:val="000000"/>
                <w:sz w:val="24"/>
                <w:szCs w:val="24"/>
              </w:rPr>
              <w:t>库房</w:t>
            </w:r>
            <w:r>
              <w:rPr>
                <w:rFonts w:hint="eastAsia" w:hAnsi="宋体"/>
                <w:color w:val="000000"/>
                <w:sz w:val="24"/>
                <w:szCs w:val="24"/>
              </w:rPr>
              <w:t>内</w:t>
            </w:r>
            <w:r>
              <w:rPr>
                <w:rFonts w:hAnsi="宋体"/>
                <w:color w:val="000000"/>
                <w:sz w:val="24"/>
                <w:szCs w:val="24"/>
              </w:rPr>
              <w:t>设有吸附围堵材料、灭火器等设施。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vMerge w:val="continue"/>
            <w:vAlign w:val="center"/>
          </w:tcPr>
          <w:p>
            <w:pPr>
              <w:pStyle w:val="52"/>
              <w:spacing w:line="400" w:lineRule="exact"/>
              <w:rPr>
                <w:color w:val="000000"/>
                <w:sz w:val="24"/>
                <w:szCs w:val="24"/>
              </w:rPr>
            </w:pPr>
          </w:p>
        </w:tc>
        <w:tc>
          <w:tcPr>
            <w:tcW w:w="1975" w:type="dxa"/>
            <w:vMerge w:val="continue"/>
            <w:vAlign w:val="center"/>
          </w:tcPr>
          <w:p>
            <w:pPr>
              <w:pStyle w:val="52"/>
              <w:spacing w:line="400" w:lineRule="exact"/>
              <w:rPr>
                <w:color w:val="000000"/>
                <w:sz w:val="24"/>
                <w:szCs w:val="24"/>
              </w:rPr>
            </w:pPr>
          </w:p>
        </w:tc>
        <w:tc>
          <w:tcPr>
            <w:tcW w:w="5695" w:type="dxa"/>
            <w:vAlign w:val="center"/>
          </w:tcPr>
          <w:p>
            <w:pPr>
              <w:pStyle w:val="52"/>
              <w:spacing w:line="400" w:lineRule="exact"/>
              <w:jc w:val="left"/>
              <w:rPr>
                <w:color w:val="000000"/>
                <w:sz w:val="24"/>
                <w:szCs w:val="24"/>
              </w:rPr>
            </w:pPr>
            <w:r>
              <w:rPr>
                <w:rFonts w:hAnsi="宋体"/>
                <w:color w:val="000000"/>
                <w:sz w:val="24"/>
                <w:szCs w:val="24"/>
              </w:rPr>
              <w:t>有任意一个环境风险单元的截流措施不符合上述任意一条要求的。</w:t>
            </w:r>
          </w:p>
          <w:p>
            <w:pPr>
              <w:pStyle w:val="52"/>
              <w:spacing w:line="400" w:lineRule="exact"/>
              <w:jc w:val="left"/>
              <w:rPr>
                <w:color w:val="000000"/>
                <w:sz w:val="24"/>
                <w:szCs w:val="24"/>
              </w:rPr>
            </w:pPr>
          </w:p>
          <w:p>
            <w:pPr>
              <w:pStyle w:val="52"/>
              <w:spacing w:line="400" w:lineRule="exact"/>
              <w:jc w:val="left"/>
              <w:rPr>
                <w:color w:val="000000"/>
                <w:sz w:val="24"/>
                <w:szCs w:val="24"/>
              </w:rPr>
            </w:pPr>
          </w:p>
        </w:tc>
        <w:tc>
          <w:tcPr>
            <w:tcW w:w="1417" w:type="dxa"/>
            <w:vAlign w:val="center"/>
          </w:tcPr>
          <w:p>
            <w:pPr>
              <w:pStyle w:val="52"/>
              <w:spacing w:line="400" w:lineRule="exact"/>
              <w:rPr>
                <w:color w:val="000000"/>
                <w:sz w:val="24"/>
                <w:szCs w:val="24"/>
              </w:rPr>
            </w:pPr>
            <w:r>
              <w:rPr>
                <w:color w:val="000000"/>
                <w:sz w:val="24"/>
                <w:szCs w:val="24"/>
              </w:rPr>
              <w:t>8</w:t>
            </w:r>
          </w:p>
        </w:tc>
        <w:tc>
          <w:tcPr>
            <w:tcW w:w="1560" w:type="dxa"/>
            <w:vMerge w:val="continue"/>
            <w:vAlign w:val="center"/>
          </w:tcPr>
          <w:p>
            <w:pPr>
              <w:pStyle w:val="52"/>
              <w:spacing w:line="400" w:lineRule="exact"/>
              <w:rPr>
                <w:color w:val="000000"/>
                <w:sz w:val="24"/>
                <w:szCs w:val="24"/>
              </w:rPr>
            </w:pPr>
          </w:p>
        </w:tc>
        <w:tc>
          <w:tcPr>
            <w:tcW w:w="2693" w:type="dxa"/>
            <w:vMerge w:val="continue"/>
            <w:vAlign w:val="center"/>
          </w:tcPr>
          <w:p>
            <w:pPr>
              <w:pStyle w:val="52"/>
              <w:spacing w:line="40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Pr>
        <w:tc>
          <w:tcPr>
            <w:tcW w:w="878" w:type="dxa"/>
            <w:vMerge w:val="restart"/>
            <w:vAlign w:val="center"/>
          </w:tcPr>
          <w:p>
            <w:pPr>
              <w:pStyle w:val="52"/>
              <w:spacing w:line="400" w:lineRule="exact"/>
              <w:rPr>
                <w:color w:val="000000"/>
                <w:sz w:val="24"/>
                <w:szCs w:val="24"/>
              </w:rPr>
            </w:pPr>
            <w:r>
              <w:rPr>
                <w:color w:val="000000"/>
                <w:sz w:val="24"/>
                <w:szCs w:val="24"/>
              </w:rPr>
              <w:t>2</w:t>
            </w:r>
          </w:p>
        </w:tc>
        <w:tc>
          <w:tcPr>
            <w:tcW w:w="1975" w:type="dxa"/>
            <w:vMerge w:val="restart"/>
            <w:vAlign w:val="center"/>
          </w:tcPr>
          <w:p>
            <w:pPr>
              <w:pStyle w:val="52"/>
              <w:spacing w:line="400" w:lineRule="exact"/>
              <w:rPr>
                <w:color w:val="000000"/>
                <w:sz w:val="24"/>
                <w:szCs w:val="24"/>
              </w:rPr>
            </w:pPr>
            <w:r>
              <w:rPr>
                <w:rFonts w:hAnsi="宋体"/>
                <w:color w:val="000000"/>
                <w:sz w:val="24"/>
                <w:szCs w:val="24"/>
              </w:rPr>
              <w:t>事故废水</w:t>
            </w:r>
          </w:p>
          <w:p>
            <w:pPr>
              <w:pStyle w:val="52"/>
              <w:spacing w:line="400" w:lineRule="exact"/>
              <w:rPr>
                <w:color w:val="000000"/>
                <w:sz w:val="24"/>
                <w:szCs w:val="24"/>
              </w:rPr>
            </w:pPr>
            <w:r>
              <w:rPr>
                <w:rFonts w:hAnsi="宋体"/>
                <w:color w:val="000000"/>
                <w:sz w:val="24"/>
                <w:szCs w:val="24"/>
              </w:rPr>
              <w:t>收集措施</w:t>
            </w:r>
          </w:p>
        </w:tc>
        <w:tc>
          <w:tcPr>
            <w:tcW w:w="5695" w:type="dxa"/>
            <w:vAlign w:val="center"/>
          </w:tcPr>
          <w:p>
            <w:pPr>
              <w:pStyle w:val="52"/>
              <w:spacing w:line="400" w:lineRule="exact"/>
              <w:jc w:val="left"/>
              <w:rPr>
                <w:color w:val="000000"/>
                <w:sz w:val="24"/>
                <w:szCs w:val="24"/>
              </w:rPr>
            </w:pPr>
            <w:r>
              <w:rPr>
                <w:color w:val="000000"/>
                <w:sz w:val="24"/>
                <w:szCs w:val="24"/>
              </w:rPr>
              <w:t>1)</w:t>
            </w:r>
            <w:r>
              <w:rPr>
                <w:rFonts w:hAnsi="宋体"/>
                <w:color w:val="000000"/>
                <w:sz w:val="24"/>
                <w:szCs w:val="24"/>
              </w:rPr>
              <w:t>按相关设计规范设置应急事故水池、事故存液池或清净下水排放缓冲池等事故排水收集设施，并根据下游环境风险受体敏感程度和易发生极端天气情况，设置事故排水收集设施的容量；且</w:t>
            </w:r>
          </w:p>
          <w:p>
            <w:pPr>
              <w:pStyle w:val="52"/>
              <w:spacing w:line="400" w:lineRule="exact"/>
              <w:jc w:val="left"/>
              <w:rPr>
                <w:color w:val="000000"/>
                <w:sz w:val="24"/>
                <w:szCs w:val="24"/>
              </w:rPr>
            </w:pPr>
            <w:r>
              <w:rPr>
                <w:color w:val="000000"/>
                <w:sz w:val="24"/>
                <w:szCs w:val="24"/>
              </w:rPr>
              <w:t>2)</w:t>
            </w:r>
            <w:r>
              <w:rPr>
                <w:rFonts w:hAnsi="宋体"/>
                <w:color w:val="000000"/>
                <w:sz w:val="24"/>
                <w:szCs w:val="24"/>
              </w:rPr>
              <w:t>事故存液池、应急事故水池、清净下水排放缓冲池等事故排水收集设施位置合理，能自流式或确保事故状态下顺利收集泄漏物和消防水，日常保持足够的事故排水缓冲容量；且</w:t>
            </w:r>
          </w:p>
          <w:p>
            <w:pPr>
              <w:pStyle w:val="52"/>
              <w:spacing w:line="400" w:lineRule="exact"/>
              <w:jc w:val="left"/>
              <w:rPr>
                <w:color w:val="000000"/>
                <w:sz w:val="24"/>
                <w:szCs w:val="24"/>
              </w:rPr>
            </w:pPr>
            <w:r>
              <w:rPr>
                <w:color w:val="000000"/>
                <w:sz w:val="24"/>
                <w:szCs w:val="24"/>
              </w:rPr>
              <w:t>3)</w:t>
            </w:r>
            <w:r>
              <w:rPr>
                <w:rFonts w:hAnsi="宋体"/>
                <w:color w:val="000000"/>
                <w:sz w:val="24"/>
                <w:szCs w:val="24"/>
              </w:rPr>
              <w:t>设抽水设施，并与污水管线连接，能将所收集物送至厂区内污水处理设施处理。</w:t>
            </w:r>
          </w:p>
        </w:tc>
        <w:tc>
          <w:tcPr>
            <w:tcW w:w="1417" w:type="dxa"/>
            <w:vAlign w:val="center"/>
          </w:tcPr>
          <w:p>
            <w:pPr>
              <w:pStyle w:val="52"/>
              <w:spacing w:line="400" w:lineRule="exact"/>
              <w:rPr>
                <w:color w:val="000000"/>
                <w:sz w:val="24"/>
                <w:szCs w:val="24"/>
              </w:rPr>
            </w:pPr>
            <w:r>
              <w:rPr>
                <w:color w:val="000000"/>
                <w:sz w:val="24"/>
                <w:szCs w:val="24"/>
              </w:rPr>
              <w:t>0</w:t>
            </w:r>
          </w:p>
        </w:tc>
        <w:tc>
          <w:tcPr>
            <w:tcW w:w="1560" w:type="dxa"/>
            <w:vMerge w:val="restart"/>
            <w:vAlign w:val="center"/>
          </w:tcPr>
          <w:p>
            <w:pPr>
              <w:pStyle w:val="52"/>
              <w:spacing w:line="400" w:lineRule="exact"/>
              <w:rPr>
                <w:color w:val="000000"/>
                <w:sz w:val="24"/>
                <w:szCs w:val="24"/>
              </w:rPr>
            </w:pPr>
            <w:r>
              <w:rPr>
                <w:color w:val="000000"/>
                <w:sz w:val="24"/>
                <w:szCs w:val="24"/>
              </w:rPr>
              <w:t>0</w:t>
            </w:r>
          </w:p>
        </w:tc>
        <w:tc>
          <w:tcPr>
            <w:tcW w:w="2693" w:type="dxa"/>
            <w:vMerge w:val="restart"/>
            <w:vAlign w:val="center"/>
          </w:tcPr>
          <w:p>
            <w:pPr>
              <w:pStyle w:val="52"/>
              <w:spacing w:line="400" w:lineRule="exact"/>
              <w:jc w:val="left"/>
              <w:rPr>
                <w:color w:val="000000"/>
                <w:sz w:val="24"/>
                <w:szCs w:val="24"/>
              </w:rPr>
            </w:pPr>
            <w:r>
              <w:rPr>
                <w:rFonts w:hint="eastAsia" w:hAnsi="宋体"/>
                <w:color w:val="000000"/>
                <w:sz w:val="24"/>
                <w:szCs w:val="24"/>
              </w:rPr>
              <w:t>项目厂区有100m</w:t>
            </w:r>
            <w:r>
              <w:rPr>
                <w:rFonts w:hint="eastAsia" w:hAnsi="宋体"/>
                <w:color w:val="000000"/>
                <w:sz w:val="24"/>
                <w:szCs w:val="24"/>
                <w:vertAlign w:val="superscript"/>
              </w:rPr>
              <w:t>3</w:t>
            </w:r>
            <w:r>
              <w:rPr>
                <w:rFonts w:hint="eastAsia" w:hAnsi="宋体"/>
                <w:color w:val="000000"/>
                <w:sz w:val="24"/>
                <w:szCs w:val="24"/>
              </w:rPr>
              <w:t>事故池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vMerge w:val="continue"/>
            <w:vAlign w:val="center"/>
          </w:tcPr>
          <w:p>
            <w:pPr>
              <w:pStyle w:val="52"/>
              <w:spacing w:line="400" w:lineRule="exact"/>
              <w:rPr>
                <w:color w:val="000000"/>
                <w:sz w:val="24"/>
                <w:szCs w:val="24"/>
              </w:rPr>
            </w:pPr>
          </w:p>
        </w:tc>
        <w:tc>
          <w:tcPr>
            <w:tcW w:w="1975" w:type="dxa"/>
            <w:vMerge w:val="continue"/>
            <w:vAlign w:val="center"/>
          </w:tcPr>
          <w:p>
            <w:pPr>
              <w:pStyle w:val="52"/>
              <w:spacing w:line="400" w:lineRule="exact"/>
              <w:rPr>
                <w:color w:val="000000"/>
                <w:sz w:val="24"/>
                <w:szCs w:val="24"/>
              </w:rPr>
            </w:pPr>
          </w:p>
        </w:tc>
        <w:tc>
          <w:tcPr>
            <w:tcW w:w="5695" w:type="dxa"/>
            <w:vAlign w:val="center"/>
          </w:tcPr>
          <w:p>
            <w:pPr>
              <w:pStyle w:val="52"/>
              <w:spacing w:line="400" w:lineRule="exact"/>
              <w:jc w:val="left"/>
              <w:rPr>
                <w:color w:val="000000"/>
                <w:sz w:val="24"/>
                <w:szCs w:val="24"/>
              </w:rPr>
            </w:pPr>
            <w:r>
              <w:rPr>
                <w:rFonts w:hAnsi="宋体"/>
                <w:color w:val="000000"/>
                <w:sz w:val="24"/>
                <w:szCs w:val="24"/>
              </w:rPr>
              <w:t>有任意一个环境风险单元的事故排水收集措施不符合上述任意一条要求的。</w:t>
            </w:r>
          </w:p>
        </w:tc>
        <w:tc>
          <w:tcPr>
            <w:tcW w:w="1417" w:type="dxa"/>
            <w:vAlign w:val="center"/>
          </w:tcPr>
          <w:p>
            <w:pPr>
              <w:pStyle w:val="52"/>
              <w:spacing w:line="400" w:lineRule="exact"/>
              <w:rPr>
                <w:color w:val="000000"/>
                <w:sz w:val="24"/>
                <w:szCs w:val="24"/>
              </w:rPr>
            </w:pPr>
            <w:r>
              <w:rPr>
                <w:color w:val="000000"/>
                <w:sz w:val="24"/>
                <w:szCs w:val="24"/>
              </w:rPr>
              <w:t>8</w:t>
            </w:r>
          </w:p>
        </w:tc>
        <w:tc>
          <w:tcPr>
            <w:tcW w:w="1560" w:type="dxa"/>
            <w:vMerge w:val="continue"/>
            <w:vAlign w:val="center"/>
          </w:tcPr>
          <w:p>
            <w:pPr>
              <w:pStyle w:val="52"/>
              <w:spacing w:line="400" w:lineRule="exact"/>
              <w:rPr>
                <w:color w:val="000000"/>
                <w:sz w:val="24"/>
                <w:szCs w:val="24"/>
              </w:rPr>
            </w:pPr>
          </w:p>
        </w:tc>
        <w:tc>
          <w:tcPr>
            <w:tcW w:w="2693" w:type="dxa"/>
            <w:vMerge w:val="continue"/>
            <w:vAlign w:val="center"/>
          </w:tcPr>
          <w:p>
            <w:pPr>
              <w:pStyle w:val="52"/>
              <w:spacing w:line="40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vMerge w:val="restart"/>
            <w:vAlign w:val="center"/>
          </w:tcPr>
          <w:p>
            <w:pPr>
              <w:pStyle w:val="52"/>
              <w:spacing w:line="400" w:lineRule="exact"/>
              <w:rPr>
                <w:color w:val="000000"/>
                <w:sz w:val="24"/>
                <w:szCs w:val="24"/>
              </w:rPr>
            </w:pPr>
            <w:r>
              <w:rPr>
                <w:color w:val="000000"/>
                <w:sz w:val="24"/>
                <w:szCs w:val="24"/>
              </w:rPr>
              <w:t>3</w:t>
            </w:r>
          </w:p>
        </w:tc>
        <w:tc>
          <w:tcPr>
            <w:tcW w:w="1975" w:type="dxa"/>
            <w:vMerge w:val="restart"/>
            <w:vAlign w:val="center"/>
          </w:tcPr>
          <w:p>
            <w:pPr>
              <w:pStyle w:val="52"/>
              <w:spacing w:line="400" w:lineRule="exact"/>
              <w:rPr>
                <w:color w:val="000000"/>
                <w:sz w:val="24"/>
                <w:szCs w:val="24"/>
              </w:rPr>
            </w:pPr>
            <w:r>
              <w:rPr>
                <w:rFonts w:hAnsi="宋体"/>
                <w:color w:val="000000"/>
                <w:sz w:val="24"/>
                <w:szCs w:val="24"/>
              </w:rPr>
              <w:t>清净废水系统风险防控措施</w:t>
            </w:r>
          </w:p>
        </w:tc>
        <w:tc>
          <w:tcPr>
            <w:tcW w:w="5695" w:type="dxa"/>
            <w:vAlign w:val="center"/>
          </w:tcPr>
          <w:p>
            <w:pPr>
              <w:pStyle w:val="52"/>
              <w:spacing w:line="400" w:lineRule="exact"/>
              <w:jc w:val="left"/>
              <w:rPr>
                <w:color w:val="000000"/>
                <w:sz w:val="24"/>
                <w:szCs w:val="24"/>
              </w:rPr>
            </w:pPr>
            <w:r>
              <w:rPr>
                <w:color w:val="000000"/>
                <w:sz w:val="24"/>
                <w:szCs w:val="24"/>
              </w:rPr>
              <w:t>1)</w:t>
            </w:r>
            <w:r>
              <w:rPr>
                <w:rFonts w:hAnsi="宋体"/>
                <w:color w:val="000000"/>
                <w:sz w:val="24"/>
                <w:szCs w:val="24"/>
              </w:rPr>
              <w:t>不涉及清净下水；或</w:t>
            </w:r>
          </w:p>
          <w:p>
            <w:pPr>
              <w:pStyle w:val="52"/>
              <w:spacing w:line="400" w:lineRule="exact"/>
              <w:jc w:val="left"/>
              <w:rPr>
                <w:color w:val="000000"/>
                <w:sz w:val="24"/>
                <w:szCs w:val="24"/>
              </w:rPr>
            </w:pPr>
            <w:r>
              <w:rPr>
                <w:color w:val="000000"/>
                <w:sz w:val="24"/>
                <w:szCs w:val="24"/>
              </w:rPr>
              <w:t>2)</w:t>
            </w:r>
            <w:r>
              <w:rPr>
                <w:rFonts w:hAnsi="宋体"/>
                <w:color w:val="000000"/>
                <w:sz w:val="24"/>
                <w:szCs w:val="24"/>
              </w:rPr>
              <w:t>厂区内清净下水均进入废水处理系统；或清污分流，且清净下水系统具有下述所有措施：</w:t>
            </w:r>
          </w:p>
          <w:p>
            <w:pPr>
              <w:pStyle w:val="52"/>
              <w:spacing w:line="400" w:lineRule="exact"/>
              <w:jc w:val="left"/>
              <w:rPr>
                <w:color w:val="000000"/>
                <w:spacing w:val="-4"/>
                <w:sz w:val="24"/>
                <w:szCs w:val="24"/>
              </w:rPr>
            </w:pPr>
            <w:r>
              <w:rPr>
                <w:rFonts w:hAnsi="宋体"/>
                <w:color w:val="000000"/>
                <w:sz w:val="24"/>
                <w:szCs w:val="24"/>
              </w:rPr>
              <w:t>①</w:t>
            </w:r>
            <w:r>
              <w:rPr>
                <w:rFonts w:hAnsi="宋体"/>
                <w:color w:val="000000"/>
                <w:spacing w:val="-4"/>
                <w:sz w:val="24"/>
                <w:szCs w:val="24"/>
              </w:rPr>
              <w:t>具有收集受污染的清净下水、初期雨水和消防水功能的清净下水排放缓冲池（或雨水收集池），池内日常保持足够的事故排水缓冲容量；池内设有提升设施，</w:t>
            </w:r>
          </w:p>
          <w:p>
            <w:pPr>
              <w:pStyle w:val="52"/>
              <w:spacing w:line="400" w:lineRule="exact"/>
              <w:jc w:val="left"/>
              <w:rPr>
                <w:color w:val="000000"/>
                <w:sz w:val="24"/>
                <w:szCs w:val="24"/>
              </w:rPr>
            </w:pPr>
            <w:r>
              <w:rPr>
                <w:rFonts w:hAnsi="宋体"/>
                <w:color w:val="000000"/>
                <w:spacing w:val="-4"/>
                <w:sz w:val="24"/>
                <w:szCs w:val="24"/>
              </w:rPr>
              <w:t>能将所集物送至厂区内污水处理设施处理；且</w:t>
            </w:r>
          </w:p>
          <w:p>
            <w:pPr>
              <w:pStyle w:val="52"/>
              <w:spacing w:line="400" w:lineRule="exact"/>
              <w:jc w:val="left"/>
              <w:rPr>
                <w:color w:val="000000"/>
                <w:sz w:val="24"/>
                <w:szCs w:val="24"/>
              </w:rPr>
            </w:pPr>
            <w:r>
              <w:rPr>
                <w:rFonts w:hAnsi="宋体"/>
                <w:color w:val="000000"/>
                <w:sz w:val="24"/>
                <w:szCs w:val="24"/>
              </w:rPr>
              <w:t>②具有清净下水系统（或排入雨水系统）的总排口监视及关闭设施，有专人负责在紧急情况下关闭清净下水总排口，防止受污染的雨水、清净下水、消防水和泄漏物进入外环境。</w:t>
            </w:r>
          </w:p>
        </w:tc>
        <w:tc>
          <w:tcPr>
            <w:tcW w:w="1417" w:type="dxa"/>
            <w:vAlign w:val="center"/>
          </w:tcPr>
          <w:p>
            <w:pPr>
              <w:pStyle w:val="52"/>
              <w:spacing w:line="400" w:lineRule="exact"/>
              <w:rPr>
                <w:color w:val="000000"/>
                <w:sz w:val="24"/>
                <w:szCs w:val="24"/>
              </w:rPr>
            </w:pPr>
            <w:r>
              <w:rPr>
                <w:color w:val="000000"/>
                <w:sz w:val="24"/>
                <w:szCs w:val="24"/>
              </w:rPr>
              <w:t>0</w:t>
            </w:r>
          </w:p>
        </w:tc>
        <w:tc>
          <w:tcPr>
            <w:tcW w:w="1560" w:type="dxa"/>
            <w:vMerge w:val="restart"/>
            <w:vAlign w:val="center"/>
          </w:tcPr>
          <w:p>
            <w:pPr>
              <w:pStyle w:val="52"/>
              <w:spacing w:line="400" w:lineRule="exact"/>
              <w:rPr>
                <w:color w:val="000000"/>
                <w:sz w:val="24"/>
                <w:szCs w:val="24"/>
              </w:rPr>
            </w:pPr>
            <w:r>
              <w:rPr>
                <w:color w:val="000000"/>
                <w:sz w:val="24"/>
                <w:szCs w:val="24"/>
              </w:rPr>
              <w:t>8</w:t>
            </w:r>
          </w:p>
        </w:tc>
        <w:tc>
          <w:tcPr>
            <w:tcW w:w="2693" w:type="dxa"/>
            <w:vMerge w:val="restart"/>
            <w:vAlign w:val="center"/>
          </w:tcPr>
          <w:p>
            <w:pPr>
              <w:pStyle w:val="52"/>
              <w:spacing w:line="400" w:lineRule="exact"/>
              <w:rPr>
                <w:color w:val="000000"/>
                <w:sz w:val="24"/>
                <w:szCs w:val="24"/>
              </w:rPr>
            </w:pPr>
            <w:r>
              <w:rPr>
                <w:rFonts w:hint="eastAsia"/>
                <w:color w:val="000000"/>
                <w:sz w:val="24"/>
                <w:szCs w:val="24"/>
              </w:rPr>
              <w:t>清净废水处理措施待完善，有事故池，无专人负责关闭清净下水总排口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878" w:type="dxa"/>
            <w:vMerge w:val="continue"/>
            <w:vAlign w:val="center"/>
          </w:tcPr>
          <w:p>
            <w:pPr>
              <w:pStyle w:val="52"/>
              <w:spacing w:line="400" w:lineRule="exact"/>
              <w:rPr>
                <w:color w:val="000000"/>
                <w:sz w:val="24"/>
                <w:szCs w:val="24"/>
              </w:rPr>
            </w:pPr>
          </w:p>
        </w:tc>
        <w:tc>
          <w:tcPr>
            <w:tcW w:w="1975" w:type="dxa"/>
            <w:vMerge w:val="continue"/>
            <w:vAlign w:val="center"/>
          </w:tcPr>
          <w:p>
            <w:pPr>
              <w:pStyle w:val="52"/>
              <w:spacing w:line="400" w:lineRule="exact"/>
              <w:rPr>
                <w:color w:val="000000"/>
                <w:sz w:val="24"/>
                <w:szCs w:val="24"/>
              </w:rPr>
            </w:pPr>
          </w:p>
        </w:tc>
        <w:tc>
          <w:tcPr>
            <w:tcW w:w="5695" w:type="dxa"/>
            <w:vAlign w:val="center"/>
          </w:tcPr>
          <w:p>
            <w:pPr>
              <w:pStyle w:val="52"/>
              <w:spacing w:line="400" w:lineRule="exact"/>
              <w:jc w:val="left"/>
              <w:rPr>
                <w:color w:val="000000"/>
                <w:sz w:val="24"/>
                <w:szCs w:val="24"/>
              </w:rPr>
            </w:pPr>
            <w:r>
              <w:rPr>
                <w:rFonts w:hAnsi="宋体"/>
                <w:color w:val="000000"/>
                <w:sz w:val="24"/>
                <w:szCs w:val="24"/>
              </w:rPr>
              <w:t>涉及清净下水，有任意一个环境风险单元的清净下水系统防控措施但不符合上述</w:t>
            </w:r>
            <w:r>
              <w:rPr>
                <w:color w:val="000000"/>
                <w:sz w:val="24"/>
                <w:szCs w:val="24"/>
              </w:rPr>
              <w:t>2</w:t>
            </w:r>
            <w:r>
              <w:rPr>
                <w:rFonts w:hAnsi="宋体"/>
                <w:color w:val="000000"/>
                <w:sz w:val="24"/>
                <w:szCs w:val="24"/>
              </w:rPr>
              <w:t>）要求的。</w:t>
            </w:r>
          </w:p>
        </w:tc>
        <w:tc>
          <w:tcPr>
            <w:tcW w:w="1417" w:type="dxa"/>
            <w:vAlign w:val="center"/>
          </w:tcPr>
          <w:p>
            <w:pPr>
              <w:pStyle w:val="52"/>
              <w:spacing w:line="400" w:lineRule="exact"/>
              <w:rPr>
                <w:color w:val="000000"/>
                <w:sz w:val="24"/>
                <w:szCs w:val="24"/>
              </w:rPr>
            </w:pPr>
            <w:r>
              <w:rPr>
                <w:color w:val="000000"/>
                <w:sz w:val="24"/>
                <w:szCs w:val="24"/>
              </w:rPr>
              <w:t>8</w:t>
            </w:r>
          </w:p>
        </w:tc>
        <w:tc>
          <w:tcPr>
            <w:tcW w:w="1560" w:type="dxa"/>
            <w:vMerge w:val="continue"/>
            <w:vAlign w:val="center"/>
          </w:tcPr>
          <w:p>
            <w:pPr>
              <w:pStyle w:val="52"/>
              <w:spacing w:line="400" w:lineRule="exact"/>
              <w:rPr>
                <w:color w:val="000000"/>
                <w:sz w:val="24"/>
                <w:szCs w:val="24"/>
              </w:rPr>
            </w:pPr>
          </w:p>
        </w:tc>
        <w:tc>
          <w:tcPr>
            <w:tcW w:w="2693" w:type="dxa"/>
            <w:vMerge w:val="continue"/>
            <w:vAlign w:val="center"/>
          </w:tcPr>
          <w:p>
            <w:pPr>
              <w:pStyle w:val="52"/>
              <w:spacing w:line="400" w:lineRule="exact"/>
              <w:rPr>
                <w:color w:val="000000"/>
                <w:sz w:val="24"/>
                <w:szCs w:val="24"/>
              </w:rPr>
            </w:pPr>
          </w:p>
        </w:tc>
      </w:tr>
    </w:tbl>
    <w:p>
      <w:pPr>
        <w:ind w:firstLine="480"/>
        <w:rPr>
          <w:color w:val="000000"/>
        </w:rPr>
      </w:pP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4"/>
        <w:gridCol w:w="1034"/>
        <w:gridCol w:w="6262"/>
        <w:gridCol w:w="992"/>
        <w:gridCol w:w="1418"/>
        <w:gridCol w:w="34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restart"/>
            <w:vAlign w:val="center"/>
          </w:tcPr>
          <w:p>
            <w:pPr>
              <w:pStyle w:val="52"/>
              <w:spacing w:line="360" w:lineRule="exact"/>
              <w:rPr>
                <w:color w:val="000000"/>
                <w:sz w:val="24"/>
                <w:szCs w:val="24"/>
              </w:rPr>
            </w:pPr>
            <w:r>
              <w:rPr>
                <w:color w:val="000000"/>
                <w:sz w:val="24"/>
                <w:szCs w:val="24"/>
              </w:rPr>
              <w:t>4</w:t>
            </w:r>
          </w:p>
        </w:tc>
        <w:tc>
          <w:tcPr>
            <w:tcW w:w="1034" w:type="dxa"/>
            <w:vMerge w:val="restart"/>
            <w:vAlign w:val="center"/>
          </w:tcPr>
          <w:p>
            <w:pPr>
              <w:pStyle w:val="52"/>
              <w:spacing w:line="360" w:lineRule="exact"/>
              <w:rPr>
                <w:color w:val="000000"/>
                <w:sz w:val="24"/>
                <w:szCs w:val="24"/>
              </w:rPr>
            </w:pPr>
            <w:r>
              <w:rPr>
                <w:rFonts w:hAnsi="宋体"/>
                <w:color w:val="000000"/>
                <w:sz w:val="24"/>
                <w:szCs w:val="24"/>
              </w:rPr>
              <w:t>雨水排水系统风险防控措施</w:t>
            </w:r>
          </w:p>
        </w:tc>
        <w:tc>
          <w:tcPr>
            <w:tcW w:w="6262" w:type="dxa"/>
            <w:vAlign w:val="center"/>
          </w:tcPr>
          <w:p>
            <w:pPr>
              <w:pStyle w:val="52"/>
              <w:spacing w:line="360" w:lineRule="exact"/>
              <w:jc w:val="left"/>
              <w:rPr>
                <w:color w:val="000000"/>
                <w:sz w:val="24"/>
                <w:szCs w:val="24"/>
              </w:rPr>
            </w:pPr>
            <w:r>
              <w:rPr>
                <w:rFonts w:hAnsi="宋体"/>
                <w:color w:val="000000"/>
                <w:sz w:val="24"/>
                <w:szCs w:val="24"/>
              </w:rPr>
              <w:t>厂区内雨水均进入废水处理系统；或雨污分流，且雨排水系统具有下述所有措施：</w:t>
            </w:r>
          </w:p>
          <w:p>
            <w:pPr>
              <w:pStyle w:val="52"/>
              <w:spacing w:line="360" w:lineRule="exact"/>
              <w:jc w:val="left"/>
              <w:rPr>
                <w:color w:val="000000"/>
                <w:sz w:val="24"/>
                <w:szCs w:val="24"/>
              </w:rPr>
            </w:pPr>
            <w:r>
              <w:rPr>
                <w:rFonts w:hAnsi="宋体"/>
                <w:color w:val="000000"/>
                <w:sz w:val="24"/>
                <w:szCs w:val="24"/>
              </w:rPr>
              <w:t>①</w:t>
            </w:r>
            <w:r>
              <w:rPr>
                <w:rFonts w:hAnsi="宋体"/>
                <w:color w:val="000000"/>
                <w:spacing w:val="-4"/>
                <w:sz w:val="24"/>
                <w:szCs w:val="24"/>
              </w:rPr>
              <w:t>具有收集初期雨水的收集池或雨水监控池；池出水管上设置切断阀，正常情况下阀门关闭，防止受污染的水外排；池内设有提升设施，能将所集物送至厂区内污水处理设施处理；且</w:t>
            </w:r>
          </w:p>
          <w:p>
            <w:pPr>
              <w:pStyle w:val="52"/>
              <w:spacing w:line="360" w:lineRule="exact"/>
              <w:jc w:val="left"/>
              <w:rPr>
                <w:color w:val="000000"/>
                <w:sz w:val="24"/>
                <w:szCs w:val="24"/>
              </w:rPr>
            </w:pPr>
            <w:r>
              <w:rPr>
                <w:rFonts w:hAnsi="宋体"/>
                <w:color w:val="000000"/>
                <w:sz w:val="24"/>
                <w:szCs w:val="24"/>
              </w:rPr>
              <w:t>②具有雨水系统外排总排口（含泄洪渠）监视及关闭设施，有专人负责在紧急情况下关闭雨水排口（含与清净下水共用一套排水系统情况），防止雨水、消防水和泄漏物进入外环境；</w:t>
            </w:r>
          </w:p>
          <w:p>
            <w:pPr>
              <w:pStyle w:val="52"/>
              <w:spacing w:line="360" w:lineRule="exact"/>
              <w:jc w:val="left"/>
              <w:rPr>
                <w:color w:val="000000"/>
                <w:sz w:val="24"/>
                <w:szCs w:val="24"/>
              </w:rPr>
            </w:pPr>
            <w:r>
              <w:rPr>
                <w:rFonts w:hAnsi="宋体"/>
                <w:color w:val="000000"/>
                <w:sz w:val="24"/>
                <w:szCs w:val="24"/>
              </w:rPr>
              <w:t>③如果有排洪沟，排洪沟不通过生产区和罐区，具有防止泄漏物和受污染的消防水流入区域排洪沟的措施。</w:t>
            </w:r>
          </w:p>
        </w:tc>
        <w:tc>
          <w:tcPr>
            <w:tcW w:w="992" w:type="dxa"/>
            <w:vAlign w:val="center"/>
          </w:tcPr>
          <w:p>
            <w:pPr>
              <w:pStyle w:val="52"/>
              <w:spacing w:line="360" w:lineRule="exact"/>
              <w:rPr>
                <w:color w:val="000000"/>
                <w:sz w:val="24"/>
                <w:szCs w:val="24"/>
              </w:rPr>
            </w:pPr>
            <w:r>
              <w:rPr>
                <w:color w:val="000000"/>
                <w:sz w:val="24"/>
                <w:szCs w:val="24"/>
              </w:rPr>
              <w:t>0</w:t>
            </w:r>
          </w:p>
        </w:tc>
        <w:tc>
          <w:tcPr>
            <w:tcW w:w="1418" w:type="dxa"/>
            <w:vMerge w:val="restart"/>
            <w:vAlign w:val="center"/>
          </w:tcPr>
          <w:p>
            <w:pPr>
              <w:pStyle w:val="52"/>
              <w:spacing w:line="360" w:lineRule="exact"/>
              <w:rPr>
                <w:color w:val="000000"/>
                <w:sz w:val="24"/>
                <w:szCs w:val="24"/>
              </w:rPr>
            </w:pPr>
            <w:r>
              <w:rPr>
                <w:color w:val="000000"/>
                <w:sz w:val="24"/>
                <w:szCs w:val="24"/>
              </w:rPr>
              <w:t>0</w:t>
            </w:r>
          </w:p>
        </w:tc>
        <w:tc>
          <w:tcPr>
            <w:tcW w:w="3478" w:type="dxa"/>
            <w:vMerge w:val="restart"/>
            <w:vAlign w:val="center"/>
          </w:tcPr>
          <w:p>
            <w:pPr>
              <w:pStyle w:val="52"/>
              <w:spacing w:line="400" w:lineRule="exact"/>
              <w:jc w:val="left"/>
              <w:rPr>
                <w:color w:val="000000"/>
              </w:rPr>
            </w:pPr>
            <w:r>
              <w:rPr>
                <w:rFonts w:hAnsi="宋体"/>
                <w:color w:val="000000"/>
                <w:sz w:val="24"/>
                <w:szCs w:val="24"/>
              </w:rPr>
              <w:t>企业厂区下雨产生的雨水直接由地表明渠排出厂区。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不符合上述要求的。</w:t>
            </w:r>
          </w:p>
        </w:tc>
        <w:tc>
          <w:tcPr>
            <w:tcW w:w="992" w:type="dxa"/>
            <w:vAlign w:val="center"/>
          </w:tcPr>
          <w:p>
            <w:pPr>
              <w:pStyle w:val="52"/>
              <w:spacing w:line="360" w:lineRule="exact"/>
              <w:rPr>
                <w:color w:val="000000"/>
                <w:sz w:val="24"/>
                <w:szCs w:val="24"/>
              </w:rPr>
            </w:pPr>
            <w:r>
              <w:rPr>
                <w:color w:val="000000"/>
                <w:sz w:val="24"/>
                <w:szCs w:val="24"/>
              </w:rPr>
              <w:t>8</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restart"/>
            <w:vAlign w:val="center"/>
          </w:tcPr>
          <w:p>
            <w:pPr>
              <w:pStyle w:val="52"/>
              <w:spacing w:line="360" w:lineRule="exact"/>
              <w:rPr>
                <w:color w:val="000000"/>
                <w:sz w:val="24"/>
                <w:szCs w:val="24"/>
              </w:rPr>
            </w:pPr>
            <w:r>
              <w:rPr>
                <w:color w:val="000000"/>
                <w:sz w:val="24"/>
                <w:szCs w:val="24"/>
              </w:rPr>
              <w:t>5</w:t>
            </w:r>
          </w:p>
        </w:tc>
        <w:tc>
          <w:tcPr>
            <w:tcW w:w="1034" w:type="dxa"/>
            <w:vMerge w:val="restart"/>
            <w:vAlign w:val="center"/>
          </w:tcPr>
          <w:p>
            <w:pPr>
              <w:pStyle w:val="52"/>
              <w:spacing w:line="360" w:lineRule="exact"/>
              <w:rPr>
                <w:color w:val="000000"/>
                <w:sz w:val="24"/>
                <w:szCs w:val="24"/>
              </w:rPr>
            </w:pPr>
            <w:r>
              <w:rPr>
                <w:rFonts w:hAnsi="宋体"/>
                <w:color w:val="000000"/>
                <w:sz w:val="24"/>
                <w:szCs w:val="24"/>
              </w:rPr>
              <w:t>生产废水系统风险防控措施</w:t>
            </w:r>
          </w:p>
        </w:tc>
        <w:tc>
          <w:tcPr>
            <w:tcW w:w="6262" w:type="dxa"/>
            <w:vAlign w:val="center"/>
          </w:tcPr>
          <w:p>
            <w:pPr>
              <w:pStyle w:val="52"/>
              <w:spacing w:line="360" w:lineRule="exact"/>
              <w:jc w:val="left"/>
              <w:rPr>
                <w:color w:val="000000"/>
                <w:sz w:val="24"/>
                <w:szCs w:val="24"/>
              </w:rPr>
            </w:pPr>
            <w:r>
              <w:rPr>
                <w:color w:val="000000"/>
                <w:sz w:val="24"/>
                <w:szCs w:val="24"/>
              </w:rPr>
              <w:t>1</w:t>
            </w:r>
            <w:r>
              <w:rPr>
                <w:rFonts w:hAnsi="宋体"/>
                <w:color w:val="000000"/>
                <w:sz w:val="24"/>
                <w:szCs w:val="24"/>
              </w:rPr>
              <w:t>）无生产废水产生或外排；或</w:t>
            </w:r>
          </w:p>
          <w:p>
            <w:pPr>
              <w:pStyle w:val="52"/>
              <w:spacing w:line="360" w:lineRule="exact"/>
              <w:jc w:val="left"/>
              <w:rPr>
                <w:color w:val="000000"/>
                <w:sz w:val="24"/>
                <w:szCs w:val="24"/>
              </w:rPr>
            </w:pPr>
            <w:r>
              <w:rPr>
                <w:color w:val="000000"/>
                <w:sz w:val="24"/>
                <w:szCs w:val="24"/>
              </w:rPr>
              <w:t>2</w:t>
            </w:r>
            <w:r>
              <w:rPr>
                <w:rFonts w:hAnsi="宋体"/>
                <w:color w:val="000000"/>
                <w:sz w:val="24"/>
                <w:szCs w:val="24"/>
              </w:rPr>
              <w:t>）有废水产生或外排时：</w:t>
            </w:r>
          </w:p>
          <w:p>
            <w:pPr>
              <w:pStyle w:val="52"/>
              <w:spacing w:line="360" w:lineRule="exact"/>
              <w:jc w:val="left"/>
              <w:rPr>
                <w:color w:val="000000"/>
                <w:sz w:val="24"/>
                <w:szCs w:val="24"/>
              </w:rPr>
            </w:pPr>
            <w:r>
              <w:rPr>
                <w:rFonts w:hAnsi="宋体"/>
                <w:color w:val="000000"/>
                <w:sz w:val="24"/>
                <w:szCs w:val="24"/>
              </w:rPr>
              <w:t>①</w:t>
            </w:r>
            <w:r>
              <w:rPr>
                <w:rFonts w:hAnsi="宋体"/>
                <w:color w:val="000000"/>
                <w:spacing w:val="-4"/>
                <w:sz w:val="24"/>
                <w:szCs w:val="24"/>
              </w:rPr>
              <w:t>受污染的循环冷却水、雨水、消防水等排入生产污水系统或独立处理系统；且</w:t>
            </w:r>
          </w:p>
          <w:p>
            <w:pPr>
              <w:pStyle w:val="52"/>
              <w:spacing w:line="360" w:lineRule="exact"/>
              <w:jc w:val="left"/>
              <w:rPr>
                <w:color w:val="000000"/>
                <w:sz w:val="24"/>
                <w:szCs w:val="24"/>
              </w:rPr>
            </w:pPr>
            <w:r>
              <w:rPr>
                <w:rFonts w:hAnsi="宋体"/>
                <w:color w:val="000000"/>
                <w:sz w:val="24"/>
                <w:szCs w:val="24"/>
              </w:rPr>
              <w:t>②生产废水排放前设监控池，能够将不合格废水送废水处理设施重新处理；且</w:t>
            </w:r>
          </w:p>
          <w:p>
            <w:pPr>
              <w:pStyle w:val="52"/>
              <w:spacing w:line="360" w:lineRule="exact"/>
              <w:jc w:val="left"/>
              <w:rPr>
                <w:color w:val="000000"/>
                <w:sz w:val="24"/>
                <w:szCs w:val="24"/>
              </w:rPr>
            </w:pPr>
            <w:r>
              <w:rPr>
                <w:rFonts w:hAnsi="宋体"/>
                <w:color w:val="000000"/>
                <w:sz w:val="24"/>
                <w:szCs w:val="24"/>
              </w:rPr>
              <w:t>③如企业受污染的清净下水或雨水进入废水处理系统处理，则废水处理系统应设置事故水缓冲设施；</w:t>
            </w:r>
          </w:p>
          <w:p>
            <w:pPr>
              <w:pStyle w:val="52"/>
              <w:spacing w:line="360" w:lineRule="exact"/>
              <w:rPr>
                <w:color w:val="000000"/>
                <w:sz w:val="24"/>
                <w:szCs w:val="24"/>
              </w:rPr>
            </w:pPr>
            <w:r>
              <w:rPr>
                <w:rFonts w:hAnsi="宋体"/>
                <w:color w:val="000000"/>
                <w:sz w:val="24"/>
                <w:szCs w:val="24"/>
              </w:rPr>
              <w:t>④具有生产废水总排口监视及关闭设施，有专人负责启闭，确保泄漏物、受污染的消防水、不合格废水不排出厂外。</w:t>
            </w:r>
          </w:p>
        </w:tc>
        <w:tc>
          <w:tcPr>
            <w:tcW w:w="992" w:type="dxa"/>
            <w:vAlign w:val="center"/>
          </w:tcPr>
          <w:p>
            <w:pPr>
              <w:pStyle w:val="52"/>
              <w:spacing w:line="360" w:lineRule="exact"/>
              <w:rPr>
                <w:color w:val="000000"/>
                <w:sz w:val="24"/>
                <w:szCs w:val="24"/>
              </w:rPr>
            </w:pPr>
            <w:r>
              <w:rPr>
                <w:color w:val="000000"/>
                <w:sz w:val="24"/>
                <w:szCs w:val="24"/>
              </w:rPr>
              <w:t>0</w:t>
            </w:r>
          </w:p>
        </w:tc>
        <w:tc>
          <w:tcPr>
            <w:tcW w:w="1418" w:type="dxa"/>
            <w:vMerge w:val="restart"/>
            <w:vAlign w:val="center"/>
          </w:tcPr>
          <w:p>
            <w:pPr>
              <w:pStyle w:val="52"/>
              <w:spacing w:line="360" w:lineRule="exact"/>
              <w:rPr>
                <w:color w:val="000000"/>
                <w:sz w:val="24"/>
                <w:szCs w:val="24"/>
                <w:highlight w:val="yellow"/>
              </w:rPr>
            </w:pPr>
            <w:r>
              <w:rPr>
                <w:color w:val="000000"/>
                <w:sz w:val="24"/>
                <w:szCs w:val="24"/>
              </w:rPr>
              <w:t>0</w:t>
            </w:r>
          </w:p>
        </w:tc>
        <w:tc>
          <w:tcPr>
            <w:tcW w:w="3478" w:type="dxa"/>
            <w:vAlign w:val="center"/>
          </w:tcPr>
          <w:p>
            <w:pPr>
              <w:pStyle w:val="52"/>
              <w:spacing w:line="400" w:lineRule="exact"/>
              <w:jc w:val="left"/>
              <w:rPr>
                <w:color w:val="000000"/>
                <w:sz w:val="24"/>
                <w:szCs w:val="24"/>
                <w:highlight w:val="yellow"/>
              </w:rPr>
            </w:pPr>
            <w:r>
              <w:rPr>
                <w:rFonts w:hint="eastAsia"/>
                <w:color w:val="000000"/>
                <w:sz w:val="24"/>
                <w:szCs w:val="24"/>
              </w:rPr>
              <w:t>工业废水经污水处理工艺处理达标后，达标排放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rPr>
                <w:color w:val="000000"/>
                <w:sz w:val="24"/>
                <w:szCs w:val="24"/>
              </w:rPr>
            </w:pPr>
            <w:r>
              <w:rPr>
                <w:rFonts w:hAnsi="宋体"/>
                <w:color w:val="000000"/>
                <w:sz w:val="24"/>
                <w:szCs w:val="24"/>
              </w:rPr>
              <w:t>涉及废水产生或外排，但不符合上述</w:t>
            </w:r>
            <w:r>
              <w:rPr>
                <w:color w:val="000000"/>
                <w:sz w:val="24"/>
                <w:szCs w:val="24"/>
              </w:rPr>
              <w:t xml:space="preserve"> 2</w:t>
            </w:r>
            <w:r>
              <w:rPr>
                <w:rFonts w:hAnsi="宋体"/>
                <w:color w:val="000000"/>
                <w:sz w:val="24"/>
                <w:szCs w:val="24"/>
              </w:rPr>
              <w:t>）中任意一条要求的。</w:t>
            </w:r>
          </w:p>
        </w:tc>
        <w:tc>
          <w:tcPr>
            <w:tcW w:w="992" w:type="dxa"/>
            <w:vAlign w:val="center"/>
          </w:tcPr>
          <w:p>
            <w:pPr>
              <w:pStyle w:val="52"/>
              <w:spacing w:line="360" w:lineRule="exact"/>
              <w:rPr>
                <w:color w:val="000000"/>
                <w:sz w:val="24"/>
                <w:szCs w:val="24"/>
              </w:rPr>
            </w:pPr>
            <w:r>
              <w:rPr>
                <w:color w:val="000000"/>
                <w:sz w:val="24"/>
                <w:szCs w:val="24"/>
              </w:rPr>
              <w:t>8</w:t>
            </w:r>
          </w:p>
        </w:tc>
        <w:tc>
          <w:tcPr>
            <w:tcW w:w="1418" w:type="dxa"/>
            <w:vMerge w:val="continue"/>
            <w:vAlign w:val="center"/>
          </w:tcPr>
          <w:p>
            <w:pPr>
              <w:pStyle w:val="52"/>
              <w:spacing w:line="360" w:lineRule="exact"/>
              <w:rPr>
                <w:color w:val="000000"/>
                <w:sz w:val="24"/>
                <w:szCs w:val="24"/>
              </w:rPr>
            </w:pPr>
          </w:p>
        </w:tc>
        <w:tc>
          <w:tcPr>
            <w:tcW w:w="3478" w:type="dxa"/>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restart"/>
            <w:vAlign w:val="center"/>
          </w:tcPr>
          <w:p>
            <w:pPr>
              <w:pStyle w:val="52"/>
              <w:spacing w:line="360" w:lineRule="exact"/>
              <w:rPr>
                <w:color w:val="000000"/>
                <w:sz w:val="24"/>
                <w:szCs w:val="24"/>
              </w:rPr>
            </w:pPr>
            <w:r>
              <w:rPr>
                <w:color w:val="000000"/>
                <w:sz w:val="24"/>
                <w:szCs w:val="24"/>
              </w:rPr>
              <w:t>6</w:t>
            </w:r>
          </w:p>
        </w:tc>
        <w:tc>
          <w:tcPr>
            <w:tcW w:w="1034" w:type="dxa"/>
            <w:vMerge w:val="restart"/>
            <w:vAlign w:val="center"/>
          </w:tcPr>
          <w:p>
            <w:pPr>
              <w:pStyle w:val="52"/>
              <w:spacing w:line="360" w:lineRule="exact"/>
              <w:rPr>
                <w:color w:val="000000"/>
                <w:sz w:val="24"/>
                <w:szCs w:val="24"/>
              </w:rPr>
            </w:pPr>
            <w:r>
              <w:rPr>
                <w:rFonts w:hAnsi="宋体"/>
                <w:color w:val="000000"/>
                <w:sz w:val="24"/>
                <w:szCs w:val="24"/>
              </w:rPr>
              <w:t>废水排放去向</w:t>
            </w:r>
          </w:p>
        </w:tc>
        <w:tc>
          <w:tcPr>
            <w:tcW w:w="6262" w:type="dxa"/>
            <w:vAlign w:val="center"/>
          </w:tcPr>
          <w:p>
            <w:pPr>
              <w:pStyle w:val="52"/>
              <w:spacing w:line="360" w:lineRule="exact"/>
              <w:jc w:val="left"/>
              <w:rPr>
                <w:color w:val="000000"/>
                <w:sz w:val="24"/>
                <w:szCs w:val="24"/>
              </w:rPr>
            </w:pPr>
            <w:r>
              <w:rPr>
                <w:rFonts w:hAnsi="宋体"/>
                <w:color w:val="000000"/>
                <w:sz w:val="24"/>
                <w:szCs w:val="24"/>
              </w:rPr>
              <w:t>无生产废水产生或外排</w:t>
            </w:r>
          </w:p>
        </w:tc>
        <w:tc>
          <w:tcPr>
            <w:tcW w:w="992" w:type="dxa"/>
            <w:vAlign w:val="center"/>
          </w:tcPr>
          <w:p>
            <w:pPr>
              <w:pStyle w:val="52"/>
              <w:spacing w:line="360" w:lineRule="exact"/>
              <w:rPr>
                <w:color w:val="000000"/>
                <w:sz w:val="24"/>
                <w:szCs w:val="24"/>
              </w:rPr>
            </w:pPr>
            <w:r>
              <w:rPr>
                <w:color w:val="000000"/>
                <w:sz w:val="24"/>
                <w:szCs w:val="24"/>
              </w:rPr>
              <w:t>0</w:t>
            </w:r>
          </w:p>
        </w:tc>
        <w:tc>
          <w:tcPr>
            <w:tcW w:w="1418" w:type="dxa"/>
            <w:vMerge w:val="restart"/>
            <w:vAlign w:val="center"/>
          </w:tcPr>
          <w:p>
            <w:pPr>
              <w:pStyle w:val="52"/>
              <w:spacing w:line="360" w:lineRule="exact"/>
              <w:rPr>
                <w:color w:val="000000"/>
                <w:sz w:val="24"/>
                <w:szCs w:val="24"/>
              </w:rPr>
            </w:pPr>
            <w:r>
              <w:rPr>
                <w:rFonts w:hint="eastAsia"/>
                <w:color w:val="000000"/>
                <w:sz w:val="24"/>
                <w:szCs w:val="24"/>
              </w:rPr>
              <w:t>6</w:t>
            </w:r>
          </w:p>
        </w:tc>
        <w:tc>
          <w:tcPr>
            <w:tcW w:w="3478" w:type="dxa"/>
            <w:vMerge w:val="restart"/>
            <w:vAlign w:val="center"/>
          </w:tcPr>
          <w:p>
            <w:pPr>
              <w:pStyle w:val="52"/>
              <w:spacing w:line="400" w:lineRule="exact"/>
              <w:ind w:firstLine="240" w:firstLineChars="100"/>
              <w:jc w:val="left"/>
              <w:rPr>
                <w:color w:val="000000"/>
                <w:sz w:val="24"/>
                <w:szCs w:val="24"/>
              </w:rPr>
            </w:pPr>
            <w:r>
              <w:rPr>
                <w:rFonts w:hint="eastAsia"/>
                <w:color w:val="000000"/>
                <w:sz w:val="24"/>
                <w:szCs w:val="24"/>
              </w:rPr>
              <w:t>工业废水经污水处理工艺处理达标后，达标排放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w:t>
            </w:r>
            <w:r>
              <w:rPr>
                <w:color w:val="000000"/>
                <w:sz w:val="24"/>
                <w:szCs w:val="24"/>
              </w:rPr>
              <w:t>1</w:t>
            </w:r>
            <w:r>
              <w:rPr>
                <w:rFonts w:hAnsi="宋体"/>
                <w:color w:val="000000"/>
                <w:sz w:val="24"/>
                <w:szCs w:val="24"/>
              </w:rPr>
              <w:t>）依法获取污水排入排水管网许可，进入城镇污水处理厂；或</w:t>
            </w:r>
          </w:p>
          <w:p>
            <w:pPr>
              <w:pStyle w:val="52"/>
              <w:spacing w:line="360" w:lineRule="exact"/>
              <w:jc w:val="left"/>
              <w:rPr>
                <w:color w:val="000000"/>
                <w:sz w:val="24"/>
                <w:szCs w:val="24"/>
              </w:rPr>
            </w:pPr>
            <w:r>
              <w:rPr>
                <w:rFonts w:hAnsi="宋体"/>
                <w:color w:val="000000"/>
                <w:sz w:val="24"/>
                <w:szCs w:val="24"/>
              </w:rPr>
              <w:t>（</w:t>
            </w:r>
            <w:r>
              <w:rPr>
                <w:color w:val="000000"/>
                <w:sz w:val="24"/>
                <w:szCs w:val="24"/>
              </w:rPr>
              <w:t>2</w:t>
            </w:r>
            <w:r>
              <w:rPr>
                <w:rFonts w:hAnsi="宋体"/>
                <w:color w:val="000000"/>
                <w:sz w:val="24"/>
                <w:szCs w:val="24"/>
              </w:rPr>
              <w:t>）进入工业废水集中处理厂；或</w:t>
            </w:r>
          </w:p>
          <w:p>
            <w:pPr>
              <w:pStyle w:val="52"/>
              <w:spacing w:line="360" w:lineRule="exact"/>
              <w:jc w:val="left"/>
              <w:rPr>
                <w:color w:val="000000"/>
                <w:sz w:val="24"/>
                <w:szCs w:val="24"/>
              </w:rPr>
            </w:pPr>
            <w:r>
              <w:rPr>
                <w:rFonts w:hAnsi="宋体"/>
                <w:color w:val="000000"/>
                <w:sz w:val="24"/>
                <w:szCs w:val="24"/>
              </w:rPr>
              <w:t>（</w:t>
            </w:r>
            <w:r>
              <w:rPr>
                <w:color w:val="000000"/>
                <w:sz w:val="24"/>
                <w:szCs w:val="24"/>
              </w:rPr>
              <w:t>3</w:t>
            </w:r>
            <w:r>
              <w:rPr>
                <w:rFonts w:hAnsi="宋体"/>
                <w:color w:val="000000"/>
                <w:sz w:val="24"/>
                <w:szCs w:val="24"/>
              </w:rPr>
              <w:t>）进入其他单位</w:t>
            </w:r>
          </w:p>
        </w:tc>
        <w:tc>
          <w:tcPr>
            <w:tcW w:w="992" w:type="dxa"/>
            <w:vAlign w:val="center"/>
          </w:tcPr>
          <w:p>
            <w:pPr>
              <w:pStyle w:val="52"/>
              <w:spacing w:line="360" w:lineRule="exact"/>
              <w:rPr>
                <w:color w:val="000000"/>
                <w:sz w:val="24"/>
                <w:szCs w:val="24"/>
              </w:rPr>
            </w:pPr>
            <w:r>
              <w:rPr>
                <w:color w:val="000000"/>
                <w:sz w:val="24"/>
                <w:szCs w:val="24"/>
              </w:rPr>
              <w:t>6</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w:t>
            </w:r>
            <w:r>
              <w:rPr>
                <w:color w:val="000000"/>
                <w:sz w:val="24"/>
                <w:szCs w:val="24"/>
              </w:rPr>
              <w:t>1</w:t>
            </w:r>
            <w:r>
              <w:rPr>
                <w:rFonts w:hAnsi="宋体"/>
                <w:color w:val="000000"/>
                <w:sz w:val="24"/>
                <w:szCs w:val="24"/>
              </w:rPr>
              <w:t>）直接进入海域或进入江、河、湖、库等水环境；或</w:t>
            </w:r>
          </w:p>
          <w:p>
            <w:pPr>
              <w:pStyle w:val="52"/>
              <w:spacing w:line="360" w:lineRule="exact"/>
              <w:jc w:val="left"/>
              <w:rPr>
                <w:color w:val="000000"/>
                <w:sz w:val="24"/>
                <w:szCs w:val="24"/>
              </w:rPr>
            </w:pPr>
            <w:r>
              <w:rPr>
                <w:rFonts w:hAnsi="宋体"/>
                <w:color w:val="000000"/>
                <w:sz w:val="24"/>
                <w:szCs w:val="24"/>
              </w:rPr>
              <w:t>（</w:t>
            </w:r>
            <w:r>
              <w:rPr>
                <w:color w:val="000000"/>
                <w:sz w:val="24"/>
                <w:szCs w:val="24"/>
              </w:rPr>
              <w:t>2</w:t>
            </w:r>
            <w:r>
              <w:rPr>
                <w:rFonts w:hAnsi="宋体"/>
                <w:color w:val="000000"/>
                <w:sz w:val="24"/>
                <w:szCs w:val="24"/>
              </w:rPr>
              <w:t>）进入城市下水道再入江、河、湖、库或再进入海域；或</w:t>
            </w:r>
          </w:p>
          <w:p>
            <w:pPr>
              <w:pStyle w:val="52"/>
              <w:spacing w:line="360" w:lineRule="exact"/>
              <w:jc w:val="left"/>
              <w:rPr>
                <w:color w:val="000000"/>
                <w:sz w:val="24"/>
                <w:szCs w:val="24"/>
              </w:rPr>
            </w:pPr>
            <w:r>
              <w:rPr>
                <w:rFonts w:hAnsi="宋体"/>
                <w:color w:val="000000"/>
                <w:sz w:val="24"/>
                <w:szCs w:val="24"/>
              </w:rPr>
              <w:t>（</w:t>
            </w:r>
            <w:r>
              <w:rPr>
                <w:color w:val="000000"/>
                <w:sz w:val="24"/>
                <w:szCs w:val="24"/>
              </w:rPr>
              <w:t>3</w:t>
            </w:r>
            <w:r>
              <w:rPr>
                <w:rFonts w:hAnsi="宋体"/>
                <w:color w:val="000000"/>
                <w:sz w:val="24"/>
                <w:szCs w:val="24"/>
              </w:rPr>
              <w:t>）未依法取得污水排入排水管网许可，进入城镇污水处理厂；或</w:t>
            </w:r>
          </w:p>
          <w:p>
            <w:pPr>
              <w:pStyle w:val="52"/>
              <w:spacing w:line="360" w:lineRule="exact"/>
              <w:jc w:val="left"/>
              <w:rPr>
                <w:color w:val="000000"/>
                <w:sz w:val="24"/>
                <w:szCs w:val="24"/>
              </w:rPr>
            </w:pPr>
            <w:r>
              <w:rPr>
                <w:rFonts w:hAnsi="宋体"/>
                <w:color w:val="000000"/>
                <w:sz w:val="24"/>
                <w:szCs w:val="24"/>
              </w:rPr>
              <w:t>（</w:t>
            </w:r>
            <w:r>
              <w:rPr>
                <w:color w:val="000000"/>
                <w:sz w:val="24"/>
                <w:szCs w:val="24"/>
              </w:rPr>
              <w:t>4</w:t>
            </w:r>
            <w:r>
              <w:rPr>
                <w:rFonts w:hAnsi="宋体"/>
                <w:color w:val="000000"/>
                <w:sz w:val="24"/>
                <w:szCs w:val="24"/>
              </w:rPr>
              <w:t>）直接进入污灌农田或蒸发地</w:t>
            </w:r>
          </w:p>
        </w:tc>
        <w:tc>
          <w:tcPr>
            <w:tcW w:w="992" w:type="dxa"/>
            <w:vAlign w:val="center"/>
          </w:tcPr>
          <w:p>
            <w:pPr>
              <w:pStyle w:val="52"/>
              <w:spacing w:line="360" w:lineRule="exact"/>
              <w:rPr>
                <w:color w:val="000000"/>
                <w:sz w:val="24"/>
                <w:szCs w:val="24"/>
              </w:rPr>
            </w:pPr>
            <w:r>
              <w:rPr>
                <w:color w:val="000000"/>
                <w:sz w:val="24"/>
                <w:szCs w:val="24"/>
              </w:rPr>
              <w:t>12</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restart"/>
            <w:vAlign w:val="center"/>
          </w:tcPr>
          <w:p>
            <w:pPr>
              <w:pStyle w:val="52"/>
              <w:spacing w:line="360" w:lineRule="exact"/>
              <w:rPr>
                <w:color w:val="000000"/>
                <w:sz w:val="24"/>
                <w:szCs w:val="24"/>
              </w:rPr>
            </w:pPr>
            <w:r>
              <w:rPr>
                <w:color w:val="000000"/>
                <w:sz w:val="24"/>
                <w:szCs w:val="24"/>
              </w:rPr>
              <w:t>7</w:t>
            </w:r>
          </w:p>
        </w:tc>
        <w:tc>
          <w:tcPr>
            <w:tcW w:w="1034" w:type="dxa"/>
            <w:vMerge w:val="restart"/>
            <w:vAlign w:val="center"/>
          </w:tcPr>
          <w:p>
            <w:pPr>
              <w:pStyle w:val="52"/>
              <w:spacing w:line="360" w:lineRule="exact"/>
              <w:rPr>
                <w:color w:val="000000"/>
                <w:sz w:val="24"/>
                <w:szCs w:val="24"/>
              </w:rPr>
            </w:pPr>
            <w:r>
              <w:rPr>
                <w:rFonts w:hAnsi="宋体"/>
                <w:color w:val="000000"/>
                <w:sz w:val="24"/>
                <w:szCs w:val="24"/>
              </w:rPr>
              <w:t>厂内危险废物环境管理</w:t>
            </w:r>
          </w:p>
        </w:tc>
        <w:tc>
          <w:tcPr>
            <w:tcW w:w="6262" w:type="dxa"/>
            <w:vAlign w:val="center"/>
          </w:tcPr>
          <w:p>
            <w:pPr>
              <w:pStyle w:val="52"/>
              <w:spacing w:line="360" w:lineRule="exact"/>
              <w:jc w:val="left"/>
              <w:rPr>
                <w:color w:val="000000"/>
                <w:sz w:val="24"/>
                <w:szCs w:val="24"/>
              </w:rPr>
            </w:pPr>
            <w:r>
              <w:rPr>
                <w:rFonts w:hAnsi="宋体"/>
                <w:color w:val="000000"/>
                <w:sz w:val="24"/>
                <w:szCs w:val="24"/>
              </w:rPr>
              <w:t>（</w:t>
            </w:r>
            <w:r>
              <w:rPr>
                <w:color w:val="000000"/>
                <w:sz w:val="24"/>
                <w:szCs w:val="24"/>
              </w:rPr>
              <w:t>1</w:t>
            </w:r>
            <w:r>
              <w:rPr>
                <w:rFonts w:hAnsi="宋体"/>
                <w:color w:val="000000"/>
                <w:sz w:val="24"/>
                <w:szCs w:val="24"/>
              </w:rPr>
              <w:t>）不涉及危险废物的；或</w:t>
            </w:r>
          </w:p>
          <w:p>
            <w:pPr>
              <w:pStyle w:val="52"/>
              <w:spacing w:line="360" w:lineRule="exact"/>
              <w:jc w:val="left"/>
              <w:rPr>
                <w:color w:val="000000"/>
                <w:sz w:val="24"/>
                <w:szCs w:val="24"/>
              </w:rPr>
            </w:pPr>
            <w:r>
              <w:rPr>
                <w:rFonts w:hAnsi="宋体"/>
                <w:color w:val="000000"/>
                <w:sz w:val="24"/>
                <w:szCs w:val="24"/>
              </w:rPr>
              <w:t>（</w:t>
            </w:r>
            <w:r>
              <w:rPr>
                <w:color w:val="000000"/>
                <w:sz w:val="24"/>
                <w:szCs w:val="24"/>
              </w:rPr>
              <w:t>2</w:t>
            </w:r>
            <w:r>
              <w:rPr>
                <w:rFonts w:hAnsi="宋体"/>
                <w:color w:val="000000"/>
                <w:sz w:val="24"/>
                <w:szCs w:val="24"/>
              </w:rPr>
              <w:t>）针对危险废物分区贮存、运输、利用、处置具有完善的专业设施和风险防控措施</w:t>
            </w:r>
          </w:p>
        </w:tc>
        <w:tc>
          <w:tcPr>
            <w:tcW w:w="992" w:type="dxa"/>
            <w:vAlign w:val="center"/>
          </w:tcPr>
          <w:p>
            <w:pPr>
              <w:pStyle w:val="52"/>
              <w:spacing w:line="360" w:lineRule="exact"/>
              <w:rPr>
                <w:color w:val="000000"/>
                <w:sz w:val="24"/>
                <w:szCs w:val="24"/>
              </w:rPr>
            </w:pPr>
            <w:r>
              <w:rPr>
                <w:color w:val="000000"/>
                <w:sz w:val="24"/>
                <w:szCs w:val="24"/>
              </w:rPr>
              <w:t>0</w:t>
            </w:r>
          </w:p>
        </w:tc>
        <w:tc>
          <w:tcPr>
            <w:tcW w:w="1418" w:type="dxa"/>
            <w:vMerge w:val="restart"/>
            <w:vAlign w:val="center"/>
          </w:tcPr>
          <w:p>
            <w:pPr>
              <w:pStyle w:val="52"/>
              <w:spacing w:line="360" w:lineRule="exact"/>
              <w:rPr>
                <w:color w:val="000000"/>
                <w:sz w:val="24"/>
                <w:szCs w:val="24"/>
              </w:rPr>
            </w:pPr>
            <w:r>
              <w:rPr>
                <w:color w:val="000000"/>
                <w:sz w:val="24"/>
                <w:szCs w:val="24"/>
              </w:rPr>
              <w:t>0</w:t>
            </w:r>
          </w:p>
        </w:tc>
        <w:tc>
          <w:tcPr>
            <w:tcW w:w="3478" w:type="dxa"/>
            <w:vMerge w:val="restart"/>
            <w:vAlign w:val="center"/>
          </w:tcPr>
          <w:p>
            <w:pPr>
              <w:pStyle w:val="52"/>
              <w:spacing w:line="360" w:lineRule="exact"/>
              <w:rPr>
                <w:color w:val="000000"/>
                <w:sz w:val="24"/>
                <w:szCs w:val="24"/>
              </w:rPr>
            </w:pPr>
            <w:r>
              <w:rPr>
                <w:rFonts w:hAnsi="宋体"/>
                <w:color w:val="000000"/>
                <w:sz w:val="24"/>
                <w:szCs w:val="24"/>
              </w:rPr>
              <w:t>危险废物具有完善的专业设施和风险防控措施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both"/>
              <w:rPr>
                <w:color w:val="000000"/>
                <w:sz w:val="24"/>
                <w:szCs w:val="24"/>
              </w:rPr>
            </w:pPr>
            <w:r>
              <w:rPr>
                <w:rFonts w:hAnsi="宋体"/>
                <w:color w:val="000000"/>
                <w:sz w:val="24"/>
                <w:szCs w:val="24"/>
              </w:rPr>
              <w:t>不具备完善的危险废物贮存、运输、利用、处置设施和风险防控措施</w:t>
            </w:r>
          </w:p>
        </w:tc>
        <w:tc>
          <w:tcPr>
            <w:tcW w:w="992" w:type="dxa"/>
            <w:vAlign w:val="center"/>
          </w:tcPr>
          <w:p>
            <w:pPr>
              <w:pStyle w:val="52"/>
              <w:spacing w:line="360" w:lineRule="exact"/>
              <w:rPr>
                <w:color w:val="000000"/>
                <w:sz w:val="24"/>
                <w:szCs w:val="24"/>
              </w:rPr>
            </w:pPr>
            <w:r>
              <w:rPr>
                <w:color w:val="000000"/>
                <w:sz w:val="24"/>
                <w:szCs w:val="24"/>
              </w:rPr>
              <w:t>10</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restart"/>
            <w:vAlign w:val="center"/>
          </w:tcPr>
          <w:p>
            <w:pPr>
              <w:pStyle w:val="52"/>
              <w:spacing w:line="360" w:lineRule="exact"/>
              <w:rPr>
                <w:color w:val="000000"/>
                <w:sz w:val="24"/>
                <w:szCs w:val="24"/>
              </w:rPr>
            </w:pPr>
            <w:r>
              <w:rPr>
                <w:color w:val="000000"/>
                <w:sz w:val="24"/>
                <w:szCs w:val="24"/>
              </w:rPr>
              <w:t>8</w:t>
            </w:r>
          </w:p>
        </w:tc>
        <w:tc>
          <w:tcPr>
            <w:tcW w:w="1034" w:type="dxa"/>
            <w:vMerge w:val="restart"/>
            <w:vAlign w:val="center"/>
          </w:tcPr>
          <w:p>
            <w:pPr>
              <w:pStyle w:val="52"/>
              <w:spacing w:line="360" w:lineRule="exact"/>
              <w:rPr>
                <w:color w:val="000000"/>
                <w:sz w:val="24"/>
                <w:szCs w:val="24"/>
              </w:rPr>
            </w:pPr>
            <w:r>
              <w:rPr>
                <w:rFonts w:hAnsi="宋体"/>
                <w:color w:val="000000"/>
                <w:sz w:val="24"/>
                <w:szCs w:val="24"/>
              </w:rPr>
              <w:t>近</w:t>
            </w:r>
            <w:r>
              <w:rPr>
                <w:color w:val="000000"/>
                <w:sz w:val="24"/>
                <w:szCs w:val="24"/>
              </w:rPr>
              <w:t>3</w:t>
            </w:r>
            <w:r>
              <w:rPr>
                <w:rFonts w:hAnsi="宋体"/>
                <w:color w:val="000000"/>
                <w:sz w:val="24"/>
                <w:szCs w:val="24"/>
              </w:rPr>
              <w:t>年内突发水环境事件发生情况</w:t>
            </w:r>
          </w:p>
        </w:tc>
        <w:tc>
          <w:tcPr>
            <w:tcW w:w="6262" w:type="dxa"/>
            <w:vAlign w:val="center"/>
          </w:tcPr>
          <w:p>
            <w:pPr>
              <w:pStyle w:val="52"/>
              <w:spacing w:line="360" w:lineRule="exact"/>
              <w:jc w:val="left"/>
              <w:rPr>
                <w:color w:val="000000"/>
                <w:sz w:val="24"/>
                <w:szCs w:val="24"/>
              </w:rPr>
            </w:pPr>
            <w:r>
              <w:rPr>
                <w:rFonts w:hAnsi="宋体"/>
                <w:color w:val="000000"/>
                <w:sz w:val="24"/>
                <w:szCs w:val="24"/>
              </w:rPr>
              <w:t>发生过特别重大及重大等级突发水环境事件的</w:t>
            </w:r>
          </w:p>
        </w:tc>
        <w:tc>
          <w:tcPr>
            <w:tcW w:w="992" w:type="dxa"/>
            <w:vAlign w:val="center"/>
          </w:tcPr>
          <w:p>
            <w:pPr>
              <w:pStyle w:val="52"/>
              <w:spacing w:line="360" w:lineRule="exact"/>
              <w:rPr>
                <w:color w:val="000000"/>
                <w:sz w:val="24"/>
                <w:szCs w:val="24"/>
              </w:rPr>
            </w:pPr>
            <w:r>
              <w:rPr>
                <w:color w:val="000000"/>
                <w:sz w:val="24"/>
                <w:szCs w:val="24"/>
              </w:rPr>
              <w:t>8</w:t>
            </w:r>
          </w:p>
        </w:tc>
        <w:tc>
          <w:tcPr>
            <w:tcW w:w="1418" w:type="dxa"/>
            <w:vMerge w:val="restart"/>
            <w:vAlign w:val="center"/>
          </w:tcPr>
          <w:p>
            <w:pPr>
              <w:pStyle w:val="52"/>
              <w:spacing w:line="360" w:lineRule="exact"/>
              <w:rPr>
                <w:color w:val="000000"/>
                <w:sz w:val="24"/>
                <w:szCs w:val="24"/>
              </w:rPr>
            </w:pPr>
            <w:r>
              <w:rPr>
                <w:color w:val="000000"/>
                <w:sz w:val="24"/>
                <w:szCs w:val="24"/>
              </w:rPr>
              <w:t>0</w:t>
            </w:r>
          </w:p>
        </w:tc>
        <w:tc>
          <w:tcPr>
            <w:tcW w:w="3478" w:type="dxa"/>
            <w:vMerge w:val="restart"/>
            <w:vAlign w:val="center"/>
          </w:tcPr>
          <w:p>
            <w:pPr>
              <w:pStyle w:val="52"/>
              <w:spacing w:line="360" w:lineRule="exact"/>
              <w:rPr>
                <w:color w:val="000000"/>
                <w:sz w:val="24"/>
                <w:szCs w:val="24"/>
              </w:rPr>
            </w:pPr>
            <w:r>
              <w:rPr>
                <w:rFonts w:hAnsi="宋体"/>
                <w:color w:val="000000"/>
                <w:sz w:val="24"/>
                <w:szCs w:val="24"/>
              </w:rPr>
              <w:t>企业未发生过突发水环境事件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发生过较大等级突发水环境事件的</w:t>
            </w:r>
          </w:p>
        </w:tc>
        <w:tc>
          <w:tcPr>
            <w:tcW w:w="992" w:type="dxa"/>
            <w:vAlign w:val="center"/>
          </w:tcPr>
          <w:p>
            <w:pPr>
              <w:pStyle w:val="52"/>
              <w:spacing w:line="360" w:lineRule="exact"/>
              <w:rPr>
                <w:color w:val="000000"/>
                <w:sz w:val="24"/>
                <w:szCs w:val="24"/>
              </w:rPr>
            </w:pPr>
            <w:r>
              <w:rPr>
                <w:color w:val="000000"/>
                <w:sz w:val="24"/>
                <w:szCs w:val="24"/>
              </w:rPr>
              <w:t>6</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发生过一般等级突发水环境事件的</w:t>
            </w:r>
          </w:p>
        </w:tc>
        <w:tc>
          <w:tcPr>
            <w:tcW w:w="992" w:type="dxa"/>
            <w:vAlign w:val="center"/>
          </w:tcPr>
          <w:p>
            <w:pPr>
              <w:pStyle w:val="52"/>
              <w:spacing w:line="360" w:lineRule="exact"/>
              <w:rPr>
                <w:color w:val="000000"/>
                <w:sz w:val="24"/>
                <w:szCs w:val="24"/>
              </w:rPr>
            </w:pPr>
            <w:r>
              <w:rPr>
                <w:color w:val="000000"/>
                <w:sz w:val="24"/>
                <w:szCs w:val="24"/>
              </w:rPr>
              <w:t>4</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34" w:type="dxa"/>
            <w:vMerge w:val="continue"/>
            <w:vAlign w:val="center"/>
          </w:tcPr>
          <w:p>
            <w:pPr>
              <w:pStyle w:val="52"/>
              <w:spacing w:line="360" w:lineRule="exact"/>
              <w:rPr>
                <w:color w:val="000000"/>
                <w:sz w:val="24"/>
                <w:szCs w:val="24"/>
              </w:rPr>
            </w:pPr>
          </w:p>
        </w:tc>
        <w:tc>
          <w:tcPr>
            <w:tcW w:w="1034" w:type="dxa"/>
            <w:vMerge w:val="continue"/>
            <w:vAlign w:val="center"/>
          </w:tcPr>
          <w:p>
            <w:pPr>
              <w:pStyle w:val="52"/>
              <w:spacing w:line="360" w:lineRule="exact"/>
              <w:rPr>
                <w:color w:val="000000"/>
                <w:sz w:val="24"/>
                <w:szCs w:val="24"/>
              </w:rPr>
            </w:pPr>
          </w:p>
        </w:tc>
        <w:tc>
          <w:tcPr>
            <w:tcW w:w="6262" w:type="dxa"/>
            <w:vAlign w:val="center"/>
          </w:tcPr>
          <w:p>
            <w:pPr>
              <w:pStyle w:val="52"/>
              <w:spacing w:line="360" w:lineRule="exact"/>
              <w:jc w:val="left"/>
              <w:rPr>
                <w:color w:val="000000"/>
                <w:sz w:val="24"/>
                <w:szCs w:val="24"/>
              </w:rPr>
            </w:pPr>
            <w:r>
              <w:rPr>
                <w:rFonts w:hAnsi="宋体"/>
                <w:color w:val="000000"/>
                <w:sz w:val="24"/>
                <w:szCs w:val="24"/>
              </w:rPr>
              <w:t>未发生突发水环境事件的</w:t>
            </w:r>
          </w:p>
        </w:tc>
        <w:tc>
          <w:tcPr>
            <w:tcW w:w="992" w:type="dxa"/>
            <w:vAlign w:val="center"/>
          </w:tcPr>
          <w:p>
            <w:pPr>
              <w:pStyle w:val="52"/>
              <w:spacing w:line="360" w:lineRule="exact"/>
              <w:rPr>
                <w:color w:val="000000"/>
                <w:sz w:val="24"/>
                <w:szCs w:val="24"/>
              </w:rPr>
            </w:pPr>
            <w:r>
              <w:rPr>
                <w:color w:val="000000"/>
                <w:sz w:val="24"/>
                <w:szCs w:val="24"/>
              </w:rPr>
              <w:t>0</w:t>
            </w:r>
          </w:p>
        </w:tc>
        <w:tc>
          <w:tcPr>
            <w:tcW w:w="1418" w:type="dxa"/>
            <w:vMerge w:val="continue"/>
            <w:vAlign w:val="center"/>
          </w:tcPr>
          <w:p>
            <w:pPr>
              <w:pStyle w:val="52"/>
              <w:spacing w:line="360" w:lineRule="exact"/>
              <w:rPr>
                <w:color w:val="000000"/>
                <w:sz w:val="24"/>
                <w:szCs w:val="24"/>
              </w:rPr>
            </w:pPr>
          </w:p>
        </w:tc>
        <w:tc>
          <w:tcPr>
            <w:tcW w:w="3478" w:type="dxa"/>
            <w:vMerge w:val="continue"/>
            <w:vAlign w:val="center"/>
          </w:tcPr>
          <w:p>
            <w:pPr>
              <w:pStyle w:val="52"/>
              <w:spacing w:line="360" w:lineRule="exact"/>
              <w:rPr>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9322" w:type="dxa"/>
            <w:gridSpan w:val="4"/>
            <w:vAlign w:val="center"/>
          </w:tcPr>
          <w:p>
            <w:pPr>
              <w:pStyle w:val="52"/>
              <w:spacing w:line="360" w:lineRule="exact"/>
              <w:rPr>
                <w:color w:val="000000"/>
                <w:sz w:val="24"/>
                <w:szCs w:val="24"/>
              </w:rPr>
            </w:pPr>
            <w:r>
              <w:rPr>
                <w:rFonts w:hAnsi="宋体"/>
                <w:color w:val="000000"/>
                <w:sz w:val="24"/>
                <w:szCs w:val="24"/>
              </w:rPr>
              <w:t>总分</w:t>
            </w:r>
          </w:p>
        </w:tc>
        <w:tc>
          <w:tcPr>
            <w:tcW w:w="4896" w:type="dxa"/>
            <w:gridSpan w:val="2"/>
            <w:vAlign w:val="center"/>
          </w:tcPr>
          <w:p>
            <w:pPr>
              <w:pStyle w:val="52"/>
              <w:spacing w:line="360" w:lineRule="exact"/>
              <w:rPr>
                <w:color w:val="000000"/>
                <w:sz w:val="24"/>
                <w:szCs w:val="24"/>
              </w:rPr>
            </w:pPr>
            <w:r>
              <w:rPr>
                <w:rFonts w:hint="eastAsia"/>
                <w:color w:val="000000"/>
                <w:sz w:val="24"/>
                <w:szCs w:val="24"/>
              </w:rPr>
              <w:t>14</w:t>
            </w:r>
          </w:p>
        </w:tc>
      </w:tr>
    </w:tbl>
    <w:p>
      <w:pPr>
        <w:pStyle w:val="35"/>
        <w:ind w:firstLine="480"/>
        <w:rPr>
          <w:rFonts w:cs="Times New Roman"/>
          <w:color w:val="000000"/>
        </w:rPr>
        <w:sectPr>
          <w:pgSz w:w="16838" w:h="11906" w:orient="landscape"/>
          <w:pgMar w:top="1418" w:right="1418" w:bottom="1418" w:left="1418" w:header="851" w:footer="992" w:gutter="0"/>
          <w:cols w:space="720" w:num="1"/>
          <w:docGrid w:linePitch="326" w:charSpace="0"/>
        </w:sectPr>
      </w:pPr>
    </w:p>
    <w:p>
      <w:pPr>
        <w:pStyle w:val="35"/>
        <w:ind w:firstLine="480"/>
        <w:rPr>
          <w:rFonts w:cs="Times New Roman"/>
          <w:color w:val="000000"/>
        </w:rPr>
      </w:pPr>
      <w:r>
        <w:rPr>
          <w:rFonts w:hAnsi="宋体" w:cs="Times New Roman"/>
          <w:color w:val="000000"/>
        </w:rPr>
        <w:t>根据企业水环境风险措施和突发水环境事件发生情况评估表，本企业水环境风险措施和突发水环境事件发生情况评分为</w:t>
      </w:r>
      <w:r>
        <w:rPr>
          <w:rFonts w:hint="eastAsia" w:cs="Times New Roman"/>
          <w:color w:val="000000"/>
        </w:rPr>
        <w:t>14</w:t>
      </w:r>
      <w:r>
        <w:rPr>
          <w:rFonts w:hAnsi="宋体" w:cs="Times New Roman"/>
          <w:color w:val="000000"/>
        </w:rPr>
        <w:t>。</w:t>
      </w:r>
    </w:p>
    <w:p>
      <w:pPr>
        <w:pStyle w:val="35"/>
        <w:ind w:firstLine="480"/>
        <w:rPr>
          <w:rFonts w:cs="Times New Roman"/>
          <w:color w:val="000000"/>
        </w:rPr>
      </w:pPr>
      <w:r>
        <w:rPr>
          <w:rFonts w:hAnsi="宋体" w:cs="Times New Roman"/>
          <w:color w:val="000000"/>
        </w:rPr>
        <w:t>根据上述评分表格，</w:t>
      </w:r>
      <w:r>
        <w:rPr>
          <w:rFonts w:cs="Times New Roman"/>
          <w:color w:val="000000"/>
        </w:rPr>
        <w:t>M</w:t>
      </w:r>
      <w:r>
        <w:rPr>
          <w:rFonts w:hAnsi="宋体" w:cs="Times New Roman"/>
          <w:color w:val="000000"/>
          <w:vertAlign w:val="subscript"/>
        </w:rPr>
        <w:t>水</w:t>
      </w:r>
      <w:r>
        <w:rPr>
          <w:rFonts w:cs="Times New Roman"/>
          <w:color w:val="000000"/>
        </w:rPr>
        <w:t>=</w:t>
      </w:r>
      <w:r>
        <w:rPr>
          <w:rFonts w:hint="eastAsia" w:cs="Times New Roman"/>
          <w:color w:val="000000"/>
        </w:rPr>
        <w:t>14</w:t>
      </w:r>
      <w:r>
        <w:rPr>
          <w:rFonts w:hAnsi="宋体" w:cs="Times New Roman"/>
          <w:color w:val="000000"/>
        </w:rPr>
        <w:t>。</w:t>
      </w:r>
    </w:p>
    <w:p>
      <w:pPr>
        <w:pStyle w:val="10"/>
        <w:keepNext/>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7</w:t>
      </w:r>
      <w:r>
        <w:rPr>
          <w:rFonts w:hint="eastAsia" w:ascii="Times New Roman" w:hAnsi="Times New Roman" w:eastAsia="宋体" w:cs="Times New Roman"/>
          <w:b/>
          <w:color w:val="000000"/>
          <w:sz w:val="24"/>
          <w:szCs w:val="24"/>
        </w:rPr>
        <w:t>-6</w:t>
      </w:r>
      <w:r>
        <w:rPr>
          <w:rFonts w:ascii="Times New Roman" w:hAnsi="Times New Roman" w:eastAsia="宋体" w:cs="Times New Roman"/>
          <w:b/>
          <w:color w:val="000000"/>
          <w:sz w:val="24"/>
          <w:szCs w:val="24"/>
        </w:rPr>
        <w:t xml:space="preserve">  </w:t>
      </w:r>
      <w:r>
        <w:rPr>
          <w:rFonts w:ascii="Times New Roman" w:hAnsi="宋体" w:eastAsia="宋体" w:cs="Times New Roman"/>
          <w:b/>
          <w:color w:val="000000"/>
          <w:sz w:val="24"/>
          <w:szCs w:val="24"/>
        </w:rPr>
        <w:t>风险及其控制水平等级表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4643"/>
        <w:gridCol w:w="464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4643" w:type="dxa"/>
            <w:shd w:val="clear" w:color="auto" w:fill="D9D9D9"/>
            <w:vAlign w:val="center"/>
          </w:tcPr>
          <w:p>
            <w:pPr>
              <w:pStyle w:val="45"/>
              <w:rPr>
                <w:color w:val="000000"/>
              </w:rPr>
            </w:pPr>
            <w:r>
              <w:rPr>
                <w:rFonts w:hAnsi="宋体"/>
                <w:color w:val="000000"/>
              </w:rPr>
              <w:t>环境风险及其控制水平值（</w:t>
            </w:r>
            <w:r>
              <w:rPr>
                <w:color w:val="000000"/>
              </w:rPr>
              <w:t>M</w:t>
            </w:r>
            <w:r>
              <w:rPr>
                <w:rFonts w:hAnsi="宋体"/>
                <w:color w:val="000000"/>
              </w:rPr>
              <w:t>）</w:t>
            </w:r>
          </w:p>
        </w:tc>
        <w:tc>
          <w:tcPr>
            <w:tcW w:w="4643" w:type="dxa"/>
            <w:shd w:val="clear" w:color="auto" w:fill="D9D9D9"/>
            <w:vAlign w:val="center"/>
          </w:tcPr>
          <w:p>
            <w:pPr>
              <w:pStyle w:val="45"/>
              <w:rPr>
                <w:color w:val="000000"/>
              </w:rPr>
            </w:pPr>
            <w:r>
              <w:rPr>
                <w:rFonts w:hAnsi="宋体"/>
                <w:color w:val="000000"/>
              </w:rPr>
              <w:t>环境风险及其控制水平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4643" w:type="dxa"/>
            <w:vAlign w:val="center"/>
          </w:tcPr>
          <w:p>
            <w:pPr>
              <w:pStyle w:val="45"/>
              <w:rPr>
                <w:color w:val="000000"/>
              </w:rPr>
            </w:pPr>
            <w:r>
              <w:rPr>
                <w:color w:val="000000"/>
              </w:rPr>
              <w:t>M≤25</w:t>
            </w:r>
          </w:p>
        </w:tc>
        <w:tc>
          <w:tcPr>
            <w:tcW w:w="4643" w:type="dxa"/>
            <w:vAlign w:val="center"/>
          </w:tcPr>
          <w:p>
            <w:pPr>
              <w:pStyle w:val="45"/>
              <w:rPr>
                <w:color w:val="000000"/>
              </w:rPr>
            </w:pPr>
            <w:r>
              <w:rPr>
                <w:color w:val="000000"/>
              </w:rPr>
              <w:t>M1</w:t>
            </w:r>
            <w:r>
              <w:rPr>
                <w:rFonts w:hAnsi="宋体"/>
                <w:color w:val="000000"/>
              </w:rPr>
              <w:t>类水平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4643" w:type="dxa"/>
            <w:vAlign w:val="center"/>
          </w:tcPr>
          <w:p>
            <w:pPr>
              <w:pStyle w:val="45"/>
              <w:rPr>
                <w:color w:val="000000"/>
              </w:rPr>
            </w:pPr>
            <w:r>
              <w:rPr>
                <w:color w:val="000000"/>
              </w:rPr>
              <w:t>25</w:t>
            </w:r>
            <w:r>
              <w:rPr>
                <w:rFonts w:hAnsi="宋体"/>
                <w:color w:val="000000"/>
              </w:rPr>
              <w:t>＜</w:t>
            </w:r>
            <w:r>
              <w:rPr>
                <w:color w:val="000000"/>
              </w:rPr>
              <w:t>M≤45</w:t>
            </w:r>
          </w:p>
        </w:tc>
        <w:tc>
          <w:tcPr>
            <w:tcW w:w="4643" w:type="dxa"/>
            <w:vAlign w:val="center"/>
          </w:tcPr>
          <w:p>
            <w:pPr>
              <w:pStyle w:val="45"/>
              <w:rPr>
                <w:color w:val="000000"/>
              </w:rPr>
            </w:pPr>
            <w:r>
              <w:rPr>
                <w:color w:val="000000"/>
              </w:rPr>
              <w:t>M2</w:t>
            </w:r>
            <w:r>
              <w:rPr>
                <w:rFonts w:hAnsi="宋体"/>
                <w:color w:val="000000"/>
              </w:rPr>
              <w:t>类水平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4643" w:type="dxa"/>
            <w:vAlign w:val="center"/>
          </w:tcPr>
          <w:p>
            <w:pPr>
              <w:pStyle w:val="45"/>
              <w:rPr>
                <w:color w:val="000000"/>
              </w:rPr>
            </w:pPr>
            <w:r>
              <w:rPr>
                <w:color w:val="000000"/>
              </w:rPr>
              <w:t>45</w:t>
            </w:r>
            <w:r>
              <w:rPr>
                <w:rFonts w:hAnsi="宋体"/>
                <w:color w:val="000000"/>
              </w:rPr>
              <w:t>＜</w:t>
            </w:r>
            <w:r>
              <w:rPr>
                <w:color w:val="000000"/>
              </w:rPr>
              <w:t>M≤60</w:t>
            </w:r>
          </w:p>
        </w:tc>
        <w:tc>
          <w:tcPr>
            <w:tcW w:w="4643" w:type="dxa"/>
            <w:vAlign w:val="center"/>
          </w:tcPr>
          <w:p>
            <w:pPr>
              <w:pStyle w:val="45"/>
              <w:rPr>
                <w:color w:val="000000"/>
              </w:rPr>
            </w:pPr>
            <w:r>
              <w:rPr>
                <w:color w:val="000000"/>
              </w:rPr>
              <w:t>M3</w:t>
            </w:r>
            <w:r>
              <w:rPr>
                <w:rFonts w:hAnsi="宋体"/>
                <w:color w:val="000000"/>
              </w:rPr>
              <w:t>类水平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4643" w:type="dxa"/>
            <w:vAlign w:val="center"/>
          </w:tcPr>
          <w:p>
            <w:pPr>
              <w:pStyle w:val="45"/>
              <w:rPr>
                <w:color w:val="000000"/>
              </w:rPr>
            </w:pPr>
            <w:r>
              <w:rPr>
                <w:color w:val="000000"/>
              </w:rPr>
              <w:t>M≥60</w:t>
            </w:r>
          </w:p>
        </w:tc>
        <w:tc>
          <w:tcPr>
            <w:tcW w:w="4643" w:type="dxa"/>
            <w:vAlign w:val="center"/>
          </w:tcPr>
          <w:p>
            <w:pPr>
              <w:pStyle w:val="45"/>
              <w:rPr>
                <w:color w:val="000000"/>
              </w:rPr>
            </w:pPr>
            <w:r>
              <w:rPr>
                <w:color w:val="000000"/>
              </w:rPr>
              <w:t>M4</w:t>
            </w:r>
            <w:r>
              <w:rPr>
                <w:rFonts w:hAnsi="宋体"/>
                <w:color w:val="000000"/>
              </w:rPr>
              <w:t>类水平</w:t>
            </w:r>
          </w:p>
        </w:tc>
      </w:tr>
    </w:tbl>
    <w:p>
      <w:pPr>
        <w:pStyle w:val="46"/>
        <w:spacing w:before="72" w:after="72"/>
        <w:rPr>
          <w:color w:val="000000"/>
        </w:rPr>
      </w:pPr>
    </w:p>
    <w:p>
      <w:pPr>
        <w:pStyle w:val="35"/>
        <w:ind w:firstLine="480"/>
        <w:rPr>
          <w:rFonts w:cs="Times New Roman"/>
          <w:color w:val="000000"/>
        </w:rPr>
      </w:pPr>
      <w:r>
        <w:rPr>
          <w:rFonts w:hAnsi="宋体" w:cs="Times New Roman"/>
          <w:color w:val="000000"/>
        </w:rPr>
        <w:t>根据上表可知，企业水环境</w:t>
      </w:r>
      <w:r>
        <w:rPr>
          <w:rFonts w:cs="Times New Roman"/>
          <w:color w:val="000000"/>
        </w:rPr>
        <w:t>M</w:t>
      </w:r>
      <w:r>
        <w:rPr>
          <w:rFonts w:hAnsi="宋体" w:cs="Times New Roman"/>
          <w:color w:val="000000"/>
        </w:rPr>
        <w:t>值得分为</w:t>
      </w:r>
      <w:r>
        <w:rPr>
          <w:rFonts w:hint="eastAsia" w:hAnsi="宋体" w:cs="Times New Roman"/>
          <w:color w:val="000000"/>
        </w:rPr>
        <w:t>14</w:t>
      </w:r>
      <w:r>
        <w:rPr>
          <w:rFonts w:hAnsi="宋体" w:cs="Times New Roman"/>
          <w:color w:val="000000"/>
        </w:rPr>
        <w:t>分，处于</w:t>
      </w:r>
      <w:r>
        <w:rPr>
          <w:rFonts w:cs="Times New Roman"/>
          <w:color w:val="000000"/>
        </w:rPr>
        <w:t>M</w:t>
      </w:r>
      <w:r>
        <w:rPr>
          <w:rFonts w:hint="eastAsia" w:cs="Times New Roman"/>
          <w:color w:val="000000"/>
        </w:rPr>
        <w:t>1</w:t>
      </w:r>
      <w:r>
        <w:rPr>
          <w:rFonts w:hAnsi="宋体" w:cs="Times New Roman"/>
          <w:color w:val="000000"/>
        </w:rPr>
        <w:t>类水平。</w:t>
      </w:r>
    </w:p>
    <w:p>
      <w:pPr>
        <w:pStyle w:val="5"/>
        <w:ind w:firstLine="482" w:firstLineChars="200"/>
        <w:rPr>
          <w:color w:val="000000"/>
        </w:rPr>
      </w:pPr>
      <w:bookmarkStart w:id="173" w:name="_Toc5781248"/>
      <w:bookmarkStart w:id="174" w:name="_Toc9002358"/>
      <w:bookmarkStart w:id="175" w:name="_Toc9002619"/>
      <w:r>
        <w:rPr>
          <w:color w:val="000000"/>
        </w:rPr>
        <w:t>7.3.</w:t>
      </w:r>
      <w:r>
        <w:rPr>
          <w:rFonts w:hint="eastAsia"/>
          <w:color w:val="000000"/>
        </w:rPr>
        <w:t>3</w:t>
      </w:r>
      <w:r>
        <w:rPr>
          <w:rFonts w:hAnsi="宋体"/>
          <w:color w:val="000000"/>
        </w:rPr>
        <w:t>水环境</w:t>
      </w:r>
      <w:r>
        <w:rPr>
          <w:color w:val="000000"/>
        </w:rPr>
        <w:t>E</w:t>
      </w:r>
      <w:r>
        <w:rPr>
          <w:rFonts w:hAnsi="宋体"/>
          <w:color w:val="000000"/>
        </w:rPr>
        <w:t>值确定</w:t>
      </w:r>
      <w:bookmarkEnd w:id="173"/>
      <w:bookmarkEnd w:id="174"/>
      <w:bookmarkEnd w:id="175"/>
    </w:p>
    <w:p>
      <w:pPr>
        <w:pStyle w:val="10"/>
        <w:keepNext/>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 xml:space="preserve"> 7</w:t>
      </w:r>
      <w:r>
        <w:rPr>
          <w:rFonts w:hint="eastAsia" w:ascii="Times New Roman" w:hAnsi="Times New Roman" w:eastAsia="宋体" w:cs="Times New Roman"/>
          <w:b/>
          <w:color w:val="000000"/>
          <w:sz w:val="24"/>
          <w:szCs w:val="24"/>
        </w:rPr>
        <w:t>-</w:t>
      </w:r>
      <w:r>
        <w:rPr>
          <w:rFonts w:ascii="Times New Roman" w:hAnsi="Times New Roman" w:eastAsia="宋体" w:cs="Times New Roman"/>
          <w:b/>
          <w:color w:val="000000"/>
          <w:sz w:val="24"/>
          <w:szCs w:val="24"/>
        </w:rPr>
        <w:t xml:space="preserve">7  </w:t>
      </w:r>
      <w:r>
        <w:rPr>
          <w:rFonts w:ascii="Times New Roman" w:hAnsi="宋体" w:eastAsia="宋体" w:cs="Times New Roman"/>
          <w:b/>
          <w:color w:val="000000"/>
          <w:sz w:val="24"/>
          <w:szCs w:val="24"/>
        </w:rPr>
        <w:t>水环境风险受体敏感程度类型划分表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9"/>
        <w:gridCol w:w="82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shd w:val="clear" w:color="auto" w:fill="D9D9D9"/>
            <w:vAlign w:val="center"/>
          </w:tcPr>
          <w:p>
            <w:pPr>
              <w:pStyle w:val="45"/>
              <w:rPr>
                <w:color w:val="000000"/>
              </w:rPr>
            </w:pPr>
            <w:r>
              <w:rPr>
                <w:rFonts w:hAnsi="宋体"/>
                <w:color w:val="000000"/>
              </w:rPr>
              <w:t>类别</w:t>
            </w:r>
          </w:p>
        </w:tc>
        <w:tc>
          <w:tcPr>
            <w:tcW w:w="8237" w:type="dxa"/>
            <w:shd w:val="clear" w:color="auto" w:fill="D9D9D9"/>
            <w:vAlign w:val="center"/>
          </w:tcPr>
          <w:p>
            <w:pPr>
              <w:pStyle w:val="45"/>
              <w:rPr>
                <w:color w:val="000000"/>
              </w:rPr>
            </w:pPr>
            <w:r>
              <w:rPr>
                <w:rFonts w:hAnsi="宋体"/>
                <w:color w:val="000000"/>
              </w:rPr>
              <w:t>环</w:t>
            </w:r>
            <w:r>
              <w:rPr>
                <w:color w:val="000000"/>
              </w:rPr>
              <w:t xml:space="preserve"> </w:t>
            </w:r>
            <w:r>
              <w:rPr>
                <w:rFonts w:hAnsi="宋体"/>
                <w:color w:val="000000"/>
              </w:rPr>
              <w:t>境</w:t>
            </w:r>
            <w:r>
              <w:rPr>
                <w:color w:val="000000"/>
              </w:rPr>
              <w:t xml:space="preserve"> </w:t>
            </w:r>
            <w:r>
              <w:rPr>
                <w:rFonts w:hAnsi="宋体"/>
                <w:color w:val="000000"/>
              </w:rPr>
              <w:t>风</w:t>
            </w:r>
            <w:r>
              <w:rPr>
                <w:color w:val="000000"/>
              </w:rPr>
              <w:t xml:space="preserve"> </w:t>
            </w:r>
            <w:r>
              <w:rPr>
                <w:rFonts w:hAnsi="宋体"/>
                <w:color w:val="000000"/>
              </w:rPr>
              <w:t>险</w:t>
            </w:r>
            <w:r>
              <w:rPr>
                <w:color w:val="000000"/>
              </w:rPr>
              <w:t xml:space="preserve"> </w:t>
            </w:r>
            <w:r>
              <w:rPr>
                <w:rFonts w:hAnsi="宋体"/>
                <w:color w:val="000000"/>
              </w:rPr>
              <w:t>受</w:t>
            </w:r>
            <w:r>
              <w:rPr>
                <w:color w:val="000000"/>
              </w:rPr>
              <w:t xml:space="preserve"> </w:t>
            </w:r>
            <w:r>
              <w:rPr>
                <w:rFonts w:hAnsi="宋体"/>
                <w:color w:val="000000"/>
              </w:rPr>
              <w:t>体</w:t>
            </w:r>
            <w:r>
              <w:rPr>
                <w:color w:val="000000"/>
              </w:rPr>
              <w:t xml:space="preserve"> </w:t>
            </w:r>
            <w:r>
              <w:rPr>
                <w:rFonts w:hAnsi="宋体"/>
                <w:color w:val="000000"/>
              </w:rPr>
              <w:t>情</w:t>
            </w:r>
            <w:r>
              <w:rPr>
                <w:color w:val="000000"/>
              </w:rPr>
              <w:t xml:space="preserve"> </w:t>
            </w:r>
            <w:r>
              <w:rPr>
                <w:rFonts w:hAnsi="宋体"/>
                <w:color w:val="000000"/>
              </w:rPr>
              <w:t>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vAlign w:val="center"/>
          </w:tcPr>
          <w:p>
            <w:pPr>
              <w:pStyle w:val="45"/>
              <w:rPr>
                <w:color w:val="000000"/>
              </w:rPr>
            </w:pPr>
            <w:r>
              <w:rPr>
                <w:rFonts w:hAnsi="宋体"/>
                <w:color w:val="000000"/>
              </w:rPr>
              <w:t>类型</w:t>
            </w:r>
            <w:r>
              <w:rPr>
                <w:color w:val="000000"/>
              </w:rPr>
              <w:t>1</w:t>
            </w:r>
          </w:p>
          <w:p>
            <w:pPr>
              <w:pStyle w:val="45"/>
              <w:rPr>
                <w:color w:val="000000"/>
              </w:rPr>
            </w:pPr>
            <w:r>
              <w:rPr>
                <w:rFonts w:hAnsi="宋体"/>
                <w:color w:val="000000"/>
              </w:rPr>
              <w:t>（</w:t>
            </w:r>
            <w:r>
              <w:rPr>
                <w:color w:val="000000"/>
              </w:rPr>
              <w:t>E1</w:t>
            </w:r>
            <w:r>
              <w:rPr>
                <w:rFonts w:hAnsi="宋体"/>
                <w:color w:val="000000"/>
              </w:rPr>
              <w:t>）</w:t>
            </w:r>
          </w:p>
        </w:tc>
        <w:tc>
          <w:tcPr>
            <w:tcW w:w="8237" w:type="dxa"/>
            <w:vAlign w:val="center"/>
          </w:tcPr>
          <w:p>
            <w:pPr>
              <w:pStyle w:val="45"/>
              <w:jc w:val="both"/>
              <w:rPr>
                <w:color w:val="000000"/>
              </w:rPr>
            </w:pPr>
            <w:r>
              <w:rPr>
                <w:rFonts w:hAnsi="宋体"/>
                <w:color w:val="000000"/>
              </w:rPr>
              <w:t>（</w:t>
            </w:r>
            <w:r>
              <w:rPr>
                <w:color w:val="000000"/>
              </w:rPr>
              <w:t>1</w:t>
            </w:r>
            <w:r>
              <w:rPr>
                <w:rFonts w:hAnsi="宋体"/>
                <w:color w:val="000000"/>
              </w:rPr>
              <w:t>）企业雨水排口、清净废水排口、污水排口下游</w:t>
            </w:r>
            <w:r>
              <w:rPr>
                <w:color w:val="000000"/>
              </w:rPr>
              <w:t>10</w:t>
            </w:r>
            <w:r>
              <w:rPr>
                <w:rFonts w:hAnsi="宋体"/>
                <w:color w:val="000000"/>
              </w:rPr>
              <w:t>公里流经范围内有如下一类或多类环境风险受体：集中式地表水、地下水饮用水水源保护区（包括一级保护区、二级保护区及准保护区）；农村及分散式饮用水水源地保护区；</w:t>
            </w:r>
          </w:p>
          <w:p>
            <w:pPr>
              <w:pStyle w:val="45"/>
              <w:jc w:val="both"/>
              <w:rPr>
                <w:color w:val="000000"/>
              </w:rPr>
            </w:pPr>
            <w:r>
              <w:rPr>
                <w:rFonts w:hAnsi="宋体"/>
                <w:color w:val="000000"/>
              </w:rPr>
              <w:t>（</w:t>
            </w:r>
            <w:r>
              <w:rPr>
                <w:color w:val="000000"/>
              </w:rPr>
              <w:t>2</w:t>
            </w:r>
            <w:r>
              <w:rPr>
                <w:rFonts w:hAnsi="宋体"/>
                <w:color w:val="000000"/>
              </w:rPr>
              <w:t>）废水排入受纳水体</w:t>
            </w:r>
            <w:r>
              <w:rPr>
                <w:color w:val="000000"/>
              </w:rPr>
              <w:t>24</w:t>
            </w:r>
            <w:r>
              <w:rPr>
                <w:rFonts w:hAnsi="宋体"/>
                <w:color w:val="000000"/>
              </w:rPr>
              <w:t>小时流经范围（按受纳河流最大日均流速计算）内涉及跨国界的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9" w:type="dxa"/>
            <w:vAlign w:val="center"/>
          </w:tcPr>
          <w:p>
            <w:pPr>
              <w:pStyle w:val="45"/>
              <w:rPr>
                <w:color w:val="000000"/>
              </w:rPr>
            </w:pPr>
            <w:r>
              <w:rPr>
                <w:rFonts w:hAnsi="宋体"/>
                <w:color w:val="000000"/>
              </w:rPr>
              <w:t>类型</w:t>
            </w:r>
            <w:r>
              <w:rPr>
                <w:color w:val="000000"/>
              </w:rPr>
              <w:t>2</w:t>
            </w:r>
          </w:p>
          <w:p>
            <w:pPr>
              <w:pStyle w:val="45"/>
              <w:rPr>
                <w:color w:val="000000"/>
              </w:rPr>
            </w:pPr>
            <w:r>
              <w:rPr>
                <w:rFonts w:hAnsi="宋体"/>
                <w:color w:val="000000"/>
              </w:rPr>
              <w:t>（</w:t>
            </w:r>
            <w:r>
              <w:rPr>
                <w:color w:val="000000"/>
              </w:rPr>
              <w:t>E2</w:t>
            </w:r>
            <w:r>
              <w:rPr>
                <w:rFonts w:hAnsi="宋体"/>
                <w:color w:val="000000"/>
              </w:rPr>
              <w:t>）</w:t>
            </w:r>
          </w:p>
        </w:tc>
        <w:tc>
          <w:tcPr>
            <w:tcW w:w="8237" w:type="dxa"/>
            <w:vAlign w:val="center"/>
          </w:tcPr>
          <w:p>
            <w:pPr>
              <w:pStyle w:val="45"/>
              <w:jc w:val="both"/>
              <w:rPr>
                <w:color w:val="000000"/>
              </w:rPr>
            </w:pPr>
            <w:r>
              <w:rPr>
                <w:rFonts w:hAnsi="宋体"/>
                <w:color w:val="000000"/>
              </w:rPr>
              <w:t>（</w:t>
            </w:r>
            <w:r>
              <w:rPr>
                <w:color w:val="000000"/>
              </w:rPr>
              <w:t>1</w:t>
            </w:r>
            <w:r>
              <w:rPr>
                <w:rFonts w:hAnsi="宋体"/>
                <w:color w:val="000000"/>
              </w:rPr>
              <w:t>）企业雨水排口、清净废水排口、污水排口下游</w:t>
            </w:r>
            <w:r>
              <w:rPr>
                <w:color w:val="000000"/>
              </w:rPr>
              <w:t>10</w:t>
            </w:r>
            <w:r>
              <w:rPr>
                <w:rFonts w:hAnsi="宋体"/>
                <w:color w:val="000000"/>
              </w:rPr>
              <w:t>公里流经范围内有生态保护红线划定的或具有水生态服务功能的其他水生态环境敏感区和脆弱区，如国家公园、国家级和省级水产种质资源保护区，水产养殖区，天然渔场，海水浴场，盐场保护区，国家重点湿地，国家级和地方级海洋特别保护区，国家级和地方级海洋自然保护区，生物多样性保护优先区域，国家级和地方级自然保护区，国家级和省级风景名胜区，世界文化和自然遗产地，国家级和省级森林公园，世界、国家和省级地质公园，基本农田保护区，基本草原；</w:t>
            </w:r>
          </w:p>
          <w:p>
            <w:pPr>
              <w:pStyle w:val="45"/>
              <w:jc w:val="both"/>
              <w:rPr>
                <w:color w:val="000000"/>
              </w:rPr>
            </w:pPr>
            <w:r>
              <w:rPr>
                <w:rFonts w:hAnsi="宋体"/>
                <w:color w:val="000000"/>
              </w:rPr>
              <w:t>（</w:t>
            </w:r>
            <w:r>
              <w:rPr>
                <w:color w:val="000000"/>
              </w:rPr>
              <w:t>2</w:t>
            </w:r>
            <w:r>
              <w:rPr>
                <w:rFonts w:hAnsi="宋体"/>
                <w:color w:val="000000"/>
              </w:rPr>
              <w:t>）企业雨水排口、清净废水排口、污水排口下游</w:t>
            </w:r>
            <w:r>
              <w:rPr>
                <w:color w:val="000000"/>
              </w:rPr>
              <w:t>10</w:t>
            </w:r>
            <w:r>
              <w:rPr>
                <w:rFonts w:hAnsi="宋体"/>
                <w:color w:val="000000"/>
              </w:rPr>
              <w:t>公里流经范围内涉及跨省界的；</w:t>
            </w:r>
          </w:p>
          <w:p>
            <w:pPr>
              <w:pStyle w:val="45"/>
              <w:jc w:val="both"/>
              <w:rPr>
                <w:color w:val="000000"/>
              </w:rPr>
            </w:pPr>
            <w:r>
              <w:rPr>
                <w:rFonts w:hAnsi="宋体"/>
                <w:color w:val="000000"/>
              </w:rPr>
              <w:t>（</w:t>
            </w:r>
            <w:r>
              <w:rPr>
                <w:color w:val="000000"/>
              </w:rPr>
              <w:t>3</w:t>
            </w:r>
            <w:r>
              <w:rPr>
                <w:rFonts w:hAnsi="宋体"/>
                <w:color w:val="000000"/>
              </w:rPr>
              <w:t>）企业位于溶岩地貌、泄洪区、泥石流多发等地区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49" w:type="dxa"/>
            <w:vAlign w:val="center"/>
          </w:tcPr>
          <w:p>
            <w:pPr>
              <w:pStyle w:val="45"/>
              <w:rPr>
                <w:color w:val="000000"/>
              </w:rPr>
            </w:pPr>
            <w:r>
              <w:rPr>
                <w:rFonts w:hAnsi="宋体"/>
                <w:color w:val="000000"/>
              </w:rPr>
              <w:t>类型</w:t>
            </w:r>
            <w:r>
              <w:rPr>
                <w:color w:val="000000"/>
              </w:rPr>
              <w:t>3</w:t>
            </w:r>
          </w:p>
          <w:p>
            <w:pPr>
              <w:pStyle w:val="45"/>
              <w:rPr>
                <w:color w:val="000000"/>
              </w:rPr>
            </w:pPr>
            <w:r>
              <w:rPr>
                <w:rFonts w:hAnsi="宋体"/>
                <w:color w:val="000000"/>
              </w:rPr>
              <w:t>（</w:t>
            </w:r>
            <w:r>
              <w:rPr>
                <w:color w:val="000000"/>
              </w:rPr>
              <w:t>E3</w:t>
            </w:r>
            <w:r>
              <w:rPr>
                <w:rFonts w:hAnsi="宋体"/>
                <w:color w:val="000000"/>
              </w:rPr>
              <w:t>）</w:t>
            </w:r>
          </w:p>
        </w:tc>
        <w:tc>
          <w:tcPr>
            <w:tcW w:w="8237" w:type="dxa"/>
            <w:vAlign w:val="center"/>
          </w:tcPr>
          <w:p>
            <w:pPr>
              <w:pStyle w:val="45"/>
              <w:jc w:val="both"/>
              <w:rPr>
                <w:color w:val="000000"/>
              </w:rPr>
            </w:pPr>
            <w:r>
              <w:rPr>
                <w:rFonts w:hAnsi="宋体"/>
                <w:color w:val="000000"/>
              </w:rPr>
              <w:t>不涉及类型</w:t>
            </w:r>
            <w:r>
              <w:rPr>
                <w:color w:val="000000"/>
              </w:rPr>
              <w:t>1</w:t>
            </w:r>
            <w:r>
              <w:rPr>
                <w:rFonts w:hAnsi="宋体"/>
                <w:color w:val="000000"/>
              </w:rPr>
              <w:t>和类型</w:t>
            </w:r>
            <w:r>
              <w:rPr>
                <w:color w:val="000000"/>
              </w:rPr>
              <w:t>2</w:t>
            </w:r>
            <w:r>
              <w:rPr>
                <w:rFonts w:hAnsi="宋体"/>
                <w:color w:val="000000"/>
              </w:rPr>
              <w:t>情况的</w:t>
            </w:r>
          </w:p>
        </w:tc>
      </w:tr>
    </w:tbl>
    <w:p>
      <w:pPr>
        <w:pStyle w:val="46"/>
        <w:spacing w:before="72" w:after="72"/>
        <w:rPr>
          <w:color w:val="000000"/>
        </w:rPr>
      </w:pPr>
    </w:p>
    <w:p>
      <w:pPr>
        <w:pStyle w:val="35"/>
        <w:ind w:firstLine="480"/>
        <w:rPr>
          <w:rFonts w:hAnsi="宋体" w:cs="Times New Roman"/>
          <w:color w:val="000000"/>
        </w:rPr>
      </w:pPr>
      <w:r>
        <w:rPr>
          <w:rFonts w:hint="eastAsia" w:hAnsi="宋体" w:cs="Times New Roman"/>
          <w:color w:val="000000"/>
        </w:rPr>
        <w:t>本污水处理厂的</w:t>
      </w:r>
      <w:r>
        <w:rPr>
          <w:rFonts w:hAnsi="宋体" w:cs="Times New Roman"/>
          <w:color w:val="000000"/>
        </w:rPr>
        <w:t>雨水排口、清净废水排口、污水排口下游10公里流经范围内涉及</w:t>
      </w:r>
      <w:r>
        <w:rPr>
          <w:rFonts w:hint="eastAsia" w:hAnsi="宋体" w:cs="Times New Roman"/>
          <w:color w:val="000000"/>
        </w:rPr>
        <w:t>长江八里江段长吻鮠鲶国家级水产种质资源保护区</w:t>
      </w:r>
      <w:r>
        <w:rPr>
          <w:rFonts w:hAnsi="宋体" w:cs="Times New Roman"/>
          <w:color w:val="000000"/>
        </w:rPr>
        <w:t>，因此，企业水环境风险受体等级为类型</w:t>
      </w:r>
      <w:r>
        <w:rPr>
          <w:rFonts w:hint="eastAsia" w:cs="Times New Roman"/>
          <w:color w:val="000000"/>
        </w:rPr>
        <w:t>2</w:t>
      </w:r>
      <w:r>
        <w:rPr>
          <w:rFonts w:hAnsi="宋体" w:cs="Times New Roman"/>
          <w:color w:val="000000"/>
        </w:rPr>
        <w:t>（</w:t>
      </w:r>
      <w:r>
        <w:rPr>
          <w:rFonts w:cs="Times New Roman"/>
          <w:color w:val="000000"/>
        </w:rPr>
        <w:t>E</w:t>
      </w:r>
      <w:r>
        <w:rPr>
          <w:rFonts w:hint="eastAsia" w:cs="Times New Roman"/>
          <w:color w:val="000000"/>
        </w:rPr>
        <w:t>2</w:t>
      </w:r>
      <w:r>
        <w:rPr>
          <w:rFonts w:hAnsi="宋体" w:cs="Times New Roman"/>
          <w:color w:val="000000"/>
        </w:rPr>
        <w:t>）。</w:t>
      </w:r>
    </w:p>
    <w:p>
      <w:pPr>
        <w:pStyle w:val="5"/>
        <w:ind w:firstLine="482" w:firstLineChars="200"/>
        <w:rPr>
          <w:color w:val="000000"/>
        </w:rPr>
      </w:pPr>
      <w:bookmarkStart w:id="176" w:name="_Toc5781249"/>
      <w:bookmarkStart w:id="177" w:name="_Toc9002620"/>
      <w:bookmarkStart w:id="178" w:name="_Toc9002359"/>
      <w:r>
        <w:rPr>
          <w:color w:val="000000"/>
        </w:rPr>
        <w:t>7.3.</w:t>
      </w:r>
      <w:r>
        <w:rPr>
          <w:rFonts w:hint="eastAsia"/>
          <w:color w:val="000000"/>
        </w:rPr>
        <w:t>4</w:t>
      </w:r>
      <w:r>
        <w:rPr>
          <w:rFonts w:hAnsi="宋体"/>
          <w:color w:val="000000"/>
        </w:rPr>
        <w:t>突发水环境风险等级确定</w:t>
      </w:r>
      <w:bookmarkEnd w:id="176"/>
      <w:bookmarkEnd w:id="177"/>
      <w:bookmarkEnd w:id="178"/>
    </w:p>
    <w:p>
      <w:pPr>
        <w:pStyle w:val="35"/>
        <w:ind w:firstLine="480"/>
        <w:rPr>
          <w:rFonts w:hAnsi="宋体" w:cs="Times New Roman"/>
          <w:color w:val="000000"/>
        </w:rPr>
      </w:pPr>
      <w:r>
        <w:rPr>
          <w:rFonts w:hAnsi="宋体" w:cs="Times New Roman"/>
          <w:color w:val="000000"/>
        </w:rPr>
        <w:t>当企业周边环境风险受体属于类型</w:t>
      </w:r>
      <w:r>
        <w:rPr>
          <w:rFonts w:hint="eastAsia" w:cs="Times New Roman"/>
          <w:color w:val="000000"/>
        </w:rPr>
        <w:t>2</w:t>
      </w:r>
      <w:r>
        <w:rPr>
          <w:rFonts w:hAnsi="宋体" w:cs="Times New Roman"/>
          <w:color w:val="000000"/>
        </w:rPr>
        <w:t>（</w:t>
      </w:r>
      <w:r>
        <w:rPr>
          <w:rFonts w:cs="Times New Roman"/>
          <w:color w:val="000000"/>
        </w:rPr>
        <w:t>E</w:t>
      </w:r>
      <w:r>
        <w:rPr>
          <w:rFonts w:hint="eastAsia" w:cs="Times New Roman"/>
          <w:color w:val="000000"/>
        </w:rPr>
        <w:t>2</w:t>
      </w:r>
      <w:r>
        <w:rPr>
          <w:rFonts w:hAnsi="宋体" w:cs="Times New Roman"/>
          <w:color w:val="000000"/>
        </w:rPr>
        <w:t>）时，按下表确定风险等级。</w:t>
      </w:r>
    </w:p>
    <w:p>
      <w:pPr>
        <w:pStyle w:val="35"/>
        <w:ind w:firstLine="480"/>
        <w:rPr>
          <w:rFonts w:hAnsi="宋体" w:cs="Times New Roman"/>
          <w:color w:val="000000"/>
        </w:rPr>
      </w:pPr>
    </w:p>
    <w:p>
      <w:pPr>
        <w:pStyle w:val="10"/>
        <w:keepNext/>
        <w:jc w:val="center"/>
        <w:rPr>
          <w:rFonts w:ascii="Times New Roman" w:hAnsi="Times New Roman" w:eastAsia="宋体" w:cs="Times New Roman"/>
          <w:b/>
          <w:color w:val="000000"/>
          <w:sz w:val="24"/>
          <w:szCs w:val="24"/>
        </w:rPr>
      </w:pPr>
      <w:r>
        <w:rPr>
          <w:rFonts w:ascii="Times New Roman" w:hAnsi="宋体" w:eastAsia="宋体" w:cs="Times New Roman"/>
          <w:b/>
          <w:color w:val="000000"/>
          <w:sz w:val="24"/>
          <w:szCs w:val="24"/>
        </w:rPr>
        <w:t>表</w:t>
      </w:r>
      <w:r>
        <w:rPr>
          <w:rFonts w:ascii="Times New Roman" w:hAnsi="Times New Roman" w:eastAsia="宋体" w:cs="Times New Roman"/>
          <w:b/>
          <w:color w:val="000000"/>
          <w:sz w:val="24"/>
          <w:szCs w:val="24"/>
        </w:rPr>
        <w:t xml:space="preserve"> 7</w:t>
      </w:r>
      <w:r>
        <w:rPr>
          <w:rFonts w:hint="eastAsia" w:ascii="Times New Roman" w:hAnsi="Times New Roman" w:eastAsia="宋体" w:cs="Times New Roman"/>
          <w:b/>
          <w:color w:val="000000"/>
          <w:sz w:val="24"/>
          <w:szCs w:val="24"/>
        </w:rPr>
        <w:t>-</w:t>
      </w:r>
      <w:r>
        <w:rPr>
          <w:rFonts w:ascii="Times New Roman" w:hAnsi="Times New Roman" w:eastAsia="宋体" w:cs="Times New Roman"/>
          <w:b/>
          <w:color w:val="000000"/>
          <w:sz w:val="24"/>
          <w:szCs w:val="24"/>
        </w:rPr>
        <w:t xml:space="preserve">8  </w:t>
      </w:r>
      <w:r>
        <w:rPr>
          <w:rFonts w:ascii="Times New Roman" w:hAnsi="宋体" w:eastAsia="宋体" w:cs="Times New Roman"/>
          <w:b/>
          <w:color w:val="000000"/>
          <w:sz w:val="24"/>
          <w:szCs w:val="24"/>
        </w:rPr>
        <w:t>企业突发环境事件环境风险分级表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3"/>
        <w:gridCol w:w="2050"/>
        <w:gridCol w:w="1857"/>
        <w:gridCol w:w="1857"/>
        <w:gridCol w:w="1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vMerge w:val="restart"/>
            <w:tcBorders>
              <w:top w:val="single" w:color="auto" w:sz="4" w:space="0"/>
              <w:left w:val="single" w:color="auto" w:sz="4" w:space="0"/>
              <w:bottom w:val="single" w:color="auto" w:sz="4" w:space="0"/>
              <w:right w:val="single" w:color="auto" w:sz="4" w:space="0"/>
            </w:tcBorders>
            <w:shd w:val="clear" w:color="auto" w:fill="D9D9D9"/>
          </w:tcPr>
          <w:p>
            <w:pPr>
              <w:pStyle w:val="52"/>
              <w:spacing w:line="360" w:lineRule="auto"/>
              <w:ind w:firstLine="482"/>
              <w:rPr>
                <w:b/>
                <w:color w:val="000000"/>
                <w:sz w:val="24"/>
                <w:szCs w:val="24"/>
              </w:rPr>
            </w:pPr>
            <w:r>
              <w:rPr>
                <w:rFonts w:ascii="宋体" w:hAnsi="宋体"/>
                <w:b/>
                <w:color w:val="000000"/>
                <w:sz w:val="24"/>
                <w:szCs w:val="24"/>
              </w:rPr>
              <w:t>风险物质数量</w:t>
            </w:r>
          </w:p>
          <w:p>
            <w:pPr>
              <w:pStyle w:val="52"/>
              <w:spacing w:line="360" w:lineRule="auto"/>
              <w:rPr>
                <w:b/>
                <w:color w:val="000000"/>
                <w:sz w:val="24"/>
                <w:szCs w:val="24"/>
              </w:rPr>
            </w:pPr>
            <w:r>
              <w:rPr>
                <w:rFonts w:ascii="宋体" w:hAnsi="宋体"/>
                <w:b/>
                <w:color w:val="000000"/>
                <w:sz w:val="24"/>
                <w:szCs w:val="24"/>
              </w:rPr>
              <w:t>与临界量比（</w:t>
            </w:r>
            <w:r>
              <w:rPr>
                <w:b/>
                <w:color w:val="000000"/>
                <w:sz w:val="24"/>
                <w:szCs w:val="24"/>
              </w:rPr>
              <w:t>Q</w:t>
            </w:r>
            <w:r>
              <w:rPr>
                <w:rFonts w:ascii="宋体" w:hAnsi="宋体"/>
                <w:b/>
                <w:color w:val="000000"/>
                <w:sz w:val="24"/>
                <w:szCs w:val="24"/>
              </w:rPr>
              <w:t>）</w:t>
            </w:r>
          </w:p>
        </w:tc>
        <w:tc>
          <w:tcPr>
            <w:tcW w:w="7623" w:type="dxa"/>
            <w:gridSpan w:val="4"/>
            <w:tcBorders>
              <w:top w:val="single" w:color="auto" w:sz="4" w:space="0"/>
              <w:left w:val="single" w:color="auto" w:sz="4" w:space="0"/>
              <w:bottom w:val="single" w:color="auto" w:sz="4" w:space="0"/>
              <w:right w:val="single" w:color="auto" w:sz="4" w:space="0"/>
            </w:tcBorders>
            <w:shd w:val="clear" w:color="auto" w:fill="D9D9D9"/>
          </w:tcPr>
          <w:p>
            <w:pPr>
              <w:pStyle w:val="52"/>
              <w:spacing w:line="360" w:lineRule="auto"/>
              <w:rPr>
                <w:b/>
                <w:color w:val="000000"/>
                <w:sz w:val="24"/>
                <w:szCs w:val="24"/>
              </w:rPr>
            </w:pPr>
            <w:r>
              <w:rPr>
                <w:rFonts w:ascii="宋体" w:hAnsi="宋体"/>
                <w:b/>
                <w:color w:val="000000"/>
                <w:sz w:val="24"/>
                <w:szCs w:val="24"/>
              </w:rPr>
              <w:t>工艺过程与环境风险控制水平（</w:t>
            </w:r>
            <w:r>
              <w:rPr>
                <w:b/>
                <w:color w:val="000000"/>
                <w:sz w:val="24"/>
                <w:szCs w:val="24"/>
              </w:rPr>
              <w:t>M</w:t>
            </w:r>
            <w:r>
              <w:rPr>
                <w:rFonts w:ascii="宋体" w:hAnsi="宋体"/>
                <w:b/>
                <w:color w:val="00000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b/>
                <w:color w:val="000000"/>
                <w:kern w:val="0"/>
              </w:rPr>
            </w:pPr>
          </w:p>
        </w:tc>
        <w:tc>
          <w:tcPr>
            <w:tcW w:w="2050" w:type="dxa"/>
            <w:tcBorders>
              <w:top w:val="single" w:color="auto" w:sz="4" w:space="0"/>
              <w:left w:val="single" w:color="auto" w:sz="4" w:space="0"/>
              <w:bottom w:val="single" w:color="auto" w:sz="4" w:space="0"/>
              <w:right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M1</w:t>
            </w:r>
            <w:r>
              <w:rPr>
                <w:rFonts w:ascii="宋体" w:hAnsi="宋体"/>
                <w:b/>
                <w:color w:val="000000"/>
                <w:sz w:val="24"/>
                <w:szCs w:val="24"/>
              </w:rPr>
              <w:t>类水平</w:t>
            </w:r>
          </w:p>
        </w:tc>
        <w:tc>
          <w:tcPr>
            <w:tcW w:w="1857" w:type="dxa"/>
            <w:tcBorders>
              <w:top w:val="single" w:color="auto" w:sz="4" w:space="0"/>
              <w:left w:val="single" w:color="auto" w:sz="4" w:space="0"/>
              <w:bottom w:val="single" w:color="auto" w:sz="4" w:space="0"/>
              <w:right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M2</w:t>
            </w:r>
            <w:r>
              <w:rPr>
                <w:rFonts w:ascii="宋体" w:hAnsi="宋体"/>
                <w:b/>
                <w:color w:val="000000"/>
                <w:sz w:val="24"/>
                <w:szCs w:val="24"/>
              </w:rPr>
              <w:t>类水平</w:t>
            </w:r>
          </w:p>
        </w:tc>
        <w:tc>
          <w:tcPr>
            <w:tcW w:w="1857" w:type="dxa"/>
            <w:tcBorders>
              <w:top w:val="single" w:color="auto" w:sz="4" w:space="0"/>
              <w:left w:val="single" w:color="auto" w:sz="4" w:space="0"/>
              <w:bottom w:val="single" w:color="auto" w:sz="4" w:space="0"/>
              <w:right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M3</w:t>
            </w:r>
            <w:r>
              <w:rPr>
                <w:rFonts w:ascii="宋体" w:hAnsi="宋体"/>
                <w:b/>
                <w:color w:val="000000"/>
                <w:sz w:val="24"/>
                <w:szCs w:val="24"/>
              </w:rPr>
              <w:t>类水平</w:t>
            </w:r>
          </w:p>
        </w:tc>
        <w:tc>
          <w:tcPr>
            <w:tcW w:w="1859" w:type="dxa"/>
            <w:tcBorders>
              <w:top w:val="single" w:color="auto" w:sz="4" w:space="0"/>
              <w:left w:val="single" w:color="auto" w:sz="4" w:space="0"/>
              <w:bottom w:val="single" w:color="auto" w:sz="4" w:space="0"/>
              <w:right w:val="single" w:color="auto" w:sz="4" w:space="0"/>
            </w:tcBorders>
            <w:shd w:val="clear" w:color="auto" w:fill="D9D9D9"/>
            <w:vAlign w:val="center"/>
          </w:tcPr>
          <w:p>
            <w:pPr>
              <w:pStyle w:val="52"/>
              <w:spacing w:line="360" w:lineRule="auto"/>
              <w:rPr>
                <w:b/>
                <w:color w:val="000000"/>
                <w:sz w:val="24"/>
                <w:szCs w:val="24"/>
              </w:rPr>
            </w:pPr>
            <w:r>
              <w:rPr>
                <w:b/>
                <w:color w:val="000000"/>
                <w:sz w:val="24"/>
                <w:szCs w:val="24"/>
              </w:rPr>
              <w:t>M4</w:t>
            </w:r>
            <w:r>
              <w:rPr>
                <w:rFonts w:ascii="宋体" w:hAnsi="宋体"/>
                <w:b/>
                <w:color w:val="000000"/>
                <w:sz w:val="24"/>
                <w:szCs w:val="24"/>
              </w:rPr>
              <w:t>类水平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tcBorders>
              <w:top w:val="single" w:color="auto" w:sz="4" w:space="0"/>
              <w:left w:val="single" w:color="auto" w:sz="4" w:space="0"/>
              <w:bottom w:val="single" w:color="auto" w:sz="4" w:space="0"/>
              <w:right w:val="single" w:color="auto" w:sz="4" w:space="0"/>
            </w:tcBorders>
          </w:tcPr>
          <w:p>
            <w:pPr>
              <w:pStyle w:val="52"/>
              <w:spacing w:line="360" w:lineRule="auto"/>
              <w:rPr>
                <w:color w:val="000000"/>
                <w:sz w:val="24"/>
                <w:szCs w:val="24"/>
              </w:rPr>
            </w:pPr>
            <w:r>
              <w:rPr>
                <w:color w:val="000000"/>
                <w:sz w:val="24"/>
                <w:szCs w:val="24"/>
              </w:rPr>
              <w:t>1≤ Q</w:t>
            </w:r>
            <w:r>
              <w:rPr>
                <w:rFonts w:ascii="宋体" w:hAnsi="宋体"/>
                <w:color w:val="000000"/>
                <w:sz w:val="24"/>
                <w:szCs w:val="24"/>
              </w:rPr>
              <w:t>＜</w:t>
            </w:r>
            <w:r>
              <w:rPr>
                <w:color w:val="000000"/>
                <w:sz w:val="24"/>
                <w:szCs w:val="24"/>
              </w:rPr>
              <w:t>10</w:t>
            </w:r>
          </w:p>
        </w:tc>
        <w:tc>
          <w:tcPr>
            <w:tcW w:w="2050"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一般环境风险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较大环境风险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较大环境风险</w:t>
            </w:r>
          </w:p>
        </w:tc>
        <w:tc>
          <w:tcPr>
            <w:tcW w:w="1859"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663" w:type="dxa"/>
            <w:tcBorders>
              <w:top w:val="single" w:color="auto" w:sz="4" w:space="0"/>
              <w:left w:val="single" w:color="auto" w:sz="4" w:space="0"/>
              <w:bottom w:val="single" w:color="auto" w:sz="4" w:space="0"/>
              <w:right w:val="single" w:color="auto" w:sz="4" w:space="0"/>
            </w:tcBorders>
          </w:tcPr>
          <w:p>
            <w:pPr>
              <w:pStyle w:val="52"/>
              <w:spacing w:line="360" w:lineRule="auto"/>
              <w:rPr>
                <w:color w:val="000000"/>
                <w:sz w:val="24"/>
                <w:szCs w:val="24"/>
              </w:rPr>
            </w:pPr>
            <w:r>
              <w:rPr>
                <w:color w:val="000000"/>
                <w:sz w:val="24"/>
                <w:szCs w:val="24"/>
              </w:rPr>
              <w:t xml:space="preserve">10≤ Q </w:t>
            </w:r>
            <w:r>
              <w:rPr>
                <w:rFonts w:ascii="宋体" w:hAnsi="宋体"/>
                <w:color w:val="000000"/>
                <w:sz w:val="24"/>
                <w:szCs w:val="24"/>
              </w:rPr>
              <w:t>＜</w:t>
            </w:r>
            <w:r>
              <w:rPr>
                <w:color w:val="000000"/>
                <w:sz w:val="24"/>
                <w:szCs w:val="24"/>
              </w:rPr>
              <w:t>100</w:t>
            </w:r>
          </w:p>
        </w:tc>
        <w:tc>
          <w:tcPr>
            <w:tcW w:w="2050"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较大环境风险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较大环境风险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c>
          <w:tcPr>
            <w:tcW w:w="1859"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3" w:type="dxa"/>
            <w:tcBorders>
              <w:top w:val="single" w:color="auto" w:sz="4" w:space="0"/>
              <w:left w:val="single" w:color="auto" w:sz="4" w:space="0"/>
              <w:bottom w:val="single" w:color="auto" w:sz="4" w:space="0"/>
              <w:right w:val="single" w:color="auto" w:sz="4" w:space="0"/>
            </w:tcBorders>
          </w:tcPr>
          <w:p>
            <w:pPr>
              <w:pStyle w:val="52"/>
              <w:spacing w:line="360" w:lineRule="auto"/>
              <w:rPr>
                <w:color w:val="000000"/>
                <w:sz w:val="24"/>
                <w:szCs w:val="24"/>
              </w:rPr>
            </w:pPr>
            <w:r>
              <w:rPr>
                <w:color w:val="000000"/>
                <w:sz w:val="24"/>
                <w:szCs w:val="24"/>
              </w:rPr>
              <w:t>100 ≤ Q</w:t>
            </w:r>
          </w:p>
        </w:tc>
        <w:tc>
          <w:tcPr>
            <w:tcW w:w="2050"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c>
          <w:tcPr>
            <w:tcW w:w="1857"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c>
          <w:tcPr>
            <w:tcW w:w="1859" w:type="dxa"/>
            <w:tcBorders>
              <w:top w:val="single" w:color="auto" w:sz="4" w:space="0"/>
              <w:left w:val="single" w:color="auto" w:sz="4" w:space="0"/>
              <w:bottom w:val="single" w:color="auto" w:sz="4" w:space="0"/>
              <w:right w:val="single" w:color="auto" w:sz="4" w:space="0"/>
            </w:tcBorders>
            <w:shd w:val="clear" w:color="auto" w:fill="FFFFFF"/>
          </w:tcPr>
          <w:p>
            <w:pPr>
              <w:pStyle w:val="52"/>
              <w:spacing w:line="360" w:lineRule="auto"/>
              <w:rPr>
                <w:color w:val="000000"/>
                <w:sz w:val="24"/>
                <w:szCs w:val="24"/>
              </w:rPr>
            </w:pPr>
            <w:r>
              <w:rPr>
                <w:rFonts w:ascii="宋体" w:hAnsi="宋体"/>
                <w:color w:val="000000"/>
                <w:sz w:val="24"/>
                <w:szCs w:val="24"/>
              </w:rPr>
              <w:t>重大环境风险</w:t>
            </w:r>
          </w:p>
        </w:tc>
      </w:tr>
    </w:tbl>
    <w:p>
      <w:pPr>
        <w:pStyle w:val="46"/>
        <w:spacing w:before="72" w:after="72"/>
        <w:rPr>
          <w:color w:val="000000"/>
        </w:rPr>
      </w:pPr>
    </w:p>
    <w:p>
      <w:pPr>
        <w:pStyle w:val="35"/>
        <w:ind w:firstLine="480"/>
        <w:rPr>
          <w:rFonts w:cs="Times New Roman"/>
          <w:color w:val="000000"/>
        </w:rPr>
      </w:pPr>
      <w:r>
        <w:rPr>
          <w:rFonts w:hAnsi="宋体" w:cs="Times New Roman"/>
          <w:color w:val="000000"/>
        </w:rPr>
        <w:t>由前述可知，</w:t>
      </w:r>
      <w:r>
        <w:rPr>
          <w:rFonts w:hint="eastAsia" w:hAnsi="宋体" w:cs="Times New Roman"/>
          <w:color w:val="000000"/>
        </w:rPr>
        <w:t>本污水处理厂项目</w:t>
      </w:r>
      <w:r>
        <w:rPr>
          <w:rFonts w:hAnsi="宋体" w:cs="Times New Roman"/>
          <w:color w:val="000000"/>
        </w:rPr>
        <w:t>水环境风险物质数量与临界量比</w:t>
      </w:r>
      <w:r>
        <w:rPr>
          <w:rFonts w:cs="Times New Roman"/>
          <w:color w:val="000000"/>
        </w:rPr>
        <w:t xml:space="preserve"> Q</w:t>
      </w:r>
      <w:r>
        <w:rPr>
          <w:rFonts w:hAnsi="宋体" w:cs="Times New Roman"/>
          <w:color w:val="000000"/>
          <w:vertAlign w:val="subscript"/>
        </w:rPr>
        <w:t>水</w:t>
      </w:r>
      <w:r>
        <w:rPr>
          <w:rFonts w:cs="Times New Roman"/>
          <w:color w:val="000000"/>
        </w:rPr>
        <w:t>=</w:t>
      </w:r>
      <w:r>
        <w:rPr>
          <w:rFonts w:hint="eastAsia" w:cs="Times New Roman"/>
          <w:color w:val="000000"/>
        </w:rPr>
        <w:t>9</w:t>
      </w:r>
      <w:r>
        <w:rPr>
          <w:rFonts w:hAnsi="宋体" w:cs="Times New Roman"/>
          <w:color w:val="000000"/>
        </w:rPr>
        <w:t>，</w:t>
      </w:r>
      <w:r>
        <w:rPr>
          <w:rFonts w:cs="Times New Roman"/>
          <w:color w:val="000000"/>
        </w:rPr>
        <w:t>Q</w:t>
      </w:r>
      <w:r>
        <w:rPr>
          <w:rFonts w:hint="eastAsia" w:cs="Times New Roman"/>
          <w:color w:val="000000"/>
        </w:rPr>
        <w:t>1</w:t>
      </w:r>
      <w:r>
        <w:rPr>
          <w:rFonts w:hAnsi="宋体" w:cs="Times New Roman"/>
          <w:color w:val="000000"/>
        </w:rPr>
        <w:t>水平，生产工艺过程与环境风险控制水平为</w:t>
      </w:r>
      <w:r>
        <w:rPr>
          <w:rFonts w:cs="Times New Roman"/>
          <w:color w:val="000000"/>
        </w:rPr>
        <w:t>M</w:t>
      </w:r>
      <w:r>
        <w:rPr>
          <w:rFonts w:hint="eastAsia" w:cs="Times New Roman"/>
          <w:color w:val="000000"/>
        </w:rPr>
        <w:t>1</w:t>
      </w:r>
      <w:r>
        <w:rPr>
          <w:rFonts w:hAnsi="宋体" w:cs="Times New Roman"/>
          <w:color w:val="000000"/>
        </w:rPr>
        <w:t>类水平，环境风险受体水平为</w:t>
      </w:r>
      <w:r>
        <w:rPr>
          <w:rFonts w:cs="Times New Roman"/>
          <w:color w:val="000000"/>
        </w:rPr>
        <w:t>E</w:t>
      </w:r>
      <w:r>
        <w:rPr>
          <w:rFonts w:hint="eastAsia" w:cs="Times New Roman"/>
          <w:color w:val="000000"/>
        </w:rPr>
        <w:t>2</w:t>
      </w:r>
      <w:r>
        <w:rPr>
          <w:rFonts w:hAnsi="宋体" w:cs="Times New Roman"/>
          <w:color w:val="000000"/>
        </w:rPr>
        <w:t>类水平。根据上表，企业突发水环境风险等级确定为</w:t>
      </w:r>
      <w:r>
        <w:rPr>
          <w:rFonts w:cs="Times New Roman"/>
          <w:color w:val="000000"/>
        </w:rPr>
        <w:t>“</w:t>
      </w:r>
      <w:r>
        <w:rPr>
          <w:rFonts w:hAnsi="宋体" w:cs="Times New Roman"/>
          <w:color w:val="000000"/>
        </w:rPr>
        <w:t>一般</w:t>
      </w:r>
      <w:r>
        <w:rPr>
          <w:rFonts w:cs="Times New Roman"/>
          <w:color w:val="000000"/>
        </w:rPr>
        <w:t>-</w:t>
      </w:r>
      <w:r>
        <w:rPr>
          <w:rFonts w:hAnsi="宋体" w:cs="Times New Roman"/>
          <w:color w:val="000000"/>
        </w:rPr>
        <w:t>水</w:t>
      </w:r>
      <w:r>
        <w:rPr>
          <w:rFonts w:hint="eastAsia" w:hAnsi="宋体" w:cs="Times New Roman"/>
          <w:color w:val="000000"/>
        </w:rPr>
        <w:t>（Q1-M1-E2）</w:t>
      </w:r>
      <w:r>
        <w:rPr>
          <w:rFonts w:cs="Times New Roman"/>
          <w:color w:val="000000"/>
        </w:rPr>
        <w:t>”</w:t>
      </w:r>
      <w:r>
        <w:rPr>
          <w:rFonts w:hAnsi="宋体" w:cs="Times New Roman"/>
          <w:color w:val="000000"/>
        </w:rPr>
        <w:t>。</w:t>
      </w:r>
    </w:p>
    <w:p>
      <w:pPr>
        <w:pStyle w:val="5"/>
        <w:ind w:firstLine="562" w:firstLineChars="200"/>
        <w:rPr>
          <w:color w:val="000000"/>
          <w:sz w:val="28"/>
          <w:szCs w:val="36"/>
        </w:rPr>
      </w:pPr>
      <w:bookmarkStart w:id="179" w:name="_Toc411074650"/>
      <w:bookmarkStart w:id="180" w:name="_Toc9002360"/>
      <w:bookmarkStart w:id="181" w:name="_Toc399194943"/>
      <w:bookmarkStart w:id="182" w:name="_Toc397469923"/>
      <w:bookmarkStart w:id="183" w:name="_Toc509220201"/>
      <w:bookmarkStart w:id="184" w:name="_Toc9002621"/>
      <w:bookmarkStart w:id="185" w:name="_Toc5780685"/>
      <w:bookmarkStart w:id="186" w:name="_Toc422304602"/>
      <w:bookmarkStart w:id="187" w:name="_Toc397470490"/>
      <w:bookmarkStart w:id="188" w:name="_Toc5781250"/>
      <w:r>
        <w:rPr>
          <w:color w:val="000000"/>
          <w:sz w:val="28"/>
          <w:szCs w:val="36"/>
        </w:rPr>
        <w:t>7.4</w:t>
      </w:r>
      <w:r>
        <w:rPr>
          <w:rFonts w:hAnsi="宋体"/>
          <w:color w:val="000000"/>
          <w:sz w:val="28"/>
          <w:szCs w:val="36"/>
        </w:rPr>
        <w:t>企业突发环境事件风险等级划分</w:t>
      </w:r>
      <w:bookmarkEnd w:id="179"/>
      <w:bookmarkEnd w:id="180"/>
      <w:bookmarkEnd w:id="181"/>
      <w:bookmarkEnd w:id="182"/>
      <w:bookmarkEnd w:id="183"/>
      <w:bookmarkEnd w:id="184"/>
      <w:bookmarkEnd w:id="185"/>
      <w:bookmarkEnd w:id="186"/>
      <w:bookmarkEnd w:id="187"/>
      <w:bookmarkEnd w:id="188"/>
    </w:p>
    <w:p>
      <w:pPr>
        <w:pStyle w:val="35"/>
        <w:ind w:firstLine="480"/>
        <w:rPr>
          <w:rFonts w:hAnsi="宋体" w:cs="Times New Roman"/>
          <w:color w:val="000000"/>
        </w:rPr>
      </w:pPr>
      <w:r>
        <w:rPr>
          <w:rFonts w:ascii="宋体" w:hAnsi="宋体" w:cs="Times New Roman"/>
          <w:color w:val="000000"/>
        </w:rPr>
        <w:t>由前述可知，</w:t>
      </w:r>
      <w:r>
        <w:rPr>
          <w:rFonts w:hint="eastAsia" w:ascii="宋体" w:hAnsi="宋体" w:cs="Times New Roman"/>
          <w:color w:val="000000"/>
        </w:rPr>
        <w:t>湖口县金砂湾工业园污水处理厂</w:t>
      </w:r>
      <w:r>
        <w:rPr>
          <w:rFonts w:ascii="宋体" w:hAnsi="宋体" w:cs="Times New Roman"/>
          <w:color w:val="000000"/>
        </w:rPr>
        <w:t>突发大气环境风险等级为</w:t>
      </w:r>
      <w:r>
        <w:rPr>
          <w:rFonts w:cs="Times New Roman"/>
          <w:color w:val="000000"/>
        </w:rPr>
        <w:t>“</w:t>
      </w:r>
      <w:r>
        <w:rPr>
          <w:rFonts w:hint="eastAsia" w:ascii="宋体" w:hAnsi="宋体" w:cs="Times New Roman"/>
          <w:color w:val="000000"/>
        </w:rPr>
        <w:t>一般</w:t>
      </w:r>
      <w:r>
        <w:rPr>
          <w:rFonts w:cs="Times New Roman"/>
          <w:color w:val="000000"/>
        </w:rPr>
        <w:t>-</w:t>
      </w:r>
      <w:r>
        <w:rPr>
          <w:rFonts w:ascii="宋体" w:hAnsi="宋体" w:cs="Times New Roman"/>
          <w:color w:val="000000"/>
        </w:rPr>
        <w:t>大气</w:t>
      </w:r>
      <w:r>
        <w:rPr>
          <w:rFonts w:hint="eastAsia" w:ascii="宋体" w:hAnsi="宋体" w:cs="Times New Roman"/>
          <w:color w:val="000000"/>
        </w:rPr>
        <w:t>（</w:t>
      </w:r>
      <w:r>
        <w:rPr>
          <w:rFonts w:cs="Times New Roman"/>
          <w:color w:val="000000"/>
        </w:rPr>
        <w:t>Q</w:t>
      </w:r>
      <w:r>
        <w:rPr>
          <w:rFonts w:hint="eastAsia" w:cs="Times New Roman"/>
          <w:color w:val="000000"/>
        </w:rPr>
        <w:t>1-M1-E2</w:t>
      </w:r>
      <w:r>
        <w:rPr>
          <w:rFonts w:hint="eastAsia" w:ascii="宋体" w:hAnsi="宋体" w:cs="Times New Roman"/>
          <w:color w:val="000000"/>
        </w:rPr>
        <w:t>）</w:t>
      </w:r>
      <w:r>
        <w:rPr>
          <w:rFonts w:cs="Times New Roman"/>
          <w:color w:val="000000"/>
        </w:rPr>
        <w:t>”</w:t>
      </w:r>
      <w:r>
        <w:rPr>
          <w:rFonts w:ascii="宋体" w:hAnsi="宋体" w:cs="Times New Roman"/>
          <w:color w:val="000000"/>
        </w:rPr>
        <w:t>；突发水环境风险等级为</w:t>
      </w:r>
      <w:r>
        <w:rPr>
          <w:rFonts w:cs="Times New Roman"/>
          <w:color w:val="000000"/>
        </w:rPr>
        <w:t>“</w:t>
      </w:r>
      <w:r>
        <w:rPr>
          <w:rFonts w:ascii="宋体" w:hAnsi="宋体" w:cs="Times New Roman"/>
          <w:color w:val="000000"/>
        </w:rPr>
        <w:t>一般</w:t>
      </w:r>
      <w:r>
        <w:rPr>
          <w:rFonts w:cs="Times New Roman"/>
          <w:color w:val="000000"/>
        </w:rPr>
        <w:t>-</w:t>
      </w:r>
      <w:r>
        <w:rPr>
          <w:rFonts w:ascii="宋体" w:hAnsi="宋体" w:cs="Times New Roman"/>
          <w:color w:val="000000"/>
        </w:rPr>
        <w:t>水</w:t>
      </w:r>
      <w:r>
        <w:rPr>
          <w:rFonts w:hint="eastAsia" w:ascii="宋体" w:hAnsi="宋体" w:cs="Times New Roman"/>
          <w:color w:val="000000"/>
        </w:rPr>
        <w:t>（</w:t>
      </w:r>
      <w:r>
        <w:rPr>
          <w:rFonts w:hint="eastAsia" w:cs="Times New Roman"/>
          <w:color w:val="000000"/>
        </w:rPr>
        <w:t>Q1-M1-E2</w:t>
      </w:r>
      <w:r>
        <w:rPr>
          <w:rFonts w:hint="eastAsia" w:ascii="宋体" w:hAnsi="宋体" w:cs="Times New Roman"/>
          <w:color w:val="000000"/>
        </w:rPr>
        <w:t>）</w:t>
      </w:r>
      <w:r>
        <w:rPr>
          <w:rFonts w:cs="Times New Roman"/>
          <w:color w:val="000000"/>
        </w:rPr>
        <w:t>”</w:t>
      </w:r>
      <w:r>
        <w:rPr>
          <w:rFonts w:ascii="宋体" w:hAnsi="宋体" w:cs="Times New Roman"/>
          <w:color w:val="000000"/>
        </w:rPr>
        <w:t>。因此，</w:t>
      </w:r>
      <w:r>
        <w:rPr>
          <w:rFonts w:hint="eastAsia" w:ascii="宋体" w:hAnsi="宋体" w:cs="Times New Roman"/>
          <w:color w:val="000000"/>
        </w:rPr>
        <w:t>湖口县金砂湾工业园污水处理厂</w:t>
      </w:r>
      <w:r>
        <w:rPr>
          <w:rFonts w:ascii="宋体" w:hAnsi="宋体" w:cs="Times New Roman"/>
          <w:color w:val="000000"/>
        </w:rPr>
        <w:t>突发环境事件风险等级为</w:t>
      </w:r>
      <w:r>
        <w:rPr>
          <w:rFonts w:cs="Times New Roman"/>
          <w:color w:val="000000"/>
        </w:rPr>
        <w:t>“</w:t>
      </w:r>
      <w:r>
        <w:rPr>
          <w:rFonts w:hint="eastAsia" w:ascii="宋体" w:hAnsi="宋体" w:cs="Times New Roman"/>
          <w:color w:val="000000"/>
        </w:rPr>
        <w:t>一般</w:t>
      </w:r>
      <w:r>
        <w:rPr>
          <w:rFonts w:cs="Times New Roman"/>
          <w:color w:val="000000"/>
        </w:rPr>
        <w:t>[</w:t>
      </w:r>
      <w:r>
        <w:rPr>
          <w:rFonts w:hint="eastAsia" w:ascii="宋体" w:hAnsi="宋体" w:cs="Times New Roman"/>
          <w:color w:val="000000"/>
        </w:rPr>
        <w:t>一般</w:t>
      </w:r>
      <w:r>
        <w:rPr>
          <w:rFonts w:cs="Times New Roman"/>
          <w:color w:val="000000"/>
        </w:rPr>
        <w:t>-</w:t>
      </w:r>
      <w:r>
        <w:rPr>
          <w:rFonts w:ascii="宋体" w:hAnsi="宋体" w:cs="Times New Roman"/>
          <w:color w:val="000000"/>
        </w:rPr>
        <w:t>大气</w:t>
      </w:r>
      <w:r>
        <w:rPr>
          <w:rFonts w:hint="eastAsia" w:ascii="宋体" w:hAnsi="宋体" w:cs="Times New Roman"/>
          <w:color w:val="000000"/>
        </w:rPr>
        <w:t>（</w:t>
      </w:r>
      <w:r>
        <w:rPr>
          <w:rFonts w:cs="Times New Roman"/>
          <w:color w:val="000000"/>
        </w:rPr>
        <w:t>Q</w:t>
      </w:r>
      <w:r>
        <w:rPr>
          <w:rFonts w:hint="eastAsia" w:cs="Times New Roman"/>
          <w:color w:val="000000"/>
        </w:rPr>
        <w:t>1</w:t>
      </w:r>
      <w:r>
        <w:rPr>
          <w:rFonts w:hint="eastAsia" w:ascii="微软雅黑" w:hAnsi="微软雅黑" w:eastAsia="微软雅黑"/>
          <w:color w:val="333333"/>
          <w:sz w:val="19"/>
          <w:szCs w:val="19"/>
          <w:shd w:val="clear" w:color="auto" w:fill="FFFFFF"/>
        </w:rPr>
        <w:t>-</w:t>
      </w:r>
      <w:r>
        <w:rPr>
          <w:rFonts w:hint="eastAsia" w:cs="Times New Roman"/>
          <w:color w:val="000000"/>
        </w:rPr>
        <w:t>M1</w:t>
      </w:r>
      <w:r>
        <w:rPr>
          <w:rFonts w:hint="eastAsia" w:ascii="微软雅黑" w:hAnsi="微软雅黑" w:eastAsia="微软雅黑"/>
          <w:color w:val="333333"/>
          <w:sz w:val="19"/>
          <w:szCs w:val="19"/>
          <w:shd w:val="clear" w:color="auto" w:fill="FFFFFF"/>
        </w:rPr>
        <w:t>-</w:t>
      </w:r>
      <w:r>
        <w:rPr>
          <w:rFonts w:hint="eastAsia" w:cs="Times New Roman"/>
          <w:color w:val="000000"/>
        </w:rPr>
        <w:t>E2</w:t>
      </w:r>
      <w:r>
        <w:rPr>
          <w:rFonts w:hint="eastAsia" w:ascii="宋体" w:hAnsi="宋体" w:cs="Times New Roman"/>
          <w:color w:val="000000"/>
        </w:rPr>
        <w:t>）</w:t>
      </w:r>
      <w:r>
        <w:rPr>
          <w:rFonts w:cs="Times New Roman"/>
          <w:color w:val="000000"/>
        </w:rPr>
        <w:t>+</w:t>
      </w:r>
      <w:r>
        <w:rPr>
          <w:rFonts w:ascii="宋体" w:hAnsi="宋体" w:cs="Times New Roman"/>
          <w:color w:val="000000"/>
        </w:rPr>
        <w:t>一般</w:t>
      </w:r>
      <w:r>
        <w:rPr>
          <w:rFonts w:cs="Times New Roman"/>
          <w:color w:val="000000"/>
        </w:rPr>
        <w:t>-</w:t>
      </w:r>
      <w:r>
        <w:rPr>
          <w:rFonts w:ascii="宋体" w:hAnsi="宋体" w:cs="Times New Roman"/>
          <w:color w:val="000000"/>
        </w:rPr>
        <w:t>水</w:t>
      </w:r>
      <w:r>
        <w:rPr>
          <w:rFonts w:hint="eastAsia" w:ascii="宋体" w:hAnsi="宋体" w:cs="Times New Roman"/>
          <w:color w:val="000000"/>
        </w:rPr>
        <w:t>（</w:t>
      </w:r>
      <w:r>
        <w:rPr>
          <w:rFonts w:hint="eastAsia" w:cs="Times New Roman"/>
          <w:color w:val="000000"/>
        </w:rPr>
        <w:t>Q1</w:t>
      </w:r>
      <w:r>
        <w:rPr>
          <w:rFonts w:hint="eastAsia" w:ascii="微软雅黑" w:hAnsi="微软雅黑" w:eastAsia="微软雅黑"/>
          <w:color w:val="333333"/>
          <w:sz w:val="19"/>
          <w:szCs w:val="19"/>
          <w:shd w:val="clear" w:color="auto" w:fill="FFFFFF"/>
        </w:rPr>
        <w:t>-</w:t>
      </w:r>
      <w:r>
        <w:rPr>
          <w:rFonts w:hint="eastAsia" w:cs="Times New Roman"/>
          <w:color w:val="000000"/>
        </w:rPr>
        <w:t>M1</w:t>
      </w:r>
      <w:r>
        <w:rPr>
          <w:rFonts w:hint="eastAsia" w:ascii="微软雅黑" w:hAnsi="微软雅黑" w:eastAsia="微软雅黑"/>
          <w:color w:val="333333"/>
          <w:sz w:val="19"/>
          <w:szCs w:val="19"/>
          <w:shd w:val="clear" w:color="auto" w:fill="FFFFFF"/>
        </w:rPr>
        <w:t>-</w:t>
      </w:r>
      <w:r>
        <w:rPr>
          <w:rFonts w:hint="eastAsia" w:cs="Times New Roman"/>
          <w:color w:val="000000"/>
        </w:rPr>
        <w:t>E2</w:t>
      </w:r>
      <w:r>
        <w:rPr>
          <w:rFonts w:hint="eastAsia" w:ascii="宋体" w:hAnsi="宋体" w:cs="Times New Roman"/>
          <w:color w:val="000000"/>
        </w:rPr>
        <w:t>）</w:t>
      </w:r>
      <w:r>
        <w:rPr>
          <w:rFonts w:cs="Times New Roman"/>
          <w:color w:val="000000"/>
        </w:rPr>
        <w:t>]”</w:t>
      </w:r>
      <w:r>
        <w:rPr>
          <w:rFonts w:ascii="宋体" w:hAnsi="宋体" w:cs="Times New Roman"/>
          <w:color w:val="000000"/>
        </w:rPr>
        <w:t>。</w:t>
      </w: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35"/>
        <w:ind w:firstLine="480"/>
        <w:rPr>
          <w:rFonts w:hAnsi="宋体" w:cs="Times New Roman"/>
          <w:color w:val="000000"/>
        </w:rPr>
      </w:pPr>
    </w:p>
    <w:p>
      <w:pPr>
        <w:pStyle w:val="51"/>
        <w:spacing w:beforeLines="0" w:afterLines="0"/>
        <w:rPr>
          <w:rFonts w:hint="eastAsia" w:hAnsi="宋体"/>
          <w:color w:val="000000"/>
          <w:kern w:val="0"/>
        </w:rPr>
      </w:pPr>
      <w:bookmarkStart w:id="189" w:name="_Toc529953261"/>
      <w:bookmarkStart w:id="190" w:name="_Toc21244"/>
      <w:bookmarkStart w:id="191" w:name="_Toc9002622"/>
      <w:bookmarkStart w:id="192" w:name="_Toc13600_WPSOffice_Level1"/>
      <w:bookmarkStart w:id="193" w:name="_Toc5781251"/>
      <w:bookmarkStart w:id="194" w:name="_Toc5780686"/>
      <w:bookmarkStart w:id="195" w:name="_Toc529952585"/>
      <w:bookmarkStart w:id="196" w:name="_Toc9002361"/>
      <w:r>
        <w:rPr>
          <w:color w:val="000000"/>
          <w:kern w:val="0"/>
        </w:rPr>
        <w:t>8</w:t>
      </w:r>
      <w:r>
        <w:rPr>
          <w:rFonts w:hAnsi="宋体"/>
          <w:color w:val="000000"/>
          <w:kern w:val="0"/>
        </w:rPr>
        <w:t>附</w:t>
      </w:r>
      <w:bookmarkEnd w:id="189"/>
      <w:bookmarkEnd w:id="190"/>
      <w:bookmarkEnd w:id="191"/>
      <w:bookmarkEnd w:id="192"/>
      <w:bookmarkEnd w:id="193"/>
      <w:bookmarkEnd w:id="194"/>
      <w:bookmarkEnd w:id="195"/>
      <w:bookmarkEnd w:id="196"/>
      <w:r>
        <w:rPr>
          <w:rFonts w:hint="eastAsia" w:hAnsi="宋体"/>
          <w:color w:val="000000"/>
          <w:kern w:val="0"/>
        </w:rPr>
        <w:t>件、附图</w:t>
      </w:r>
    </w:p>
    <w:p>
      <w:pPr>
        <w:ind w:firstLine="480"/>
        <w:rPr>
          <w:rFonts w:hint="eastAsia"/>
        </w:rPr>
      </w:pPr>
    </w:p>
    <w:p>
      <w:pPr>
        <w:ind w:firstLine="643"/>
        <w:rPr>
          <w:rFonts w:hint="eastAsia" w:hAnsi="宋体" w:cs="Times New Roman"/>
          <w:b/>
          <w:smallCaps w:val="0"/>
          <w:color w:val="000000"/>
          <w:kern w:val="0"/>
          <w:sz w:val="32"/>
        </w:rPr>
      </w:pPr>
      <w:r>
        <w:rPr>
          <w:rFonts w:hint="eastAsia" w:hAnsi="宋体" w:cs="Times New Roman"/>
          <w:b/>
          <w:smallCaps w:val="0"/>
          <w:color w:val="000000"/>
          <w:kern w:val="0"/>
          <w:sz w:val="32"/>
        </w:rPr>
        <w:t>附件：</w:t>
      </w:r>
    </w:p>
    <w:p>
      <w:pPr>
        <w:pStyle w:val="20"/>
        <w:ind w:firstLine="480"/>
        <w:rPr>
          <w:rFonts w:hint="eastAsia"/>
        </w:rPr>
      </w:pPr>
      <w:r>
        <w:rPr>
          <w:rFonts w:hint="eastAsia"/>
        </w:rPr>
        <w:t>1：环境风险隐患排查制度</w:t>
      </w:r>
    </w:p>
    <w:p>
      <w:pPr>
        <w:ind w:firstLine="480"/>
      </w:pPr>
      <w:r>
        <w:rPr>
          <w:rFonts w:hint="eastAsia"/>
        </w:rPr>
        <w:t>2：环境应急物资维护更新制度</w:t>
      </w:r>
    </w:p>
    <w:p>
      <w:pPr>
        <w:ind w:firstLine="643"/>
        <w:rPr>
          <w:rFonts w:hint="eastAsia" w:hAnsi="宋体" w:cs="Times New Roman"/>
          <w:b/>
          <w:smallCaps w:val="0"/>
          <w:color w:val="000000"/>
          <w:kern w:val="0"/>
          <w:sz w:val="32"/>
        </w:rPr>
      </w:pPr>
    </w:p>
    <w:p>
      <w:pPr>
        <w:ind w:firstLine="643"/>
        <w:rPr>
          <w:rFonts w:hAnsi="宋体" w:cs="Times New Roman"/>
          <w:b/>
          <w:smallCaps w:val="0"/>
          <w:color w:val="000000"/>
          <w:kern w:val="0"/>
          <w:sz w:val="32"/>
        </w:rPr>
      </w:pPr>
      <w:r>
        <w:rPr>
          <w:rFonts w:hint="eastAsia" w:hAnsi="宋体" w:cs="Times New Roman"/>
          <w:b/>
          <w:smallCaps w:val="0"/>
          <w:color w:val="000000"/>
          <w:kern w:val="0"/>
          <w:sz w:val="32"/>
        </w:rPr>
        <w:t>附图：</w:t>
      </w:r>
    </w:p>
    <w:p>
      <w:pPr>
        <w:pStyle w:val="53"/>
        <w:numPr>
          <w:ilvl w:val="0"/>
          <w:numId w:val="4"/>
        </w:numPr>
        <w:rPr>
          <w:rFonts w:cs="Times New Roman"/>
          <w:color w:val="000000"/>
        </w:rPr>
      </w:pPr>
      <w:bookmarkStart w:id="197" w:name="_Toc25958_WPSOffice_Level1"/>
      <w:r>
        <w:rPr>
          <w:rFonts w:hAnsi="宋体" w:cs="Times New Roman"/>
          <w:color w:val="000000"/>
        </w:rPr>
        <w:t>企业地理位置图</w:t>
      </w:r>
      <w:bookmarkEnd w:id="197"/>
    </w:p>
    <w:p>
      <w:pPr>
        <w:pStyle w:val="53"/>
        <w:numPr>
          <w:ilvl w:val="0"/>
          <w:numId w:val="4"/>
        </w:numPr>
        <w:rPr>
          <w:rFonts w:cs="Times New Roman"/>
          <w:color w:val="000000"/>
        </w:rPr>
      </w:pPr>
      <w:bookmarkStart w:id="198" w:name="_Toc11348_WPSOffice_Level1"/>
      <w:r>
        <w:rPr>
          <w:rFonts w:hAnsi="宋体" w:cs="Times New Roman"/>
          <w:color w:val="000000"/>
        </w:rPr>
        <w:t>厂区平面布置图</w:t>
      </w:r>
      <w:bookmarkEnd w:id="198"/>
    </w:p>
    <w:p>
      <w:pPr>
        <w:pStyle w:val="53"/>
        <w:numPr>
          <w:ilvl w:val="0"/>
          <w:numId w:val="4"/>
        </w:numPr>
        <w:rPr>
          <w:rFonts w:cs="Times New Roman"/>
          <w:color w:val="000000"/>
        </w:rPr>
      </w:pPr>
      <w:r>
        <w:rPr>
          <w:rFonts w:hint="eastAsia" w:cs="Times New Roman"/>
          <w:color w:val="000000"/>
        </w:rPr>
        <w:t>厂区雨、污排放图</w:t>
      </w:r>
    </w:p>
    <w:p>
      <w:pPr>
        <w:pStyle w:val="53"/>
        <w:numPr>
          <w:ilvl w:val="0"/>
          <w:numId w:val="4"/>
        </w:numPr>
        <w:rPr>
          <w:rFonts w:cs="Times New Roman"/>
          <w:color w:val="000000"/>
        </w:rPr>
      </w:pPr>
      <w:r>
        <w:rPr>
          <w:rFonts w:hint="eastAsia" w:cs="Times New Roman"/>
          <w:color w:val="000000"/>
        </w:rPr>
        <w:t>厂区应急物资分布图</w:t>
      </w:r>
    </w:p>
    <w:p>
      <w:pPr>
        <w:pStyle w:val="53"/>
        <w:numPr>
          <w:ilvl w:val="0"/>
          <w:numId w:val="4"/>
        </w:numPr>
        <w:rPr>
          <w:rFonts w:cs="Times New Roman"/>
          <w:color w:val="000000"/>
        </w:rPr>
      </w:pPr>
      <w:r>
        <w:rPr>
          <w:rFonts w:hint="eastAsia" w:cs="Times New Roman"/>
          <w:color w:val="000000"/>
        </w:rPr>
        <w:t>厂区风险点分布图</w:t>
      </w:r>
    </w:p>
    <w:p>
      <w:pPr>
        <w:pStyle w:val="53"/>
        <w:numPr>
          <w:ilvl w:val="0"/>
          <w:numId w:val="4"/>
        </w:numPr>
        <w:rPr>
          <w:rFonts w:hint="eastAsia" w:cs="Times New Roman"/>
          <w:color w:val="000000"/>
        </w:rPr>
      </w:pPr>
      <w:r>
        <w:rPr>
          <w:rFonts w:hint="eastAsia" w:cs="Times New Roman"/>
          <w:color w:val="000000"/>
        </w:rPr>
        <w:t>厂区疏散图</w:t>
      </w:r>
    </w:p>
    <w:p>
      <w:pPr>
        <w:pStyle w:val="53"/>
        <w:numPr>
          <w:ilvl w:val="0"/>
          <w:numId w:val="4"/>
        </w:numPr>
        <w:rPr>
          <w:rFonts w:hint="eastAsia" w:cs="Times New Roman"/>
          <w:color w:val="000000"/>
        </w:rPr>
      </w:pPr>
      <w:r>
        <w:rPr>
          <w:rFonts w:hint="eastAsia" w:cs="Times New Roman"/>
          <w:color w:val="000000"/>
          <w:lang w:eastAsia="zh-CN"/>
        </w:rPr>
        <w:t>重要阀门图</w:t>
      </w:r>
    </w:p>
    <w:p>
      <w:pPr>
        <w:pStyle w:val="53"/>
        <w:numPr>
          <w:ilvl w:val="0"/>
          <w:numId w:val="4"/>
        </w:numPr>
        <w:rPr>
          <w:rFonts w:hint="eastAsia" w:cs="Times New Roman"/>
          <w:color w:val="000000"/>
        </w:rPr>
      </w:pPr>
      <w:r>
        <w:rPr>
          <w:rFonts w:hint="eastAsia" w:cs="Times New Roman"/>
          <w:color w:val="000000"/>
          <w:lang w:eastAsia="zh-CN"/>
        </w:rPr>
        <w:t>环境风险受体图</w:t>
      </w:r>
    </w:p>
    <w:p>
      <w:pPr>
        <w:pStyle w:val="53"/>
        <w:numPr>
          <w:ilvl w:val="0"/>
          <w:numId w:val="4"/>
        </w:numPr>
        <w:rPr>
          <w:rFonts w:hint="eastAsia" w:cs="Times New Roman"/>
          <w:color w:val="000000"/>
        </w:rPr>
      </w:pPr>
      <w:r>
        <w:rPr>
          <w:rFonts w:hint="eastAsia" w:cs="Times New Roman"/>
          <w:color w:val="000000"/>
          <w:lang w:eastAsia="zh-CN"/>
        </w:rPr>
        <w:t>水域受体图</w:t>
      </w: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p>
    <w:p>
      <w:pPr>
        <w:pStyle w:val="35"/>
        <w:ind w:firstLine="480"/>
        <w:rPr>
          <w:rFonts w:hint="eastAsia" w:hAnsi="宋体" w:cs="Times New Roman"/>
          <w:color w:val="000000"/>
        </w:rPr>
      </w:pPr>
      <w:r>
        <w:rPr>
          <w:rFonts w:hint="eastAsia" w:hAnsi="宋体" w:cs="Times New Roman"/>
          <w:color w:val="000000"/>
        </w:rPr>
        <w:t>附件1</w:t>
      </w:r>
    </w:p>
    <w:p>
      <w:pPr>
        <w:pStyle w:val="35"/>
        <w:ind w:firstLine="0" w:firstLineChars="0"/>
        <w:rPr>
          <w:rFonts w:hint="eastAsia" w:hAnsi="宋体" w:cs="Times New Roman"/>
          <w:color w:val="000000"/>
        </w:rPr>
      </w:pPr>
      <w:r>
        <w:rPr>
          <w:snapToGrid/>
        </w:rPr>
        <w:drawing>
          <wp:inline distT="0" distB="0" distL="0" distR="0">
            <wp:extent cx="5627370" cy="7178675"/>
            <wp:effectExtent l="19050" t="0" r="0" b="0"/>
            <wp:docPr id="5" name="图片 5" descr="C:\Users\Administrator\Desktop\应急预案\新建文件夹\隐患排查--1a6c92dcb8d7e3ff1ee72e998ddd11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应急预案\新建文件夹\隐患排查--1a6c92dcb8d7e3ff1ee72e998ddd11b7.png"/>
                    <pic:cNvPicPr>
                      <a:picLocks noChangeAspect="1" noChangeArrowheads="1"/>
                    </pic:cNvPicPr>
                  </pic:nvPicPr>
                  <pic:blipFill>
                    <a:blip r:embed="rId23" cstate="print"/>
                    <a:srcRect/>
                    <a:stretch>
                      <a:fillRect/>
                    </a:stretch>
                  </pic:blipFill>
                  <pic:spPr>
                    <a:xfrm>
                      <a:off x="0" y="0"/>
                      <a:ext cx="5630604" cy="7182290"/>
                    </a:xfrm>
                    <a:prstGeom prst="rect">
                      <a:avLst/>
                    </a:prstGeom>
                    <a:noFill/>
                    <a:ln w="9525">
                      <a:noFill/>
                      <a:miter lim="800000"/>
                      <a:headEnd/>
                      <a:tailEnd/>
                    </a:ln>
                  </pic:spPr>
                </pic:pic>
              </a:graphicData>
            </a:graphic>
          </wp:inline>
        </w:drawing>
      </w:r>
    </w:p>
    <w:p>
      <w:pPr>
        <w:pStyle w:val="35"/>
        <w:ind w:firstLine="480"/>
        <w:rPr>
          <w:rFonts w:hint="eastAsia" w:hAnsi="宋体" w:cs="Times New Roman"/>
          <w:color w:val="000000"/>
        </w:rPr>
      </w:pPr>
    </w:p>
    <w:p>
      <w:pPr>
        <w:pStyle w:val="35"/>
        <w:ind w:firstLine="480"/>
        <w:jc w:val="left"/>
        <w:rPr>
          <w:rFonts w:hint="eastAsia" w:hAnsi="宋体" w:cs="Times New Roman"/>
          <w:color w:val="000000"/>
        </w:rPr>
      </w:pPr>
      <w:r>
        <w:rPr>
          <w:rFonts w:hAnsi="宋体" w:cs="Times New Roman"/>
          <w:color w:val="000000"/>
        </w:rPr>
        <w:br w:type="textWrapping" w:clear="all"/>
      </w:r>
    </w:p>
    <w:p>
      <w:pPr>
        <w:pStyle w:val="35"/>
        <w:ind w:firstLine="480"/>
        <w:rPr>
          <w:rFonts w:hAnsi="宋体" w:cs="Times New Roman"/>
          <w:color w:val="000000"/>
        </w:rPr>
      </w:pPr>
      <w:r>
        <w:rPr>
          <w:rFonts w:hAnsi="宋体" w:cs="Times New Roman"/>
          <w:snapToGrid/>
          <w:color w:val="000000"/>
        </w:rPr>
        <w:drawing>
          <wp:anchor distT="0" distB="0" distL="114300" distR="114300" simplePos="0" relativeHeight="251684864" behindDoc="0" locked="0" layoutInCell="1" allowOverlap="1">
            <wp:simplePos x="0" y="0"/>
            <wp:positionH relativeFrom="column">
              <wp:posOffset>94615</wp:posOffset>
            </wp:positionH>
            <wp:positionV relativeFrom="paragraph">
              <wp:posOffset>359410</wp:posOffset>
            </wp:positionV>
            <wp:extent cx="5355590" cy="6227445"/>
            <wp:effectExtent l="19050" t="0" r="0" b="0"/>
            <wp:wrapSquare wrapText="bothSides"/>
            <wp:docPr id="6" name="图片 6" descr="C:\Users\Administrator\Desktop\应急预案\新建文件夹\隐患排查--262b68848a76e5228b3db43b581235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应急预案\新建文件夹\隐患排查--262b68848a76e5228b3db43b581235ba.png"/>
                    <pic:cNvPicPr>
                      <a:picLocks noChangeAspect="1" noChangeArrowheads="1"/>
                    </pic:cNvPicPr>
                  </pic:nvPicPr>
                  <pic:blipFill>
                    <a:blip r:embed="rId24" cstate="print"/>
                    <a:srcRect/>
                    <a:stretch>
                      <a:fillRect/>
                    </a:stretch>
                  </pic:blipFill>
                  <pic:spPr>
                    <a:xfrm>
                      <a:off x="0" y="0"/>
                      <a:ext cx="5355590" cy="6227445"/>
                    </a:xfrm>
                    <a:prstGeom prst="rect">
                      <a:avLst/>
                    </a:prstGeom>
                    <a:noFill/>
                    <a:ln w="9525">
                      <a:noFill/>
                      <a:miter lim="800000"/>
                      <a:headEnd/>
                      <a:tailEnd/>
                    </a:ln>
                  </pic:spPr>
                </pic:pic>
              </a:graphicData>
            </a:graphic>
          </wp:anchor>
        </w:drawing>
      </w:r>
    </w:p>
    <w:p>
      <w:pPr>
        <w:pStyle w:val="35"/>
        <w:ind w:firstLine="480"/>
        <w:rPr>
          <w:rFonts w:hAnsi="宋体" w:cs="Times New Roman"/>
          <w:color w:val="000000"/>
        </w:rPr>
      </w:pPr>
    </w:p>
    <w:p>
      <w:pPr>
        <w:ind w:firstLine="480"/>
      </w:pPr>
    </w:p>
    <w:p>
      <w:pPr>
        <w:ind w:firstLine="480"/>
      </w:pPr>
    </w:p>
    <w:p>
      <w:pPr>
        <w:ind w:firstLine="480"/>
      </w:pPr>
    </w:p>
    <w:p>
      <w:pPr>
        <w:ind w:firstLine="480"/>
      </w:pPr>
    </w:p>
    <w:p>
      <w:pPr>
        <w:ind w:firstLine="480"/>
      </w:pPr>
    </w:p>
    <w:p>
      <w:pPr>
        <w:tabs>
          <w:tab w:val="left" w:pos="2627"/>
        </w:tabs>
        <w:ind w:firstLine="480"/>
        <w:rPr>
          <w:rFonts w:hint="eastAsia"/>
        </w:rPr>
      </w:pPr>
      <w:r>
        <w:tab/>
      </w:r>
    </w:p>
    <w:p>
      <w:pPr>
        <w:pStyle w:val="20"/>
        <w:ind w:firstLine="480"/>
        <w:rPr>
          <w:rFonts w:hint="eastAsia"/>
        </w:rPr>
      </w:pPr>
    </w:p>
    <w:p>
      <w:pPr>
        <w:ind w:firstLine="480"/>
        <w:rPr>
          <w:rFonts w:hint="eastAsia"/>
        </w:rPr>
      </w:pPr>
      <w:r>
        <w:rPr>
          <w:rFonts w:hint="eastAsia"/>
        </w:rPr>
        <w:t>附件2：</w:t>
      </w:r>
    </w:p>
    <w:p>
      <w:pPr>
        <w:pStyle w:val="20"/>
        <w:ind w:firstLine="480"/>
        <w:jc w:val="center"/>
        <w:rPr>
          <w:rFonts w:hint="eastAsia"/>
        </w:rPr>
      </w:pPr>
      <w:r>
        <w:rPr>
          <w:rFonts w:hint="eastAsia"/>
        </w:rPr>
        <w:t>环境应急物资维护更新制度</w:t>
      </w:r>
      <w:r>
        <w:drawing>
          <wp:inline distT="0" distB="0" distL="0" distR="0">
            <wp:extent cx="5479415" cy="7052945"/>
            <wp:effectExtent l="19050" t="0" r="6693" b="0"/>
            <wp:docPr id="7" name="图片 7" descr="C:\Users\Administrator\Desktop\应急预案\新建文件夹\资源更新-1fd3700bbfb20cb38ba5759bba2ce9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Desktop\应急预案\新建文件夹\资源更新-1fd3700bbfb20cb38ba5759bba2ce9db.png"/>
                    <pic:cNvPicPr>
                      <a:picLocks noChangeAspect="1" noChangeArrowheads="1"/>
                    </pic:cNvPicPr>
                  </pic:nvPicPr>
                  <pic:blipFill>
                    <a:blip r:embed="rId25" cstate="print"/>
                    <a:srcRect/>
                    <a:stretch>
                      <a:fillRect/>
                    </a:stretch>
                  </pic:blipFill>
                  <pic:spPr>
                    <a:xfrm>
                      <a:off x="0" y="0"/>
                      <a:ext cx="5484513" cy="7059406"/>
                    </a:xfrm>
                    <a:prstGeom prst="rect">
                      <a:avLst/>
                    </a:prstGeom>
                    <a:noFill/>
                    <a:ln w="9525">
                      <a:noFill/>
                      <a:miter lim="800000"/>
                      <a:headEnd/>
                      <a:tailEnd/>
                    </a:ln>
                  </pic:spPr>
                </pic:pic>
              </a:graphicData>
            </a:graphic>
          </wp:inline>
        </w:drawing>
      </w:r>
    </w:p>
    <w:p>
      <w:pPr>
        <w:pStyle w:val="20"/>
        <w:ind w:firstLine="480"/>
      </w:pPr>
    </w:p>
    <w:p>
      <w:pPr>
        <w:ind w:firstLine="480"/>
      </w:pPr>
    </w:p>
    <w:p>
      <w:pPr>
        <w:ind w:firstLine="199" w:firstLineChars="83"/>
      </w:pPr>
      <w:r>
        <w:drawing>
          <wp:inline distT="0" distB="0" distL="0" distR="0">
            <wp:extent cx="5387340" cy="6734175"/>
            <wp:effectExtent l="19050" t="0" r="3605" b="0"/>
            <wp:docPr id="3" name="图片 8" descr="C:\Users\Administrator\Desktop\应急预案\新建文件夹\资源更新-2cac7273e05dec3a159d612baf5bd0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C:\Users\Administrator\Desktop\应急预案\新建文件夹\资源更新-2cac7273e05dec3a159d612baf5bd0e0.png"/>
                    <pic:cNvPicPr>
                      <a:picLocks noChangeAspect="1" noChangeArrowheads="1"/>
                    </pic:cNvPicPr>
                  </pic:nvPicPr>
                  <pic:blipFill>
                    <a:blip r:embed="rId26" cstate="print"/>
                    <a:srcRect/>
                    <a:stretch>
                      <a:fillRect/>
                    </a:stretch>
                  </pic:blipFill>
                  <pic:spPr>
                    <a:xfrm>
                      <a:off x="0" y="0"/>
                      <a:ext cx="5390926" cy="6738658"/>
                    </a:xfrm>
                    <a:prstGeom prst="rect">
                      <a:avLst/>
                    </a:prstGeom>
                    <a:noFill/>
                    <a:ln w="9525">
                      <a:noFill/>
                      <a:miter lim="800000"/>
                      <a:headEnd/>
                      <a:tailEnd/>
                    </a:ln>
                  </pic:spPr>
                </pic:pic>
              </a:graphicData>
            </a:graphic>
          </wp:inline>
        </w:drawing>
      </w:r>
    </w:p>
    <w:p>
      <w:pPr>
        <w:ind w:firstLine="480"/>
      </w:pPr>
    </w:p>
    <w:p>
      <w:pPr>
        <w:ind w:firstLine="480"/>
      </w:pPr>
    </w:p>
    <w:p>
      <w:pPr>
        <w:ind w:firstLine="480"/>
      </w:pPr>
    </w:p>
    <w:p>
      <w:pPr>
        <w:ind w:firstLine="480"/>
      </w:pPr>
    </w:p>
    <w:p>
      <w:pPr>
        <w:ind w:firstLine="480"/>
      </w:pPr>
    </w:p>
    <w:p>
      <w:pPr>
        <w:ind w:firstLine="480"/>
      </w:pPr>
    </w:p>
    <w:p>
      <w:pPr>
        <w:ind w:firstLine="0" w:firstLineChars="0"/>
        <w:sectPr>
          <w:pgSz w:w="11906" w:h="16838"/>
          <w:pgMar w:top="1418" w:right="1418" w:bottom="1418" w:left="1418" w:header="851" w:footer="992" w:gutter="0"/>
          <w:cols w:space="720" w:num="1"/>
          <w:docGrid w:linePitch="312" w:charSpace="0"/>
        </w:sectPr>
      </w:pPr>
    </w:p>
    <w:p>
      <w:pPr>
        <w:ind w:firstLine="0" w:firstLineChars="0"/>
        <w:jc w:val="center"/>
        <w:rPr>
          <w:kern w:val="21"/>
          <w:sz w:val="28"/>
          <w:szCs w:val="28"/>
        </w:rPr>
      </w:pPr>
      <w:r>
        <w:rPr>
          <w:kern w:val="21"/>
        </w:rPr>
        <w:pict>
          <v:shape id="自选图形 300" o:spid="_x0000_s1047" o:spt="61" type="#_x0000_t61" style="position:absolute;left:0pt;margin-left:350.3pt;margin-top:98.3pt;height:27.5pt;width:64.4pt;z-index:251660288;mso-width-relative:page;mso-height-relative:page;" coordsize="21600,21600" o:gfxdata="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FgAAAGRycy9QSwECFAAUAAAACACHTuJA+6qc1dsAAAALAQAADwAAAAAAAAABACAA&#10;AAA4AAAAZHJzL2Rvd25yZXYueG1sUEsBAhQAFAAAAAgAh07iQKT/3jktAgAAUwQAAA4AAAAAAAAA&#10;AQAgAAAAQAEAAGRycy9lMm9Eb2MueG1sUEsFBgAAAAAGAAYAWQEAAN8FAAAAAA==&#10;" adj="-5147,32793">
            <v:path/>
            <v:fill focussize="0,0"/>
            <v:stroke joinstyle="miter"/>
            <v:imagedata o:title=""/>
            <o:lock v:ext="edit"/>
            <v:textbox>
              <w:txbxContent>
                <w:p>
                  <w:pPr>
                    <w:ind w:firstLine="0" w:firstLineChars="0"/>
                    <w:rPr>
                      <w:b/>
                      <w:bCs/>
                    </w:rPr>
                  </w:pPr>
                  <w:r>
                    <w:rPr>
                      <w:rFonts w:hint="eastAsia"/>
                      <w:b/>
                      <w:bCs/>
                    </w:rPr>
                    <w:t>项目位置</w:t>
                  </w:r>
                </w:p>
              </w:txbxContent>
            </v:textbox>
          </v:shape>
        </w:pict>
      </w:r>
      <w:r>
        <w:drawing>
          <wp:inline distT="0" distB="0" distL="114300" distR="114300">
            <wp:extent cx="7837805" cy="4888865"/>
            <wp:effectExtent l="0" t="0" r="10795" b="3175"/>
            <wp:docPr id="9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4"/>
                    <pic:cNvPicPr>
                      <a:picLocks noChangeAspect="1"/>
                    </pic:cNvPicPr>
                  </pic:nvPicPr>
                  <pic:blipFill>
                    <a:blip r:embed="rId27" cstate="print"/>
                    <a:srcRect l="7080" r="10472"/>
                    <a:stretch>
                      <a:fillRect/>
                    </a:stretch>
                  </pic:blipFill>
                  <pic:spPr>
                    <a:xfrm>
                      <a:off x="0" y="0"/>
                      <a:ext cx="7837805" cy="4888865"/>
                    </a:xfrm>
                    <a:prstGeom prst="rect">
                      <a:avLst/>
                    </a:prstGeom>
                    <a:noFill/>
                    <a:ln>
                      <a:noFill/>
                    </a:ln>
                  </pic:spPr>
                </pic:pic>
              </a:graphicData>
            </a:graphic>
          </wp:inline>
        </w:drawing>
      </w:r>
    </w:p>
    <w:p>
      <w:pPr>
        <w:pStyle w:val="19"/>
        <w:numPr>
          <w:ilvl w:val="0"/>
          <w:numId w:val="5"/>
        </w:numPr>
        <w:spacing w:line="360" w:lineRule="auto"/>
        <w:rPr>
          <w:rFonts w:ascii="Times New Roman" w:hAnsi="Times New Roman"/>
          <w:kern w:val="21"/>
          <w:sz w:val="28"/>
          <w:szCs w:val="28"/>
        </w:rPr>
      </w:pPr>
      <w:r>
        <w:rPr>
          <w:rFonts w:ascii="Times New Roman" w:hAnsi="Times New Roman"/>
          <w:kern w:val="21"/>
          <w:sz w:val="28"/>
          <w:szCs w:val="28"/>
        </w:rPr>
        <w:t>企业地理位置</w:t>
      </w:r>
      <w:r>
        <w:rPr>
          <w:rFonts w:hint="eastAsia" w:ascii="Times New Roman" w:hAnsi="Times New Roman"/>
          <w:kern w:val="21"/>
          <w:sz w:val="28"/>
          <w:szCs w:val="28"/>
        </w:rPr>
        <w:t>图</w:t>
      </w:r>
    </w:p>
    <w:p>
      <w:pPr>
        <w:adjustRightInd w:val="0"/>
        <w:snapToGrid w:val="0"/>
        <w:spacing w:line="240" w:lineRule="auto"/>
        <w:ind w:firstLine="0" w:firstLineChars="0"/>
        <w:jc w:val="center"/>
      </w:pPr>
      <w:r>
        <w:drawing>
          <wp:inline distT="0" distB="0" distL="114300" distR="114300">
            <wp:extent cx="7120255" cy="4877435"/>
            <wp:effectExtent l="0" t="0" r="12065" b="1460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8" cstate="print"/>
                    <a:stretch>
                      <a:fillRect/>
                    </a:stretch>
                  </pic:blipFill>
                  <pic:spPr>
                    <a:xfrm>
                      <a:off x="0" y="0"/>
                      <a:ext cx="7120255" cy="4877435"/>
                    </a:xfrm>
                    <a:prstGeom prst="rect">
                      <a:avLst/>
                    </a:prstGeom>
                    <a:noFill/>
                    <a:ln>
                      <a:noFill/>
                    </a:ln>
                  </pic:spPr>
                </pic:pic>
              </a:graphicData>
            </a:graphic>
          </wp:inline>
        </w:drawing>
      </w:r>
    </w:p>
    <w:p>
      <w:pPr>
        <w:adjustRightInd w:val="0"/>
        <w:snapToGrid w:val="0"/>
        <w:spacing w:line="240" w:lineRule="auto"/>
        <w:ind w:firstLine="0" w:firstLineChars="0"/>
        <w:jc w:val="center"/>
        <w:rPr>
          <w:kern w:val="21"/>
          <w:sz w:val="28"/>
          <w:szCs w:val="28"/>
        </w:rPr>
      </w:pPr>
      <w:r>
        <w:rPr>
          <w:rFonts w:hint="eastAsia"/>
        </w:rPr>
        <w:t>2.</w:t>
      </w:r>
      <w:r>
        <w:rPr>
          <w:kern w:val="21"/>
          <w:sz w:val="28"/>
          <w:szCs w:val="28"/>
        </w:rPr>
        <w:t>厂区平面布置图</w:t>
      </w:r>
    </w:p>
    <w:p>
      <w:pPr>
        <w:pStyle w:val="19"/>
        <w:spacing w:line="360" w:lineRule="auto"/>
      </w:pPr>
      <w:r>
        <w:pict>
          <v:shape id="_x0000_s1046" o:spid="_x0000_s1046" o:spt="13" type="#_x0000_t13" style="position:absolute;left:0pt;margin-left:298.2pt;margin-top:200.35pt;height:9.3pt;width:73.55pt;rotation:-5111808f;z-index:251661312;v-text-anchor:middle;mso-width-relative:page;mso-height-relative:page;" fillcolor="#FF0000" filled="t" stroked="t" coordsize="21600,21600" o:gfxdata="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BYAAABkcnMvUEsBAhQAFAAAAAgAh07iQIN5ezLbAAAA&#10;CwEAAA8AAAAAAAAAAQAgAAAAOAAAAGRycy9kb3ducmV2LnhtbFBLAQIUABQAAAAIAIdO4kA/SuwS&#10;dgIAANgEAAAOAAAAAAAAAAEAIAAAAEABAABkcnMvZTJvRG9jLnhtbFBLBQYAAAAABgAGAFkBAAAo&#10;BgAAAAA=&#10;" adj="20235">
            <v:path/>
            <v:fill on="t" focussize="0,0"/>
            <v:stroke weight="1pt" color="#FF0000" joinstyle="miter"/>
            <v:imagedata o:title=""/>
            <o:lock v:ext="edit"/>
          </v:shape>
        </w:pict>
      </w:r>
      <w:r>
        <w:pict>
          <v:shape id="_x0000_s1045" o:spid="_x0000_s1045" o:spt="13" type="#_x0000_t13" style="position:absolute;left:0pt;margin-left:292.2pt;margin-top:143.4pt;height:6.2pt;width:59.65pt;rotation:-9371648f;z-index:251662336;v-text-anchor:middle;mso-width-relative:page;mso-height-relative:page;" fillcolor="#FF0000" filled="t" stroked="t" coordsize="21600,21600" o:gfxdata="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BYAAABkcnMvUEsBAhQAFAAAAAgAh07iQHLZLvXZAAAACwEAAA8AAAAAAAAAAQAg&#10;AAAAOAAAAGRycy9kb3ducmV2LnhtbFBLAQIUABQAAAAIAIdO4kCrJlywaQIAAMsEAAAOAAAAAAAA&#10;AAEAIAAAAD4BAABkcnMvZTJvRG9jLnhtbFBLBQYAAAAABgAGAFkBAAAZBgAAAAA=&#10;" adj="20478">
            <v:path/>
            <v:fill on="t" focussize="0,0"/>
            <v:stroke weight="1pt" color="#FF0000" joinstyle="miter"/>
            <v:imagedata o:title=""/>
            <o:lock v:ext="edit"/>
          </v:shape>
        </w:pict>
      </w:r>
      <w:r>
        <w:pict>
          <v:shape id="_x0000_s1044" o:spid="_x0000_s1044" o:spt="13" type="#_x0000_t13" style="position:absolute;left:0pt;margin-left:240.5pt;margin-top:104.15pt;height:6.8pt;width:59.65pt;rotation:-9502720f;z-index:251663360;v-text-anchor:middle;mso-width-relative:page;mso-height-relative:page;" fillcolor="#FF0000" filled="t" stroked="t" coordsize="21600,21600" o:gfxdata="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BYAAABkcnMvUEsBAhQAFAAAAAgAh07iQIfJqH3YAAAACwEAAA8AAAAAAAAAAQAgAAAA&#10;OAAAAGRycy9kb3ducmV2LnhtbFBLAQIUABQAAAAIAIdO4kB2NVCEZwIAAM0EAAAOAAAAAAAAAAEA&#10;IAAAAD0BAABkcnMvZTJvRG9jLnhtbFBLBQYAAAAABgAGAFkBAAAWBgAAAAA=&#10;" adj="20369">
            <v:path/>
            <v:fill on="t" focussize="0,0"/>
            <v:stroke weight="1pt" color="#FF0000" joinstyle="miter"/>
            <v:imagedata o:title=""/>
            <o:lock v:ext="edit"/>
          </v:shape>
        </w:pict>
      </w:r>
      <w:r>
        <w:drawing>
          <wp:inline distT="0" distB="0" distL="114300" distR="114300">
            <wp:extent cx="7021195" cy="4856480"/>
            <wp:effectExtent l="0" t="0" r="4445" b="5080"/>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pic:cNvPicPr>
                  </pic:nvPicPr>
                  <pic:blipFill>
                    <a:blip r:embed="rId29" cstate="print"/>
                    <a:stretch>
                      <a:fillRect/>
                    </a:stretch>
                  </pic:blipFill>
                  <pic:spPr>
                    <a:xfrm>
                      <a:off x="0" y="0"/>
                      <a:ext cx="7021195" cy="4856480"/>
                    </a:xfrm>
                    <a:prstGeom prst="rect">
                      <a:avLst/>
                    </a:prstGeom>
                    <a:noFill/>
                    <a:ln>
                      <a:noFill/>
                    </a:ln>
                  </pic:spPr>
                </pic:pic>
              </a:graphicData>
            </a:graphic>
          </wp:inline>
        </w:drawing>
      </w:r>
    </w:p>
    <w:p>
      <w:pPr>
        <w:pStyle w:val="19"/>
        <w:spacing w:line="360" w:lineRule="auto"/>
      </w:pPr>
      <w:r>
        <w:rPr>
          <w:rFonts w:hint="eastAsia"/>
        </w:rPr>
        <w:t>3.厂区雨、污排放图</w:t>
      </w:r>
    </w:p>
    <w:p>
      <w:pPr>
        <w:pStyle w:val="19"/>
        <w:spacing w:line="360" w:lineRule="auto"/>
      </w:pPr>
      <w:r>
        <w:drawing>
          <wp:inline distT="0" distB="0" distL="114300" distR="114300">
            <wp:extent cx="7880350" cy="4883150"/>
            <wp:effectExtent l="0" t="0" r="13970" b="889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30" cstate="print"/>
                    <a:stretch>
                      <a:fillRect/>
                    </a:stretch>
                  </pic:blipFill>
                  <pic:spPr>
                    <a:xfrm>
                      <a:off x="0" y="0"/>
                      <a:ext cx="7880350" cy="4883150"/>
                    </a:xfrm>
                    <a:prstGeom prst="rect">
                      <a:avLst/>
                    </a:prstGeom>
                    <a:noFill/>
                    <a:ln>
                      <a:noFill/>
                    </a:ln>
                  </pic:spPr>
                </pic:pic>
              </a:graphicData>
            </a:graphic>
          </wp:inline>
        </w:drawing>
      </w:r>
    </w:p>
    <w:p>
      <w:pPr>
        <w:pStyle w:val="53"/>
        <w:jc w:val="center"/>
        <w:rPr>
          <w:rFonts w:cs="Times New Roman"/>
          <w:color w:val="000000"/>
        </w:rPr>
      </w:pPr>
      <w:r>
        <w:rPr>
          <w:rFonts w:hint="eastAsia" w:cs="Times New Roman"/>
          <w:color w:val="000000"/>
        </w:rPr>
        <w:t>4.厂区应急物资分布图</w:t>
      </w:r>
    </w:p>
    <w:p>
      <w:pPr>
        <w:pStyle w:val="53"/>
        <w:jc w:val="center"/>
        <w:rPr>
          <w:rFonts w:cs="Times New Roman"/>
          <w:color w:val="000000"/>
        </w:rPr>
      </w:pPr>
      <w:r>
        <w:pict>
          <v:shape id="_x0000_s1043" o:spid="_x0000_s1043" o:spt="5" type="#_x0000_t5" style="position:absolute;left:0pt;margin-left:484.5pt;margin-top:124.1pt;height:16pt;width:18pt;z-index:251680768;v-text-anchor:middle;mso-width-relative:page;mso-height-relative:page;" fillcolor="#FF0000" filled="t" stroked="t" coordsize="21600,21600" o:gfxdata="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ChfH0tsAAAAMAQAADwAAAAAAAAAB&#10;ACAAAAA4AAAAZHJzL2Rvd25yZXYueG1sUEsBAhQAFAAAAAgAh07iQN2QXappAgAAwwQAAA4AAAAA&#10;AAAAAQAgAAAAQAEAAGRycy9lMm9Eb2MueG1sUEsFBgAAAAAGAAYAWQEAABsGAAAAAA==&#10;">
            <v:path/>
            <v:fill on="t" focussize="0,0"/>
            <v:stroke weight="1pt" color="#FF0000" joinstyle="miter"/>
            <v:imagedata o:title=""/>
            <o:lock v:ext="edit"/>
          </v:shape>
        </w:pict>
      </w:r>
      <w:r>
        <w:pict>
          <v:shape id="_x0000_s1042" o:spid="_x0000_s1042" o:spt="5" type="#_x0000_t5" style="position:absolute;left:0pt;margin-left:486.5pt;margin-top:64.1pt;height:16pt;width:18pt;z-index:251679744;v-text-anchor:middle;mso-width-relative:page;mso-height-relative:page;" fillcolor="#FF0000" filled="t" stroked="t" coordsize="21600,21600" o:gfxdata="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WAAAAZHJzL1BLAQIUABQAAAAIAIdO4kAxUTe12gAAAAwBAAAPAAAAAAAAAAEA&#10;IAAAADgAAABkcnMvZG93bnJldi54bWxQSwECFAAUAAAACACHTuJAWR1Xj2kCAADDBAAADgAAAAAA&#10;AAABACAAAAA/AQAAZHJzL2Uyb0RvYy54bWxQSwUGAAAAAAYABgBZAQAAGgYAAAAA&#10;">
            <v:path/>
            <v:fill on="t" focussize="0,0"/>
            <v:stroke weight="1pt" color="#FF0000" joinstyle="miter"/>
            <v:imagedata o:title=""/>
            <o:lock v:ext="edit"/>
          </v:shape>
        </w:pict>
      </w:r>
      <w:r>
        <w:pict>
          <v:shape id="_x0000_s1041" o:spid="_x0000_s1041" o:spt="5" type="#_x0000_t5" style="position:absolute;left:0pt;margin-left:404.5pt;margin-top:127.1pt;height:16pt;width:18pt;z-index:251678720;v-text-anchor:middle;mso-width-relative:page;mso-height-relative:page;" fillcolor="#FF0000" filled="t" stroked="t" coordsize="21600,21600" o:gfxdata="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fQc3SdsAAAALAQAADwAAAAAAAAAB&#10;ACAAAAA4AAAAZHJzL2Rvd25yZXYueG1sUEsBAhQAFAAAAAgAh07iQKTXR4dpAgAAwwQAAA4AAAAA&#10;AAAAAQAgAAAAQAEAAGRycy9lMm9Eb2MueG1sUEsFBgAAAAAGAAYAWQEAABsGAAAAAA==&#10;">
            <v:path/>
            <v:fill on="t" focussize="0,0"/>
            <v:stroke weight="1pt" color="#FF0000" joinstyle="miter"/>
            <v:imagedata o:title=""/>
            <o:lock v:ext="edit"/>
          </v:shape>
        </w:pict>
      </w:r>
      <w:r>
        <w:pict>
          <v:shape id="_x0000_s1040" o:spid="_x0000_s1040" o:spt="5" type="#_x0000_t5" style="position:absolute;left:0pt;margin-left:404.5pt;margin-top:72.1pt;height:16pt;width:18pt;z-index:251677696;v-text-anchor:middle;mso-width-relative:page;mso-height-relative:page;" fillcolor="#FF0000" filled="t" stroked="t" coordsize="21600,21600" o:gfxdata="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Mp5vWNsAAAALAQAADwAAAAAAAAAB&#10;ACAAAAA4AAAAZHJzL2Rvd25yZXYueG1sUEsBAhQAFAAAAAgAh07iQCBaTaJpAgAAwwQAAA4AAAAA&#10;AAAAAQAgAAAAQAEAAGRycy9lMm9Eb2MueG1sUEsFBgAAAAAGAAYAWQEAABsGAAAAAA==&#10;">
            <v:path/>
            <v:fill on="t" focussize="0,0"/>
            <v:stroke weight="1pt" color="#FF0000" joinstyle="miter"/>
            <v:imagedata o:title=""/>
            <o:lock v:ext="edit"/>
          </v:shape>
        </w:pict>
      </w:r>
      <w:r>
        <w:pict>
          <v:shape id="_x0000_s1039" o:spid="_x0000_s1039" o:spt="5" type="#_x0000_t5" style="position:absolute;left:0pt;margin-left:162.5pt;margin-top:252.1pt;height:16pt;width:18pt;z-index:251676672;v-text-anchor:middle;mso-width-relative:page;mso-height-relative:page;" fillcolor="#FF0000" filled="t" stroked="t" coordsize="21600,21600" o:gfxdata="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JAb5f9sAAAALAQAADwAAAAAAAAAB&#10;ACAAAAA4AAAAZHJzL2Rvd25yZXYueG1sUEsBAhQAFAAAAAgAh07iQKzMUs1pAgAAwwQAAA4AAAAA&#10;AAAAAQAgAAAAQAEAAGRycy9lMm9Eb2MueG1sUEsFBgAAAAAGAAYAWQEAABsGAAAAAA==&#10;">
            <v:path/>
            <v:fill on="t" focussize="0,0"/>
            <v:stroke weight="1pt" color="#FF0000" joinstyle="miter"/>
            <v:imagedata o:title=""/>
            <o:lock v:ext="edit"/>
          </v:shape>
        </w:pict>
      </w:r>
      <w:r>
        <w:pict>
          <v:shape id="_x0000_s1038" o:spid="_x0000_s1038" o:spt="5" type="#_x0000_t5" style="position:absolute;left:0pt;margin-left:168.5pt;margin-top:124.1pt;height:16pt;width:18pt;z-index:251675648;v-text-anchor:middle;mso-width-relative:page;mso-height-relative:page;" fillcolor="#FF0000" filled="t" stroked="t" coordsize="21600,21600" o:gfxdata="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WAAAAZHJzL1BLAQIUABQAAAAIAIdO4kAdWXoi2gAAAAsBAAAPAAAAAAAAAAEA&#10;IAAAADgAAABkcnMvZG93bnJldi54bWxQSwECFAAUAAAACACHTuJAKEFY6GkCAADDBAAADgAAAAAA&#10;AAABACAAAAA/AQAAZHJzL2Uyb0RvYy54bWxQSwUGAAAAAAYABgBZAQAAGgYAAAAA&#10;">
            <v:path/>
            <v:fill on="t" focussize="0,0"/>
            <v:stroke weight="1pt" color="#FF0000" joinstyle="miter"/>
            <v:imagedata o:title=""/>
            <o:lock v:ext="edit"/>
          </v:shape>
        </w:pict>
      </w:r>
      <w:r>
        <w:pict>
          <v:shape id="_x0000_s1037" o:spid="_x0000_s1037" o:spt="5" type="#_x0000_t5" style="position:absolute;left:0pt;margin-left:167.5pt;margin-top:47.1pt;height:16pt;width:18pt;z-index:251674624;v-text-anchor:middle;mso-width-relative:page;mso-height-relative:page;" fillcolor="#FF0000" filled="t" stroked="t" coordsize="21600,21600" o:gfxdata="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SEBZjdsAAAAKAQAADwAAAAAAAAAB&#10;ACAAAAA4AAAAZHJzL2Rvd25yZXYueG1sUEsBAhQAFAAAAAgAh07iQLThbRNpAgAAwwQAAA4AAAAA&#10;AAAAAQAgAAAAQAEAAGRycy9lMm9Eb2MueG1sUEsFBgAAAAAGAAYAWQEAABsGAAAAAA==&#10;">
            <v:path/>
            <v:fill on="t" focussize="0,0"/>
            <v:stroke weight="1pt" color="#FF0000" joinstyle="miter"/>
            <v:imagedata o:title=""/>
            <o:lock v:ext="edit"/>
          </v:shape>
        </w:pict>
      </w:r>
      <w:r>
        <w:pict>
          <v:shape id="_x0000_s1036" o:spid="_x0000_s1036" o:spt="5" type="#_x0000_t5" style="position:absolute;left:0pt;margin-left:95.5pt;margin-top:134.1pt;height:16pt;width:18pt;z-index:251669504;v-text-anchor:middle;mso-width-relative:page;mso-height-relative:page;" fillcolor="#FF0000" filled="t" stroked="t" coordsize="21600,21600" o:gfxdata="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BYAAABkcnMvUEsBAhQAFAAAAAgAh07iQLAa4z3aAAAACwEAAA8AAAAAAAAAAQAg&#10;AAAAOAAAAGRycy9kb3ducmV2LnhtbFBLAQIUABQAAAAIAIdO4kDEzTZraAIAAMMEAAAOAAAAAAAA&#10;AAEAIAAAAD8BAABkcnMvZTJvRG9jLnhtbFBLBQYAAAAABgAGAFkBAAAZBgAAAAA=&#10;">
            <v:path/>
            <v:fill on="t" focussize="0,0"/>
            <v:stroke weight="1pt" color="#FF0000" joinstyle="miter"/>
            <v:imagedata o:title=""/>
            <o:lock v:ext="edit"/>
          </v:shape>
        </w:pict>
      </w:r>
      <w:r>
        <w:pict>
          <v:shape id="_x0000_s1035" o:spid="_x0000_s1035" o:spt="5" type="#_x0000_t5" style="position:absolute;left:0pt;margin-left:93.5pt;margin-top:80.1pt;height:16pt;width:18pt;z-index:251673600;v-text-anchor:middle;mso-width-relative:page;mso-height-relative:page;" fillcolor="#FF0000" filled="t" stroked="t" coordsize="21600,21600" o:gfxdata="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FgAAAGRycy9QSwECFAAUAAAACACHTuJAWNYwONgAAAALAQAADwAAAAAAAAABACAA&#10;AAA4AAAAZHJzL2Rvd25yZXYueG1sUEsBAhQAFAAAAAgAh07iQDBsZzZpAgAAwwQAAA4AAAAAAAAA&#10;AQAgAAAAPQEAAGRycy9lMm9Eb2MueG1sUEsFBgAAAAAGAAYAWQEAABgGAAAAAA==&#10;">
            <v:path/>
            <v:fill on="t" focussize="0,0"/>
            <v:stroke weight="1pt" color="#FF0000" joinstyle="miter"/>
            <v:imagedata o:title=""/>
            <o:lock v:ext="edit"/>
          </v:shape>
        </w:pict>
      </w:r>
      <w:r>
        <w:pict>
          <v:shape id="_x0000_s1034" o:spid="_x0000_s1034" o:spt="5" type="#_x0000_t5" style="position:absolute;left:0pt;margin-left:96.5pt;margin-top:28.1pt;height:16pt;width:18pt;z-index:251672576;v-text-anchor:middle;mso-width-relative:page;mso-height-relative:page;" fillcolor="#FF0000" filled="t" stroked="t" coordsize="21600,21600" o:gfxdata="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BYAAABkcnMvUEsBAhQAFAAAAAgAh07iQBSXxpHZAAAACQEAAA8AAAAAAAAAAQAg&#10;AAAAOAAAAGRycy9kb3ducmV2LnhtbFBLAQIUABQAAAAIAIdO4kC8+nhZaQIAAMMEAAAOAAAAAAAA&#10;AAEAIAAAAD4BAABkcnMvZTJvRG9jLnhtbFBLBQYAAAAABgAGAFkBAAAZBgAAAAA=&#10;">
            <v:path/>
            <v:fill on="t" focussize="0,0"/>
            <v:stroke weight="1pt" color="#FF0000" joinstyle="miter"/>
            <v:imagedata o:title=""/>
            <o:lock v:ext="edit"/>
          </v:shape>
        </w:pict>
      </w:r>
      <w:r>
        <w:pict>
          <v:shape id="_x0000_s1033" o:spid="_x0000_s1033" o:spt="5" type="#_x0000_t5" style="position:absolute;left:0pt;margin-left:287.5pt;margin-top:132.1pt;height:16pt;width:18pt;z-index:251671552;v-text-anchor:middle;mso-width-relative:page;mso-height-relative:page;" fillcolor="#FF0000" filled="t" stroked="t" coordsize="21600,21600" o:gfxdata="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Zq9yg9sAAAALAQAADwAAAAAAAAAB&#10;ACAAAAA4AAAAZHJzL2Rvd25yZXYueG1sUEsBAhQAFAAAAAgAh07iQDh3cnxpAgAAwwQAAA4AAAAA&#10;AAAAAQAgAAAAQAEAAGRycy9lMm9Eb2MueG1sUEsFBgAAAAAGAAYAWQEAABsGAAAAAA==&#10;">
            <v:path/>
            <v:fill on="t" focussize="0,0"/>
            <v:stroke weight="1pt" color="#FF0000" joinstyle="miter"/>
            <v:imagedata o:title=""/>
            <o:lock v:ext="edit"/>
          </v:shape>
        </w:pict>
      </w:r>
      <w:r>
        <w:pict>
          <v:shape id="_x0000_s1032" o:spid="_x0000_s1032" o:spt="5" type="#_x0000_t5" style="position:absolute;left:0pt;margin-left:285.5pt;margin-top:66.1pt;height:16pt;width:18pt;z-index:251670528;v-text-anchor:middle;mso-width-relative:page;mso-height-relative:page;" fillcolor="#FF0000" filled="t" stroked="t" coordsize="21600,21600" o:gfxdata="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WAAAAZHJzL1BLAQIUABQAAAAIAIdO4kDKcPXx2gAAAAsBAAAPAAAAAAAAAAEA&#10;IAAAADgAAABkcnMvZG93bnJldi54bWxQSwECFAAUAAAACACHTuJAQEA8TmkCAADDBAAADgAAAAAA&#10;AAABACAAAAA/AQAAZHJzL2Uyb0RvYy54bWxQSwUGAAAAAAYABgBZAQAAGgYAAAAA&#10;">
            <v:path/>
            <v:fill on="t" focussize="0,0"/>
            <v:stroke weight="1pt" color="#FF0000" joinstyle="miter"/>
            <v:imagedata o:title=""/>
            <o:lock v:ext="edit"/>
          </v:shape>
        </w:pict>
      </w:r>
      <w:r>
        <w:pict>
          <v:shape id="_x0000_s1031" o:spid="_x0000_s1031" o:spt="5" type="#_x0000_t5" style="position:absolute;left:0pt;margin-left:300.5pt;margin-top:283.1pt;height:16pt;width:18pt;z-index:251664384;v-text-anchor:middle;mso-width-relative:page;mso-height-relative:page;" fillcolor="#FF0000" filled="t" stroked="t" coordsize="21600,21600" o:gfxdata="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WAAAAZHJzL1BLAQIUABQAAAAIAIdO4kCvGLeo2wAAAAsB&#10;AAAPAAAAAAAAAAEAIAAAADgAAABkcnMvZG93bnJldi54bWxQSwECFAAUAAAACACHTuJAZFt8mHQC&#10;AADPBAAADgAAAAAAAAABACAAAABAAQAAZHJzL2Uyb0RvYy54bWxQSwUGAAAAAAYABgBZAQAAJgYA&#10;AAAA&#10;">
            <v:path/>
            <v:fill on="t" focussize="0,0"/>
            <v:stroke weight="1pt" color="#FF0000" joinstyle="miter"/>
            <v:imagedata o:title=""/>
            <o:lock v:ext="edit"/>
          </v:shape>
        </w:pict>
      </w:r>
      <w:r>
        <w:pict>
          <v:shape id="_x0000_s1030" o:spid="_x0000_s1030" o:spt="5" type="#_x0000_t5" style="position:absolute;left:0pt;margin-left:470.5pt;margin-top:328.1pt;height:16pt;width:18pt;z-index:251665408;v-text-anchor:middle;mso-width-relative:page;mso-height-relative:page;" fillcolor="#FF0000" filled="t" stroked="t" coordsize="21600,21600" o:gfxdata="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CNVzFNsAAAALAQAADwAAAAAAAAAB&#10;ACAAAAA4AAAAZHJzL2Rvd25yZXYueG1sUEsBAhQAFAAAAAgAh07iQLWROQxpAgAAwwQAAA4AAAAA&#10;AAAAAQAgAAAAQAEAAGRycy9lMm9Eb2MueG1sUEsFBgAAAAAGAAYAWQEAABsGAAAAAA==&#10;">
            <v:path/>
            <v:fill on="t" focussize="0,0"/>
            <v:stroke weight="1pt" color="#FF0000" joinstyle="miter"/>
            <v:imagedata o:title=""/>
            <o:lock v:ext="edit"/>
          </v:shape>
        </w:pict>
      </w:r>
      <w:r>
        <w:pict>
          <v:shape id="_x0000_s1029" o:spid="_x0000_s1029" o:spt="5" type="#_x0000_t5" style="position:absolute;left:0pt;margin-left:467.5pt;margin-top:267.1pt;height:16pt;width:18pt;z-index:251667456;v-text-anchor:middle;mso-width-relative:page;mso-height-relative:page;" fillcolor="#FF0000" filled="t" stroked="t" coordsize="21600,21600" o:gfxdata="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BYAAABkcnMvUEsBAhQAFAAAAAgAh07iQH0wRi7cAAAACwEAAA8AAAAAAAAA&#10;AQAgAAAAOAAAAGRycy9kb3ducmV2LnhtbFBLAQIUABQAAAAIAIdO4kC9iixGaQIAAMMEAAAOAAAA&#10;AAAAAAEAIAAAAEEBAABkcnMvZTJvRG9jLnhtbFBLBQYAAAAABgAGAFkBAAAcBgAAAAA=&#10;">
            <v:path/>
            <v:fill on="t" focussize="0,0"/>
            <v:stroke weight="1pt" color="#FF0000" joinstyle="miter"/>
            <v:imagedata o:title=""/>
            <o:lock v:ext="edit"/>
          </v:shape>
        </w:pict>
      </w:r>
      <w:r>
        <w:pict>
          <v:shape id="_x0000_s1028" o:spid="_x0000_s1028" o:spt="5" type="#_x0000_t5" style="position:absolute;left:0pt;margin-left:467.5pt;margin-top:299.1pt;height:16pt;width:18pt;z-index:251666432;v-text-anchor:middle;mso-width-relative:page;mso-height-relative:page;" fillcolor="#FF0000" filled="t" stroked="t" coordsize="21600,21600" o:gfxdata="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BYAAABkcnMvUEsBAhQAFAAAAAgAh07iQMnAJnbcAAAACwEAAA8AAAAAAAAA&#10;AQAgAAAAOAAAAGRycy9kb3ducmV2LnhtbFBLAQIUABQAAAAIAIdO4kAxHDMpaQIAAMMEAAAOAAAA&#10;AAAAAAEAIAAAAEEBAABkcnMvZTJvRG9jLnhtbFBLBQYAAAAABgAGAFkBAAAcBgAAAAA=&#10;">
            <v:path/>
            <v:fill on="t" focussize="0,0"/>
            <v:stroke weight="1pt" color="#FF0000" joinstyle="miter"/>
            <v:imagedata o:title=""/>
            <o:lock v:ext="edit"/>
          </v:shape>
        </w:pict>
      </w:r>
      <w:r>
        <w:pict>
          <v:shape id="_x0000_s1027" o:spid="_x0000_s1027" o:spt="5" type="#_x0000_t5" style="position:absolute;left:0pt;margin-left:467.5pt;margin-top:238.1pt;height:16pt;width:18pt;z-index:251668480;v-text-anchor:middle;mso-width-relative:page;mso-height-relative:page;" fillcolor="#FF0000" filled="t" stroked="t" coordsize="21600,21600" o:gfxdata="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BYAAABkcnMvUEsBAhQAFAAAAAgAh07iQPs58k/cAAAACwEAAA8AAAAAAAAA&#10;AQAgAAAAOAAAAGRycy9kb3ducmV2LnhtbFBLAQIUABQAAAAIAIdO4kA5ByZjaQIAAMMEAAAOAAAA&#10;AAAAAAEAIAAAAEEBAABkcnMvZTJvRG9jLnhtbFBLBQYAAAAABgAGAFkBAAAcBgAAAAA=&#10;">
            <v:path/>
            <v:fill on="t" focussize="0,0"/>
            <v:stroke weight="1pt" color="#FF0000" joinstyle="miter"/>
            <v:imagedata o:title=""/>
            <o:lock v:ext="edit"/>
          </v:shape>
        </w:pict>
      </w:r>
      <w:r>
        <w:drawing>
          <wp:inline distT="0" distB="0" distL="114300" distR="114300">
            <wp:extent cx="7999095" cy="4919345"/>
            <wp:effectExtent l="0" t="0" r="1905" b="317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31" cstate="print"/>
                    <a:stretch>
                      <a:fillRect/>
                    </a:stretch>
                  </pic:blipFill>
                  <pic:spPr>
                    <a:xfrm>
                      <a:off x="0" y="0"/>
                      <a:ext cx="7999095" cy="4919345"/>
                    </a:xfrm>
                    <a:prstGeom prst="rect">
                      <a:avLst/>
                    </a:prstGeom>
                    <a:noFill/>
                    <a:ln>
                      <a:noFill/>
                    </a:ln>
                  </pic:spPr>
                </pic:pic>
              </a:graphicData>
            </a:graphic>
          </wp:inline>
        </w:drawing>
      </w:r>
    </w:p>
    <w:p>
      <w:pPr>
        <w:pStyle w:val="53"/>
        <w:jc w:val="center"/>
        <w:rPr>
          <w:rFonts w:cs="Times New Roman"/>
          <w:color w:val="000000"/>
        </w:rPr>
      </w:pPr>
      <w:r>
        <w:rPr>
          <w:rFonts w:hint="eastAsia" w:cs="Times New Roman"/>
          <w:color w:val="000000"/>
        </w:rPr>
        <w:t>5.厂区风险点分布图</w:t>
      </w:r>
    </w:p>
    <w:p>
      <w:pPr>
        <w:pStyle w:val="53"/>
        <w:jc w:val="center"/>
        <w:rPr>
          <w:rFonts w:cs="Times New Roman"/>
          <w:color w:val="000000"/>
        </w:rPr>
      </w:pPr>
      <w:r>
        <w:drawing>
          <wp:inline distT="0" distB="0" distL="114300" distR="114300">
            <wp:extent cx="7121525" cy="4907280"/>
            <wp:effectExtent l="0" t="0" r="10795" b="0"/>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pic:cNvPicPr>
                  </pic:nvPicPr>
                  <pic:blipFill>
                    <a:blip r:embed="rId32" cstate="print"/>
                    <a:stretch>
                      <a:fillRect/>
                    </a:stretch>
                  </pic:blipFill>
                  <pic:spPr>
                    <a:xfrm>
                      <a:off x="0" y="0"/>
                      <a:ext cx="7121525" cy="4907280"/>
                    </a:xfrm>
                    <a:prstGeom prst="rect">
                      <a:avLst/>
                    </a:prstGeom>
                    <a:noFill/>
                    <a:ln>
                      <a:noFill/>
                    </a:ln>
                  </pic:spPr>
                </pic:pic>
              </a:graphicData>
            </a:graphic>
          </wp:inline>
        </w:drawing>
      </w:r>
    </w:p>
    <w:p>
      <w:pPr>
        <w:pStyle w:val="53"/>
        <w:numPr>
          <w:ilvl w:val="0"/>
          <w:numId w:val="0"/>
        </w:numPr>
        <w:ind w:firstLine="6960" w:firstLineChars="2900"/>
        <w:jc w:val="both"/>
        <w:rPr>
          <w:rFonts w:hint="eastAsia" w:cs="Times New Roman"/>
          <w:color w:val="000000"/>
        </w:rPr>
      </w:pPr>
      <w:r>
        <w:rPr>
          <w:rFonts w:hint="eastAsia" w:cs="Times New Roman"/>
          <w:color w:val="000000"/>
          <w:lang w:val="en-US" w:eastAsia="zh-CN"/>
        </w:rPr>
        <w:t>6.</w:t>
      </w:r>
      <w:r>
        <w:rPr>
          <w:rFonts w:hint="eastAsia" w:cs="Times New Roman"/>
          <w:color w:val="000000"/>
        </w:rPr>
        <w:t>厂区疏散图</w:t>
      </w:r>
    </w:p>
    <w:p>
      <w:pPr>
        <w:pStyle w:val="53"/>
        <w:numPr>
          <w:ilvl w:val="0"/>
          <w:numId w:val="0"/>
        </w:numPr>
        <w:jc w:val="center"/>
      </w:pPr>
      <w:r>
        <w:rPr>
          <w:sz w:val="24"/>
        </w:rPr>
        <w:pict>
          <v:shape id="_x0000_s1068" o:spid="_x0000_s1068" o:spt="3" type="#_x0000_t3" style="position:absolute;left:0pt;margin-left:482.9pt;margin-top:95.7pt;height:12.75pt;width:11.25pt;z-index:251700224;mso-width-relative:page;mso-height-relative:page;" fillcolor="#FF0000" filled="t" stroked="t" coordsize="21600,21600">
            <v:path/>
            <v:fill on="t" color2="#FFFFFF" focussize="0,0"/>
            <v:stroke color="#000000"/>
            <v:imagedata o:title=""/>
            <o:lock v:ext="edit" aspectratio="f"/>
          </v:shape>
        </w:pict>
      </w:r>
      <w:r>
        <w:rPr>
          <w:sz w:val="24"/>
        </w:rPr>
        <w:pict>
          <v:shape id="_x0000_s1067" o:spid="_x0000_s1067" o:spt="3" type="#_x0000_t3" style="position:absolute;left:0pt;margin-left:428.15pt;margin-top:177.45pt;height:12.75pt;width:11.25pt;z-index:251699200;mso-width-relative:page;mso-height-relative:page;" fillcolor="#FF0000" filled="t" stroked="t" coordsize="21600,21600">
            <v:path/>
            <v:fill on="t" color2="#FFFFFF" focussize="0,0"/>
            <v:stroke color="#000000"/>
            <v:imagedata o:title=""/>
            <o:lock v:ext="edit" aspectratio="f"/>
          </v:shape>
        </w:pict>
      </w:r>
      <w:r>
        <w:rPr>
          <w:sz w:val="24"/>
        </w:rPr>
        <w:pict>
          <v:shape id="_x0000_s1066" o:spid="_x0000_s1066" o:spt="3" type="#_x0000_t3" style="position:absolute;left:0pt;margin-left:182.9pt;margin-top:165.45pt;height:12.75pt;width:11.25pt;z-index:251698176;mso-width-relative:page;mso-height-relative:page;" fillcolor="#FF0000" filled="t" stroked="t" coordsize="21600,21600">
            <v:path/>
            <v:fill on="t" color2="#FFFFFF" focussize="0,0"/>
            <v:stroke color="#000000"/>
            <v:imagedata o:title=""/>
            <o:lock v:ext="edit" aspectratio="f"/>
          </v:shape>
        </w:pict>
      </w:r>
      <w:r>
        <w:rPr>
          <w:sz w:val="24"/>
        </w:rPr>
        <w:pict>
          <v:shape id="_x0000_s1065" o:spid="_x0000_s1065" o:spt="3" type="#_x0000_t3" style="position:absolute;left:0pt;margin-left:109.4pt;margin-top:6.45pt;height:12.75pt;width:11.25pt;z-index:251697152;mso-width-relative:page;mso-height-relative:page;" fillcolor="#FF0000" filled="t" stroked="t" coordsize="21600,21600">
            <v:path/>
            <v:fill on="t" color2="#FFFFFF" focussize="0,0"/>
            <v:stroke color="#000000"/>
            <v:imagedata o:title=""/>
            <o:lock v:ext="edit" aspectratio="f"/>
          </v:shape>
        </w:pict>
      </w:r>
      <w:r>
        <w:drawing>
          <wp:inline distT="0" distB="0" distL="114300" distR="114300">
            <wp:extent cx="7633335" cy="4694555"/>
            <wp:effectExtent l="0" t="0" r="1905" b="14605"/>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pic:cNvPicPr>
                  </pic:nvPicPr>
                  <pic:blipFill>
                    <a:blip r:embed="rId31" cstate="print"/>
                    <a:stretch>
                      <a:fillRect/>
                    </a:stretch>
                  </pic:blipFill>
                  <pic:spPr>
                    <a:xfrm>
                      <a:off x="0" y="0"/>
                      <a:ext cx="7633335" cy="4694555"/>
                    </a:xfrm>
                    <a:prstGeom prst="rect">
                      <a:avLst/>
                    </a:prstGeom>
                    <a:noFill/>
                    <a:ln>
                      <a:noFill/>
                    </a:ln>
                  </pic:spPr>
                </pic:pic>
              </a:graphicData>
            </a:graphic>
          </wp:inline>
        </w:drawing>
      </w:r>
      <w:r>
        <w:rPr>
          <w:sz w:val="24"/>
        </w:rPr>
        <w:pict>
          <v:shape id="_x0000_s1064" o:spid="_x0000_s1064" o:spt="3" type="#_x0000_t3" style="position:absolute;left:0pt;margin-left:126.65pt;margin-top:188.7pt;height:12.75pt;width:11.25pt;z-index:251696128;mso-width-relative:page;mso-height-relative:page;" fillcolor="#FF0000" filled="t" stroked="t" coordsize="21600,21600">
            <v:path/>
            <v:fill on="t" color2="#FFFFFF" focussize="0,0"/>
            <v:stroke color="#000000"/>
            <v:imagedata o:title=""/>
            <o:lock v:ext="edit" aspectratio="f"/>
          </v:shape>
        </w:pict>
      </w:r>
      <w:r>
        <w:rPr>
          <w:sz w:val="24"/>
        </w:rPr>
        <w:pict>
          <v:shape id="_x0000_s1063" o:spid="_x0000_s1063" o:spt="3" type="#_x0000_t3" style="position:absolute;left:0pt;margin-left:179.9pt;margin-top:323.7pt;height:12.75pt;width:11.25pt;z-index:251695104;mso-width-relative:page;mso-height-relative:page;" fillcolor="#FF0000" filled="t" stroked="t" coordsize="21600,21600">
            <v:path/>
            <v:fill on="t" color2="#FFFFFF" focussize="0,0"/>
            <v:stroke color="#000000"/>
            <v:imagedata o:title=""/>
            <o:lock v:ext="edit" aspectratio="f"/>
          </v:shape>
        </w:pict>
      </w:r>
      <w:r>
        <w:rPr>
          <w:sz w:val="24"/>
        </w:rPr>
        <w:pict>
          <v:shape id="_x0000_s1062" o:spid="_x0000_s1062" o:spt="3" type="#_x0000_t3" style="position:absolute;left:0pt;margin-left:228.65pt;margin-top:327.45pt;height:12.75pt;width:11.25pt;z-index:251694080;mso-width-relative:page;mso-height-relative:page;" fillcolor="#FF0000" filled="t" stroked="t" coordsize="21600,21600">
            <v:path/>
            <v:fill on="t" color2="#FFFFFF" focussize="0,0"/>
            <v:stroke color="#000000"/>
            <v:imagedata o:title=""/>
            <o:lock v:ext="edit" aspectratio="f"/>
          </v:shape>
        </w:pict>
      </w:r>
      <w:r>
        <w:rPr>
          <w:sz w:val="24"/>
        </w:rPr>
        <w:pict>
          <v:shape id="_x0000_s1061" o:spid="_x0000_s1061" o:spt="3" type="#_x0000_t3" style="position:absolute;left:0pt;margin-left:205.4pt;margin-top:219.45pt;height:12.75pt;width:11.25pt;z-index:251693056;mso-width-relative:page;mso-height-relative:page;" fillcolor="#FF0000" filled="t" stroked="t" coordsize="21600,21600">
            <v:path/>
            <v:fill on="t" color2="#FFFFFF" focussize="0,0"/>
            <v:stroke color="#000000"/>
            <v:imagedata o:title=""/>
            <o:lock v:ext="edit" aspectratio="f"/>
          </v:shape>
        </w:pict>
      </w:r>
      <w:r>
        <w:rPr>
          <w:sz w:val="24"/>
        </w:rPr>
        <w:pict>
          <v:shape id="_x0000_s1060" o:spid="_x0000_s1060" o:spt="3" type="#_x0000_t3" style="position:absolute;left:0pt;margin-left:532.4pt;margin-top:262.2pt;height:12.75pt;width:11.25pt;z-index:251692032;mso-width-relative:page;mso-height-relative:page;" fillcolor="#FF0000" filled="t" stroked="t" coordsize="21600,21600">
            <v:path/>
            <v:fill on="t" color2="#FFFFFF" focussize="0,0"/>
            <v:stroke color="#000000"/>
            <v:imagedata o:title=""/>
            <o:lock v:ext="edit" aspectratio="f"/>
          </v:shape>
        </w:pict>
      </w:r>
      <w:r>
        <w:rPr>
          <w:sz w:val="24"/>
        </w:rPr>
        <w:pict>
          <v:shape id="_x0000_s1059" o:spid="_x0000_s1059" o:spt="3" type="#_x0000_t3" style="position:absolute;left:0pt;margin-left:530.9pt;margin-top:312.45pt;height:12.75pt;width:11.25pt;z-index:251691008;mso-width-relative:page;mso-height-relative:page;" fillcolor="#FF0000" filled="t" stroked="t" coordsize="21600,21600">
            <v:path/>
            <v:fill on="t" color2="#FFFFFF" focussize="0,0"/>
            <v:stroke color="#000000"/>
            <v:imagedata o:title=""/>
            <o:lock v:ext="edit" aspectratio="f"/>
          </v:shape>
        </w:pict>
      </w:r>
      <w:r>
        <w:rPr>
          <w:sz w:val="24"/>
        </w:rPr>
        <w:pict>
          <v:shape id="_x0000_s1058" o:spid="_x0000_s1058" o:spt="3" type="#_x0000_t3" style="position:absolute;left:0pt;margin-left:468.65pt;margin-top:337.2pt;height:12.75pt;width:11.25pt;z-index:251689984;mso-width-relative:page;mso-height-relative:page;" fillcolor="#FF0000" filled="t" stroked="t" coordsize="21600,21600">
            <v:path/>
            <v:fill on="t" color2="#FFFFFF" focussize="0,0"/>
            <v:stroke color="#000000"/>
            <v:imagedata o:title=""/>
            <o:lock v:ext="edit" aspectratio="f"/>
          </v:shape>
        </w:pict>
      </w:r>
      <w:r>
        <w:rPr>
          <w:sz w:val="24"/>
        </w:rPr>
        <w:pict>
          <v:shape id="_x0000_s1057" o:spid="_x0000_s1057" o:spt="3" type="#_x0000_t3" style="position:absolute;left:0pt;margin-left:468.65pt;margin-top:210.45pt;height:12.75pt;width:11.25pt;z-index:251688960;mso-width-relative:page;mso-height-relative:page;" fillcolor="#FF0000" filled="t" stroked="t" coordsize="21600,21600">
            <v:path/>
            <v:fill on="t" color2="#FFFFFF" focussize="0,0"/>
            <v:stroke color="#000000"/>
            <v:imagedata o:title=""/>
            <o:lock v:ext="edit" aspectratio="f"/>
          </v:shape>
        </w:pict>
      </w:r>
      <w:r>
        <w:rPr>
          <w:sz w:val="24"/>
        </w:rPr>
        <w:pict>
          <v:shape id="_x0000_s1056" o:spid="_x0000_s1056" o:spt="3" type="#_x0000_t3" style="position:absolute;left:0pt;margin-left:292.4pt;margin-top:184.95pt;height:12.75pt;width:11.25pt;z-index:251687936;mso-width-relative:page;mso-height-relative:page;" fillcolor="#FF0000" filled="t" stroked="t" coordsize="21600,21600">
            <v:path/>
            <v:fill on="t" color2="#FFFFFF" focussize="0,0"/>
            <v:stroke color="#000000"/>
            <v:imagedata o:title=""/>
            <o:lock v:ext="edit" aspectratio="f"/>
          </v:shape>
        </w:pict>
      </w:r>
      <w:r>
        <w:rPr>
          <w:sz w:val="24"/>
        </w:rPr>
        <w:pict>
          <v:shape id="_x0000_s1055" o:spid="_x0000_s1055" o:spt="3" type="#_x0000_t3" style="position:absolute;left:0pt;margin-left:179.9pt;margin-top:10.2pt;height:12.75pt;width:11.25pt;z-index:251686912;mso-width-relative:page;mso-height-relative:page;" fillcolor="#FF0000" filled="t" stroked="t" coordsize="21600,21600">
            <v:path/>
            <v:fill on="t" color2="#FFFFFF" focussize="0,0"/>
            <v:stroke color="#000000"/>
            <v:imagedata o:title=""/>
            <o:lock v:ext="edit" aspectratio="f"/>
          </v:shape>
        </w:pict>
      </w:r>
      <w:r>
        <w:rPr>
          <w:sz w:val="24"/>
        </w:rPr>
        <w:pict>
          <v:shape id="_x0000_s1054" o:spid="_x0000_s1054" o:spt="3" type="#_x0000_t3" style="position:absolute;left:0pt;margin-left:292.4pt;margin-top:22.2pt;height:12.75pt;width:11.25pt;z-index:251685888;mso-width-relative:page;mso-height-relative:page;" fillcolor="#FF0000" filled="t" stroked="t" coordsize="21600,21600">
            <v:path/>
            <v:fill on="t" color2="#FFFFFF" focussize="0,0"/>
            <v:stroke color="#000000"/>
            <v:imagedata o:title=""/>
            <o:lock v:ext="edit" aspectratio="f"/>
          </v:shape>
        </w:pict>
      </w:r>
    </w:p>
    <w:p>
      <w:pPr>
        <w:pStyle w:val="53"/>
        <w:numPr>
          <w:ilvl w:val="0"/>
          <w:numId w:val="0"/>
        </w:numPr>
        <w:ind w:firstLine="6960" w:firstLineChars="2900"/>
        <w:jc w:val="both"/>
        <w:rPr>
          <w:rFonts w:hint="eastAsia" w:ascii="宋体" w:hAnsi="宋体" w:eastAsia="宋体" w:cs="Times New Roman"/>
          <w:szCs w:val="21"/>
        </w:rPr>
      </w:pPr>
      <w:r>
        <w:rPr>
          <w:rFonts w:hint="eastAsia" w:cs="Times New Roman"/>
          <w:color w:val="000000"/>
          <w:lang w:val="en-US" w:eastAsia="zh-CN"/>
        </w:rPr>
        <w:t>7.</w:t>
      </w:r>
      <w:r>
        <w:rPr>
          <w:rFonts w:hint="eastAsia" w:ascii="宋体" w:hAnsi="宋体" w:eastAsia="宋体" w:cs="Times New Roman"/>
          <w:szCs w:val="21"/>
        </w:rPr>
        <w:t>重要阀门图</w:t>
      </w:r>
    </w:p>
    <w:p>
      <w:pPr>
        <w:pStyle w:val="53"/>
        <w:numPr>
          <w:ilvl w:val="0"/>
          <w:numId w:val="0"/>
        </w:numPr>
        <w:jc w:val="center"/>
      </w:pPr>
      <w:r>
        <w:rPr>
          <w:sz w:val="24"/>
        </w:rPr>
        <w:pict>
          <v:shape id="_x0000_s1086" o:spid="_x0000_s1086" o:spt="202" type="#_x0000_t202" style="position:absolute;left:0pt;margin-left:142.25pt;margin-top:242.5pt;height:41.1pt;width:86.05pt;z-index:251705344;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eastAsia="宋体"/>
                      <w:b/>
                      <w:bCs/>
                      <w:color w:val="FF0000"/>
                      <w:sz w:val="21"/>
                      <w:szCs w:val="21"/>
                      <w:lang w:eastAsia="zh-CN"/>
                    </w:rPr>
                  </w:pPr>
                  <w:r>
                    <w:rPr>
                      <w:rFonts w:hint="eastAsia" w:ascii="宋体" w:hAnsi="宋体" w:cs="宋体"/>
                      <w:b/>
                      <w:bCs/>
                      <w:smallCaps w:val="0"/>
                      <w:color w:val="FF0000"/>
                      <w:sz w:val="21"/>
                      <w:szCs w:val="21"/>
                      <w:lang w:eastAsia="zh-CN"/>
                    </w:rPr>
                    <w:t>江西萍钢实业股份有限公司</w:t>
                  </w:r>
                </w:p>
              </w:txbxContent>
            </v:textbox>
          </v:shape>
        </w:pict>
      </w:r>
      <w:r>
        <w:rPr>
          <w:sz w:val="24"/>
        </w:rPr>
        <w:pict>
          <v:shape id="_x0000_s1090" o:spid="_x0000_s1090" style="position:absolute;left:0pt;margin-left:113.45pt;margin-top:215.2pt;height:87.15pt;width:136pt;z-index:251685888;mso-width-relative:page;mso-height-relative:page;" filled="f" stroked="t" coordsize="2720,1743" path="m24,1082hbc22,1102,3,1150,24,1190hbc45,1230,88,1258,131,1282hbc174,1306,194,1304,237,1310hbc280,1316,301,1316,344,1310hbc387,1304,411,1264,451,1282hbc491,1300,515,1356,544,1402hbc573,1448,568,1467,597,1510hbc626,1553,651,1574,691,1616hbc731,1658,754,1701,797,1722hbc840,1743,861,1719,904,1722hbc947,1725,968,1733,1011,1736hbc1054,1739,1074,1736,1117,1736hbc1160,1736,1181,1739,1224,1736hbc1267,1733,1286,1735,1331,1722hbc1376,1709,1411,1702,1451,1670hbc1491,1638,1510,1605,1531,1562hbc1552,1519,1530,1498,1557,1456hbc1584,1414,1621,1382,1664,1350hbc1707,1318,1728,1318,1771,1296hbc1814,1274,1834,1274,1877,1242hbc1920,1210,1941,1168,1984,1136hbc2027,1104,2048,1101,2091,1082hbc2134,1063,2152,1066,2197,1042hbc2242,1018,2269,991,2317,962hbc2365,933,2389,925,2437,896hbc2485,867,2512,851,2557,816hbc2602,781,2632,762,2664,722hbc2696,682,2720,658,2717,616hbc2714,574,2678,553,2651,510hbc2624,467,2600,445,2584,402hbc2568,359,2587,338,2571,296hbc2555,254,2539,233,2504,190hbc2469,147,2440,114,2397,82hbc2354,50,2334,46,2291,30hbc2248,14,2227,0,2184,2hbc2141,4,2122,23,2077,42hbc2032,61,2005,74,1957,96hbc1909,118,1885,131,1837,150hbc1789,169,1762,172,1717,190hbc1672,208,1654,224,1611,242hbc1568,260,1547,263,1504,282hbc1461,301,1440,314,1397,336hbc1354,358,1334,366,1291,390hbc1248,414,1227,432,1184,456hbc1141,480,1120,489,1077,510hbc1034,531,1014,541,971,562hbc928,583,907,597,864,616hbc821,635,802,637,757,656hbc712,675,682,689,637,710hbc592,731,574,746,531,762hbc488,778,469,774,424,790hbc379,806,349,821,304,842hbc259,863,242,864,197,896hbc152,928,114,959,77,1002hbc40,1045,22,1094,11,1110hbc0,1126,20,1090,24,1082hbxe">
            <v:fill on="f" focussize="0,0"/>
            <v:stroke weight="1.5pt" color="#00B050"/>
            <v:imagedata o:title=""/>
            <o:lock v:ext="edit" aspectratio="f"/>
          </v:shape>
        </w:pict>
      </w:r>
      <w:r>
        <w:rPr>
          <w:sz w:val="24"/>
        </w:rPr>
        <w:pict>
          <v:shape id="_x0000_s1079" o:spid="_x0000_s1079" o:spt="202" type="#_x0000_t202" style="position:absolute;left:0pt;margin-left:291pt;margin-top:105.95pt;height:33.75pt;width:58pt;z-index:251704320;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hint="eastAsia"/>
                      <w:b/>
                      <w:bCs/>
                      <w:color w:val="FF0000"/>
                      <w:sz w:val="16"/>
                      <w:szCs w:val="16"/>
                      <w:lang w:eastAsia="zh-CN"/>
                    </w:rPr>
                  </w:pPr>
                  <w:r>
                    <w:rPr>
                      <w:rFonts w:hint="eastAsia"/>
                      <w:b/>
                      <w:bCs/>
                      <w:color w:val="FF0000"/>
                      <w:sz w:val="16"/>
                      <w:szCs w:val="16"/>
                      <w:lang w:eastAsia="zh-CN"/>
                    </w:rPr>
                    <w:t>项目所在地</w:t>
                  </w:r>
                </w:p>
              </w:txbxContent>
            </v:textbox>
          </v:shape>
        </w:pict>
      </w:r>
      <w:r>
        <w:rPr>
          <w:sz w:val="24"/>
        </w:rPr>
        <w:pict>
          <v:shape id="_x0000_s1089" o:spid="_x0000_s1089" o:spt="202" type="#_x0000_t202" style="position:absolute;left:0pt;margin-left:357pt;margin-top:91.3pt;height:32.55pt;width:59.3pt;z-index:251706368;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b/>
                      <w:bCs/>
                      <w:color w:val="FF0000"/>
                      <w:sz w:val="15"/>
                      <w:szCs w:val="15"/>
                      <w:lang w:eastAsia="zh-CN"/>
                    </w:rPr>
                  </w:pPr>
                  <w:r>
                    <w:rPr>
                      <w:rFonts w:hint="eastAsia"/>
                      <w:b/>
                      <w:bCs/>
                      <w:color w:val="FF0000"/>
                      <w:sz w:val="15"/>
                      <w:szCs w:val="15"/>
                      <w:lang w:eastAsia="zh-CN"/>
                    </w:rPr>
                    <w:t>江西华东船业有限公司</w:t>
                  </w:r>
                </w:p>
              </w:txbxContent>
            </v:textbox>
          </v:shape>
        </w:pict>
      </w:r>
      <w:r>
        <w:rPr>
          <w:sz w:val="24"/>
        </w:rPr>
        <w:pict>
          <v:shape id="_x0000_s1088" o:spid="_x0000_s1088" style="position:absolute;left:0pt;margin-left:365.45pt;margin-top:90.45pt;height:27.35pt;width:34pt;z-index:251685888;mso-width-relative:page;mso-height-relative:page;" filled="f" stroked="t" coordsize="680,547" path="m24,168hbc43,169,88,176,131,168hbc174,160,194,139,237,128hbc280,117,301,126,344,115hbc387,104,406,96,451,75hbc496,54,531,0,571,8hbc611,16,632,72,651,115hbc670,158,661,179,664,222hbc667,265,680,285,664,328hbc648,371,621,395,584,435hbc547,475,520,509,477,528hbc434,547,414,528,371,528hbc328,528,307,544,264,528hbc221,512,194,488,157,448hbc120,408,106,373,77,328hbc48,283,22,254,11,222hbc0,190,20,177,24,168hbxe">
            <v:fill on="f" focussize="0,0"/>
            <v:stroke weight="1.5pt" color="#00B050"/>
            <v:imagedata o:title=""/>
            <o:lock v:ext="edit" aspectratio="f"/>
          </v:shape>
        </w:pict>
      </w:r>
      <w:r>
        <w:rPr>
          <w:sz w:val="24"/>
        </w:rPr>
        <w:pict>
          <v:shape id="_x0000_s1084" o:spid="_x0000_s1084" style="position:absolute;left:0pt;margin-left:564.4pt;margin-top:180.65pt;height:33.4pt;width:53.7pt;z-index:251687936;mso-width-relative:page;mso-height-relative:page;" filled="f" stroked="t" coordsize="1074,668" path="m845,588hbc824,587,776,583,725,588hbc674,593,643,603,592,614hbc541,625,520,636,472,642hbc424,648,397,640,352,642hbc307,644,288,654,245,654hbc202,654,170,668,138,642hbc106,616,106,568,85,522hbc64,476,48,457,32,414hbc16,371,0,350,5,308hbc10,266,26,231,58,202hbc90,173,122,184,165,162hbc208,140,224,116,272,94hbc320,72,357,70,405,54hbc453,38,467,22,512,14hbc557,6,584,14,632,14hbc680,14,704,14,752,14hbc800,14,827,0,872,14hbc917,28,941,47,978,82hbc1015,117,1042,143,1058,188hbc1074,233,1058,263,1058,308hbc1058,353,1066,371,1058,414hbc1050,457,1047,492,1018,522hbc989,552,957,552,912,562hbc867,572,814,572,792,574hbe">
            <v:path arrowok="t"/>
            <v:fill on="f" focussize="0,0"/>
            <v:stroke weight="3pt" color="#00B050"/>
            <v:imagedata o:title=""/>
            <o:lock v:ext="edit" aspectratio="f"/>
          </v:shape>
        </w:pict>
      </w:r>
      <w:r>
        <w:rPr>
          <w:sz w:val="24"/>
        </w:rPr>
        <w:pict>
          <v:shape id="_x0000_s1083" o:spid="_x0000_s1083" style="position:absolute;left:0pt;margin-left:440pt;margin-top:240.95pt;height:36.1pt;width:49.3pt;z-index:251686912;mso-width-relative:page;mso-height-relative:page;" filled="f" stroked="t" coordsize="986,722" path="m880,685hbc856,690,799,707,746,712hbc693,717,666,715,613,712hbc560,709,552,722,480,698hbc408,674,322,621,253,592hbc184,563,178,573,133,552hbc88,531,50,520,26,485hbc2,450,0,439,13,378hbc26,317,10,247,93,178hbc176,109,335,64,426,32hbc517,0,498,13,546,18hbc594,23,621,39,666,58hbc711,77,730,83,773,112hbc816,141,845,165,880,205hbc915,245,927,256,946,312hbc965,368,986,424,973,485hbc960,546,899,595,880,618hbe">
            <v:path arrowok="t"/>
            <v:fill on="f" focussize="0,0"/>
            <v:stroke weight="3pt" color="#00B050"/>
            <v:imagedata o:title=""/>
            <o:lock v:ext="edit" aspectratio="f"/>
          </v:shape>
        </w:pict>
      </w:r>
      <w:r>
        <w:rPr>
          <w:sz w:val="24"/>
        </w:rPr>
        <w:pict>
          <v:shape id="_x0000_s1082" o:spid="_x0000_s1082" style="position:absolute;left:0pt;margin-left:233.45pt;margin-top:332.3pt;height:31.8pt;width:48.9pt;z-index:251685888;mso-width-relative:page;mso-height-relative:page;" filled="f" stroked="t" coordsize="978,636" path="m784,618hbc765,621,720,628,677,631hbc634,634,614,631,571,631hbc528,631,507,631,464,631hbc421,631,400,636,357,631hbc314,626,296,626,251,605hbc206,584,168,562,131,525hbc94,488,88,463,64,418hbc40,373,22,343,11,298hbc0,253,3,234,11,191hbc19,148,19,112,51,85hbc83,58,118,69,171,58hbc224,47,266,42,317,31hbc368,20,381,10,424,5hbc467,0,488,5,531,5hbc574,5,594,0,637,5hbc680,10,701,15,744,31hbc787,47,816,53,851,85hbc886,117,898,148,917,191hbc936,234,936,253,944,298hbc952,343,954,373,957,418hbc960,463,978,488,957,525hbc936,562,886,586,851,605hbc816,624,795,617,784,618hbxe">
            <v:fill on="f" focussize="0,0"/>
            <v:stroke weight="3pt" color="#00B050"/>
            <v:imagedata o:title=""/>
            <o:lock v:ext="edit" aspectratio="f"/>
          </v:shape>
        </w:pict>
      </w:r>
      <w:r>
        <w:rPr>
          <w:sz w:val="24"/>
        </w:rPr>
        <w:pict>
          <v:shape id="_x0000_s1081" o:spid="_x0000_s1081" style="position:absolute;left:0pt;margin-left:472.65pt;margin-top:64.5pt;height:31.8pt;width:49.9pt;z-index:251685888;mso-width-relative:page;mso-height-relative:page;" filled="f" stroked="t" coordsize="998,636" path="m519,620hbc500,620,457,624,416,620hbc375,616,358,618,313,601hbc268,584,238,561,193,534hbc148,507,121,500,90,465hbc59,430,53,406,39,361hbc25,316,25,285,21,241hbc17,197,0,177,21,140hbc42,103,79,75,124,54hbc169,33,196,40,244,36hbc292,32,319,39,364,36hbc409,33,426,23,467,20hbc508,17,525,20,570,20hbc615,20,645,20,690,20hbc735,20,752,20,793,20hbc834,20,862,0,896,20hbc930,40,950,77,964,121hbc978,165,961,193,964,241hbc967,289,998,316,981,361hbc964,406,920,427,879,465hbc838,503,817,523,776,550hbc735,577,718,591,673,601hbc628,611,598,594,553,601hbc508,608,468,629,450,636hbe">
            <v:path arrowok="t"/>
            <v:fill on="f" focussize="0,0"/>
            <v:stroke weight="3pt" color="#00B050"/>
            <v:imagedata o:title=""/>
            <o:lock v:ext="edit" aspectratio="f"/>
          </v:shape>
        </w:pict>
      </w:r>
      <w:r>
        <w:rPr>
          <w:sz w:val="24"/>
        </w:rPr>
        <w:pict>
          <v:shape id="_x0000_s1080" o:spid="_x0000_s1080" style="position:absolute;left:0pt;margin-left:415.8pt;margin-top:180.7pt;height:47.6pt;width:38.2pt;z-index:251685888;mso-width-relative:page;mso-height-relative:page;" filled="f" stroked="t" coordsize="764,952" path="m392,892hbc368,887,310,888,262,852hbc214,816,188,764,152,712hbc116,660,106,640,82,592hbc58,544,46,520,32,472hbc18,424,16,400,12,352hbc8,304,0,280,12,232hbc24,184,38,152,72,112hbc106,72,136,52,182,32hbc228,12,256,16,302,12hbc348,8,366,0,412,12hbc458,24,486,46,532,72hbc578,98,600,104,642,142hbc684,180,720,216,742,262hbc764,308,752,328,752,372hbc752,416,750,436,742,482hbc734,528,728,554,712,602hbc696,650,682,676,662,722hbc642,768,644,790,612,832hbc580,874,546,912,502,932hbc458,952,414,940,392,932hbc370,924,390,900,392,892hbxe">
            <v:fill on="f" focussize="0,0"/>
            <v:stroke weight="3pt" color="#00B050"/>
            <v:imagedata o:title=""/>
            <o:lock v:ext="edit" aspectratio="f"/>
          </v:shape>
        </w:pict>
      </w:r>
      <w:r>
        <w:rPr>
          <w:sz w:val="24"/>
        </w:rPr>
        <w:pict>
          <v:rect id="_x0000_s1078" o:spid="_x0000_s1078" o:spt="1" style="position:absolute;left:0pt;margin-left:332.55pt;margin-top:126.55pt;height:23.6pt;width:28.7pt;rotation:2686976f;z-index:251685888;mso-width-relative:page;mso-height-relative:page;" filled="f" stroked="t" coordsize="21600,21600">
            <v:path/>
            <v:fill on="f" focussize="0,0"/>
            <v:stroke weight="1.5pt" color="#FF0000"/>
            <v:imagedata o:title=""/>
            <o:lock v:ext="edit" aspectratio="f"/>
          </v:rect>
        </w:pict>
      </w:r>
      <w:r>
        <w:rPr>
          <w:sz w:val="24"/>
        </w:rPr>
        <w:pict>
          <v:shape id="_x0000_s1077" o:spid="_x0000_s1077" o:spt="202" type="#_x0000_t202" style="position:absolute;left:0pt;margin-left:242.8pt;margin-top:207.65pt;height:29.05pt;width:37.5pt;z-index:251703296;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eastAsia="宋体"/>
                      <w:b/>
                      <w:bCs/>
                      <w:sz w:val="11"/>
                      <w:szCs w:val="11"/>
                      <w:lang w:eastAsia="zh-CN"/>
                    </w:rPr>
                  </w:pPr>
                  <w:r>
                    <w:rPr>
                      <w:rFonts w:hint="eastAsia" w:ascii="宋体" w:hAnsi="宋体" w:cs="宋体"/>
                      <w:b/>
                      <w:bCs/>
                      <w:smallCaps w:val="0"/>
                      <w:color w:val="FF0000"/>
                      <w:sz w:val="11"/>
                      <w:szCs w:val="11"/>
                      <w:lang w:eastAsia="zh-CN"/>
                    </w:rPr>
                    <w:t>九江天赐高新材料</w:t>
                  </w:r>
                </w:p>
              </w:txbxContent>
            </v:textbox>
          </v:shape>
        </w:pict>
      </w:r>
      <w:r>
        <w:rPr>
          <w:sz w:val="24"/>
        </w:rPr>
        <w:pict>
          <v:shape id="_x0000_s1076" o:spid="_x0000_s1076" style="position:absolute;left:0pt;margin-left:233.4pt;margin-top:198.55pt;height:49.2pt;width:56.1pt;z-index:251685888;mso-width-relative:page;mso-height-relative:page;" filled="f" stroked="t" coordsize="1122,984" path="m0,290hbc20,280,66,254,110,240hbc154,226,176,228,220,220hbc264,212,286,212,330,200hbc374,188,396,178,440,160hbc484,142,514,142,550,110hbc586,78,592,0,620,0hbc648,0,654,68,690,110hbc726,152,770,166,800,210hbc830,254,822,284,840,330hbc858,376,860,396,890,440hbc920,484,956,506,990,550hbc1024,594,1036,616,1060,660hbc1084,704,1122,742,1110,770hbc1098,798,1044,794,1000,800hbc956,806,936,794,890,800hbc844,806,816,818,770,830hbc724,842,704,840,660,860hbc616,880,594,908,550,930hbc506,952,476,984,440,970hbc404,956,394,904,370,860hbc346,816,336,794,320,750hbc304,706,318,680,290,640hbc262,600,222,590,180,550hbc138,510,112,486,80,440hbc48,394,36,350,20,320hbc4,290,3,294,0,290hbxe">
            <v:fill on="f" focussize="0,0"/>
            <v:stroke weight="1.5pt" color="#00B050"/>
            <v:imagedata o:title=""/>
            <o:lock v:ext="edit" aspectratio="f"/>
          </v:shape>
        </w:pict>
      </w:r>
      <w:r>
        <w:rPr>
          <w:sz w:val="24"/>
        </w:rPr>
        <w:pict>
          <v:shape id="_x0000_s1075" o:spid="_x0000_s1075" o:spt="202" type="#_x0000_t202" style="position:absolute;left:0pt;margin-left:256.8pt;margin-top:191.65pt;height:17.55pt;width:48pt;z-index:251702272;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eastAsia="宋体"/>
                      <w:b/>
                      <w:bCs/>
                      <w:sz w:val="11"/>
                      <w:szCs w:val="11"/>
                      <w:lang w:eastAsia="zh-CN"/>
                    </w:rPr>
                  </w:pPr>
                  <w:r>
                    <w:rPr>
                      <w:rFonts w:hint="eastAsia" w:ascii="宋体" w:hAnsi="宋体" w:cs="宋体"/>
                      <w:b/>
                      <w:bCs/>
                      <w:smallCaps w:val="0"/>
                      <w:color w:val="FF0000"/>
                      <w:sz w:val="11"/>
                      <w:szCs w:val="11"/>
                      <w:lang w:eastAsia="zh-CN"/>
                    </w:rPr>
                    <w:t>九江容汇锂业</w:t>
                  </w:r>
                </w:p>
              </w:txbxContent>
            </v:textbox>
          </v:shape>
        </w:pict>
      </w:r>
      <w:r>
        <w:rPr>
          <w:sz w:val="24"/>
        </w:rPr>
        <w:pict>
          <v:shape id="_x0000_s1074" o:spid="_x0000_s1074" style="position:absolute;left:0pt;margin-left:267.3pt;margin-top:186.2pt;height:23.5pt;width:24.7pt;z-index:251685888;mso-width-relative:page;mso-height-relative:page;" filled="f" stroked="t" coordsize="494,470" path="m32,126hbc54,127,106,134,152,126hbc198,118,218,110,262,86hbc306,62,346,0,372,6hbc398,12,380,68,392,116hbc404,164,414,198,432,246hbc450,294,494,330,482,356hbc470,382,416,364,372,376hbc328,388,306,400,262,416hbc218,432,186,470,152,456hbc118,442,118,390,92,346hbc66,302,40,282,22,236hbc4,190,0,138,2,116hbc4,94,26,122,32,126hbxe">
            <v:fill on="f" focussize="0,0"/>
            <v:stroke weight="1.5pt" color="#00B050"/>
            <v:imagedata o:title=""/>
            <o:lock v:ext="edit" aspectratio="f"/>
          </v:shape>
        </w:pict>
      </w:r>
      <w:r>
        <w:rPr>
          <w:sz w:val="24"/>
        </w:rPr>
        <w:pict>
          <v:shape id="_x0000_s1073" o:spid="_x0000_s1073" o:spt="202" type="#_x0000_t202" style="position:absolute;left:0pt;margin-left:300.8pt;margin-top:187.15pt;height:24.5pt;width:37.05pt;z-index:251701248;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ascii="宋体" w:hAnsi="宋体" w:cs="宋体"/>
                      <w:b/>
                      <w:bCs/>
                      <w:smallCaps w:val="0"/>
                      <w:color w:val="FF0000"/>
                      <w:sz w:val="11"/>
                      <w:szCs w:val="11"/>
                    </w:rPr>
                  </w:pPr>
                  <w:r>
                    <w:rPr>
                      <w:rFonts w:hint="eastAsia" w:ascii="宋体" w:hAnsi="宋体" w:cs="宋体"/>
                      <w:b/>
                      <w:bCs/>
                      <w:smallCaps w:val="0"/>
                      <w:color w:val="FF0000"/>
                      <w:sz w:val="11"/>
                      <w:szCs w:val="11"/>
                    </w:rPr>
                    <w:t>龙达差别</w:t>
                  </w:r>
                </w:p>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b/>
                      <w:bCs/>
                      <w:sz w:val="11"/>
                      <w:szCs w:val="11"/>
                      <w:lang w:eastAsia="zh-CN"/>
                    </w:rPr>
                  </w:pPr>
                  <w:r>
                    <w:rPr>
                      <w:rFonts w:hint="eastAsia" w:ascii="宋体" w:hAnsi="宋体" w:cs="宋体"/>
                      <w:b/>
                      <w:bCs/>
                      <w:smallCaps w:val="0"/>
                      <w:color w:val="FF0000"/>
                      <w:sz w:val="11"/>
                      <w:szCs w:val="11"/>
                    </w:rPr>
                    <w:t>化纤公司</w:t>
                  </w:r>
                </w:p>
              </w:txbxContent>
            </v:textbox>
          </v:shape>
        </w:pict>
      </w:r>
      <w:r>
        <w:rPr>
          <w:sz w:val="24"/>
        </w:rPr>
        <w:pict>
          <v:shape id="_x0000_s1072" o:spid="_x0000_s1072" style="position:absolute;left:0pt;margin-left:296pt;margin-top:178.8pt;height:21.6pt;width:28.1pt;z-index:251686912;mso-width-relative:page;mso-height-relative:page;" filled="f" stroked="t" coordsize="562,432" path="m88,4hbc70,25,0,78,8,114hbc16,150,82,156,128,184hbc174,212,192,220,238,254hbc284,288,312,320,358,354hbc404,388,428,432,468,424hbc508,416,562,354,558,314hbc554,274,492,252,448,224hbc404,196,382,204,338,174hbc294,144,272,106,228,74hbc184,42,146,28,118,14hbc90,0,92,5,88,4hbxe">
            <v:fill on="f" focussize="0,0"/>
            <v:stroke weight="1.5pt" color="#00B050"/>
            <v:imagedata o:title=""/>
            <o:lock v:ext="edit" aspectratio="f"/>
          </v:shape>
        </w:pict>
      </w:r>
      <w:r>
        <w:rPr>
          <w:sz w:val="24"/>
        </w:rPr>
        <w:pict>
          <v:shape id="_x0000_s1070" o:spid="_x0000_s1070" o:spt="202" type="#_x0000_t202" style="position:absolute;left:0pt;margin-left:300.3pt;margin-top:157.15pt;height:24.5pt;width:46.05pt;z-index:251686912;mso-width-relative:page;mso-height-relative:page;" filled="f" stroked="f" coordsize="21600,21600">
            <v:path/>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ascii="宋体" w:hAnsi="宋体" w:cs="宋体"/>
                      <w:b/>
                      <w:bCs/>
                      <w:smallCaps w:val="0"/>
                      <w:color w:val="FF0000"/>
                      <w:sz w:val="10"/>
                      <w:szCs w:val="10"/>
                    </w:rPr>
                  </w:pPr>
                  <w:r>
                    <w:rPr>
                      <w:rFonts w:hint="eastAsia" w:ascii="宋体" w:hAnsi="宋体" w:cs="宋体"/>
                      <w:b/>
                      <w:bCs/>
                      <w:smallCaps w:val="0"/>
                      <w:color w:val="FF0000"/>
                      <w:sz w:val="10"/>
                      <w:szCs w:val="10"/>
                    </w:rPr>
                    <w:t>赛得利（九江）</w:t>
                  </w:r>
                </w:p>
                <w:p>
                  <w:pPr>
                    <w:keepNext w:val="0"/>
                    <w:keepLines w:val="0"/>
                    <w:pageBreakBefore w:val="0"/>
                    <w:widowControl w:val="0"/>
                    <w:kinsoku/>
                    <w:wordWrap/>
                    <w:overflowPunct/>
                    <w:topLinePunct w:val="0"/>
                    <w:autoSpaceDE/>
                    <w:autoSpaceDN/>
                    <w:bidi w:val="0"/>
                    <w:adjustRightInd/>
                    <w:snapToGrid/>
                    <w:spacing w:line="160" w:lineRule="exact"/>
                    <w:ind w:left="0" w:leftChars="0" w:firstLine="0" w:firstLineChars="0"/>
                    <w:textAlignment w:val="auto"/>
                    <w:rPr>
                      <w:rFonts w:hint="eastAsia"/>
                      <w:b/>
                      <w:bCs/>
                      <w:color w:val="FF0000"/>
                      <w:sz w:val="10"/>
                      <w:szCs w:val="10"/>
                      <w:lang w:eastAsia="zh-CN"/>
                    </w:rPr>
                  </w:pPr>
                  <w:r>
                    <w:rPr>
                      <w:rFonts w:hint="eastAsia" w:ascii="宋体" w:hAnsi="宋体" w:cs="宋体"/>
                      <w:b/>
                      <w:bCs/>
                      <w:smallCaps w:val="0"/>
                      <w:color w:val="FF0000"/>
                      <w:sz w:val="10"/>
                      <w:szCs w:val="10"/>
                    </w:rPr>
                    <w:t>纤维有限公司</w:t>
                  </w:r>
                </w:p>
              </w:txbxContent>
            </v:textbox>
          </v:shape>
        </w:pict>
      </w:r>
      <w:r>
        <w:rPr>
          <w:sz w:val="24"/>
        </w:rPr>
        <w:pict>
          <v:shape id="_x0000_s1071" o:spid="_x0000_s1071" style="position:absolute;left:0pt;margin-left:299.3pt;margin-top:153.8pt;height:35.2pt;width:44.5pt;z-index:251685888;mso-width-relative:page;mso-height-relative:page;" filled="f" stroked="t" coordsize="890,704" path="m362,0hbc382,11,428,38,472,60hbc516,82,538,86,582,110hbc626,134,648,146,692,180hbc736,214,764,238,802,280hbc840,322,890,350,882,390hbc874,430,810,442,762,480hbc714,518,686,538,642,580hbc598,622,584,676,542,690hbc500,704,478,670,432,650hbc386,630,360,620,312,590hbc264,560,240,536,192,500hbc144,464,108,452,72,410hbc36,368,0,332,12,290hbc24,248,80,246,132,200hbc184,154,226,100,272,60hbc318,20,347,9,362,0hbxe">
            <v:fill on="f" focussize="0,0"/>
            <v:stroke weight="1.5pt" color="#00B050"/>
            <v:imagedata o:title=""/>
            <o:lock v:ext="edit" aspectratio="f"/>
          </v:shape>
        </w:pict>
      </w:r>
      <w:r>
        <w:drawing>
          <wp:inline distT="0" distB="0" distL="114300" distR="114300">
            <wp:extent cx="8161655" cy="4872990"/>
            <wp:effectExtent l="0" t="0" r="6985" b="381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33"/>
                    <a:stretch>
                      <a:fillRect/>
                    </a:stretch>
                  </pic:blipFill>
                  <pic:spPr>
                    <a:xfrm>
                      <a:off x="0" y="0"/>
                      <a:ext cx="8161655" cy="4872990"/>
                    </a:xfrm>
                    <a:prstGeom prst="rect">
                      <a:avLst/>
                    </a:prstGeom>
                    <a:noFill/>
                    <a:ln>
                      <a:noFill/>
                    </a:ln>
                  </pic:spPr>
                </pic:pic>
              </a:graphicData>
            </a:graphic>
          </wp:inline>
        </w:drawing>
      </w:r>
    </w:p>
    <w:p>
      <w:pPr>
        <w:pStyle w:val="53"/>
        <w:numPr>
          <w:ilvl w:val="0"/>
          <w:numId w:val="0"/>
        </w:numPr>
        <w:ind w:left="560" w:leftChars="0"/>
        <w:jc w:val="center"/>
        <w:rPr>
          <w:rFonts w:hint="eastAsia"/>
          <w:lang w:val="en-US" w:eastAsia="zh-CN"/>
        </w:rPr>
      </w:pPr>
      <w:r>
        <w:rPr>
          <w:rFonts w:hint="eastAsia"/>
          <w:lang w:val="en-US" w:eastAsia="zh-CN"/>
        </w:rPr>
        <w:t>8.环境风险受体图</w:t>
      </w:r>
    </w:p>
    <w:p>
      <w:pPr>
        <w:pStyle w:val="53"/>
        <w:numPr>
          <w:ilvl w:val="0"/>
          <w:numId w:val="0"/>
        </w:numPr>
        <w:jc w:val="center"/>
        <w:rPr>
          <w:rFonts w:hint="default"/>
          <w:lang w:val="en-US" w:eastAsia="zh-CN"/>
        </w:rPr>
      </w:pPr>
      <w:r>
        <w:rPr>
          <w:sz w:val="24"/>
        </w:rPr>
        <w:pict>
          <v:shape id="_x0000_s1092" o:spid="_x0000_s1092" o:spt="61" type="#_x0000_t61" style="position:absolute;left:0pt;margin-left:303.3pt;margin-top:250.45pt;height:27.3pt;width:78.65pt;z-index:251687936;mso-width-relative:page;mso-height-relative:page;" filled="f" stroked="t" coordsize="21600,21600" adj="-3967,42290">
            <v:path/>
            <v:fill on="f" focussize="0,0"/>
            <v:stroke weight="1.5pt" color="#00B050"/>
            <v:imagedata o:title=""/>
            <o:lock v:ext="edit" aspectratio="f"/>
            <v:textbox>
              <w:txbxContent>
                <w:p>
                  <w:pPr>
                    <w:ind w:left="0" w:leftChars="0" w:firstLine="0" w:firstLineChars="0"/>
                    <w:rPr>
                      <w:rFonts w:hint="eastAsia" w:eastAsia="宋体"/>
                      <w:b/>
                      <w:bCs/>
                      <w:color w:val="FF0000"/>
                      <w:lang w:eastAsia="zh-CN"/>
                    </w:rPr>
                  </w:pPr>
                  <w:r>
                    <w:rPr>
                      <w:rFonts w:hint="eastAsia"/>
                      <w:b/>
                      <w:bCs/>
                      <w:color w:val="FF0000"/>
                      <w:lang w:eastAsia="zh-CN"/>
                    </w:rPr>
                    <w:t>项目所在地</w:t>
                  </w:r>
                </w:p>
              </w:txbxContent>
            </v:textbox>
          </v:shape>
        </w:pict>
      </w:r>
      <w:r>
        <w:rPr>
          <w:sz w:val="24"/>
        </w:rPr>
        <w:pict>
          <v:rect id="_x0000_s1091" o:spid="_x0000_s1091" o:spt="1" style="position:absolute;left:0pt;margin-left:280pt;margin-top:301.75pt;height:5.95pt;width:8pt;z-index:251686912;mso-width-relative:page;mso-height-relative:page;" fillcolor="#00B050" filled="t" stroked="t" coordsize="21600,21600">
            <v:path/>
            <v:fill on="t" color2="#FFFFFF" focussize="0,0"/>
            <v:stroke color="#00B050"/>
            <v:imagedata o:title=""/>
            <o:lock v:ext="edit" aspectratio="f"/>
          </v:rect>
        </w:pict>
      </w:r>
      <w:r>
        <w:rPr>
          <w:rFonts w:hint="default"/>
          <w:lang w:val="en-US" w:eastAsia="zh-CN"/>
        </w:rPr>
        <w:drawing>
          <wp:inline distT="0" distB="0" distL="114300" distR="114300">
            <wp:extent cx="6457315" cy="4841240"/>
            <wp:effectExtent l="0" t="0" r="4445" b="5080"/>
            <wp:docPr id="13" name="图片 13" descr="afa6de5b4d87e999d7df16cb0d44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afa6de5b4d87e999d7df16cb0d441b7"/>
                    <pic:cNvPicPr>
                      <a:picLocks noChangeAspect="1"/>
                    </pic:cNvPicPr>
                  </pic:nvPicPr>
                  <pic:blipFill>
                    <a:blip r:embed="rId34"/>
                    <a:stretch>
                      <a:fillRect/>
                    </a:stretch>
                  </pic:blipFill>
                  <pic:spPr>
                    <a:xfrm>
                      <a:off x="0" y="0"/>
                      <a:ext cx="6457315" cy="4841240"/>
                    </a:xfrm>
                    <a:prstGeom prst="rect">
                      <a:avLst/>
                    </a:prstGeom>
                  </pic:spPr>
                </pic:pic>
              </a:graphicData>
            </a:graphic>
          </wp:inline>
        </w:drawing>
      </w:r>
    </w:p>
    <w:p>
      <w:pPr>
        <w:pStyle w:val="53"/>
        <w:numPr>
          <w:ilvl w:val="0"/>
          <w:numId w:val="0"/>
        </w:numPr>
        <w:jc w:val="center"/>
        <w:rPr>
          <w:rFonts w:hint="default"/>
          <w:lang w:val="en-US" w:eastAsia="zh-CN"/>
        </w:rPr>
      </w:pPr>
      <w:r>
        <w:rPr>
          <w:rFonts w:hint="eastAsia"/>
          <w:lang w:val="en-US" w:eastAsia="zh-CN"/>
        </w:rPr>
        <w:t>9.水域受体图</w:t>
      </w:r>
    </w:p>
    <w:sectPr>
      <w:pgSz w:w="16838" w:h="11906" w:orient="landscape"/>
      <w:pgMar w:top="1800" w:right="1440" w:bottom="1800" w:left="144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50"/>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serif">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Helvetica">
    <w:altName w:val="Arial"/>
    <w:panose1 w:val="020B0604020202020204"/>
    <w:charset w:val="00"/>
    <w:family w:val="swiss"/>
    <w:pitch w:val="default"/>
    <w:sig w:usb0="00000000" w:usb1="00000000" w:usb2="00000009" w:usb3="00000000" w:csb0="000001FF" w:csb1="00000000"/>
  </w:font>
  <w:font w:name="微软雅黑">
    <w:panose1 w:val="020B0503020204020204"/>
    <w:charset w:val="86"/>
    <w:family w:val="swiss"/>
    <w:pitch w:val="default"/>
    <w:sig w:usb0="80000287" w:usb1="280F3C52" w:usb2="00000016" w:usb3="00000000" w:csb0="0004001F" w:csb1="00000000"/>
  </w:font>
  <w:font w:name="..">
    <w:altName w:val="hakuyoxingshu7000"/>
    <w:panose1 w:val="00000000000000000000"/>
    <w:charset w:val="00"/>
    <w:family w:val="roman"/>
    <w:pitch w:val="default"/>
    <w:sig w:usb0="00000000" w:usb1="00000000" w:usb2="00000000" w:usb3="00000000" w:csb0="00040001" w:csb1="00000000"/>
  </w:font>
  <w:font w:name="hakuyoxingshu7000">
    <w:panose1 w:val="02000600000000000000"/>
    <w:charset w:val="86"/>
    <w:family w:val="auto"/>
    <w:pitch w:val="default"/>
    <w:sig w:usb0="FFFFFFFF" w:usb1="E9FFFFFF" w:usb2="0000003F" w:usb3="00000000" w:csb0="603F00FF" w:csb1="FFFF0000"/>
  </w:font>
  <w:font w:name="Gulim">
    <w:panose1 w:val="020B0600000101010101"/>
    <w:charset w:val="81"/>
    <w:family w:val="auto"/>
    <w:pitch w:val="default"/>
    <w:sig w:usb0="B00002AF" w:usb1="69D77CFB" w:usb2="00000030" w:usb3="00000000" w:csb0="4008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0" w:firstLineChars="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tabs>
        <w:tab w:val="center" w:pos="4212"/>
        <w:tab w:val="left" w:pos="4686"/>
      </w:tabs>
      <w:ind w:firstLine="0" w:firstLineChars="0"/>
    </w:pPr>
    <w:r>
      <w:rPr>
        <w:rFonts w:hint="eastAsia"/>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tabs>
        <w:tab w:val="center" w:pos="4212"/>
        <w:tab w:val="left" w:pos="4686"/>
      </w:tabs>
      <w:ind w:firstLine="0" w:firstLineChars="0"/>
    </w:pPr>
    <w:r>
      <w:pict>
        <v:shape id="_x0000_s2049" o:spid="_x0000_s2049"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WAAAAZHJzL1BLAQIUABQAAAAI&#10;AIdO4kCzSVju0AAAAAUBAAAPAAAAAAAAAAEAIAAAADgAAABkcnMvZG93bnJldi54bWxQSwECFAAU&#10;AAAACACHTuJAUwRDjBwCAAApBAAADgAAAAAAAAABACAAAAA1AQAAZHJzL2Uyb0RvYy54bWxQSwUG&#10;AAAAAAYABgBZAQAAwwUAAAAA&#10;">
          <v:path/>
          <v:fill on="f" focussize="0,0"/>
          <v:stroke on="f" weight="0.5pt" joinstyle="miter"/>
          <v:imagedata o:title=""/>
          <o:lock v:ext="edit"/>
          <v:textbox inset="0mm,0mm,0mm,0mm" style="mso-fit-shape-to-text:t;">
            <w:txbxContent>
              <w:p>
                <w:pPr>
                  <w:pStyle w:val="15"/>
                  <w:ind w:firstLine="360"/>
                </w:pPr>
                <w:r>
                  <w:fldChar w:fldCharType="begin"/>
                </w:r>
                <w:r>
                  <w:instrText xml:space="preserve"> PAGE  \* MERGEFORMAT </w:instrText>
                </w:r>
                <w:r>
                  <w:fldChar w:fldCharType="separate"/>
                </w:r>
                <w:r>
                  <w:t>57</w:t>
                </w:r>
                <w:r>
                  <w:fldChar w:fldCharType="end"/>
                </w:r>
              </w:p>
            </w:txbxContent>
          </v:textbox>
        </v:shape>
      </w:pict>
    </w:r>
    <w:r>
      <w:rPr>
        <w:rFonts w:hint="eastAsia"/>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420"/>
      <w:rPr>
        <w:szCs w:val="21"/>
      </w:rPr>
    </w:pPr>
    <w:r>
      <w:rPr>
        <w:rFonts w:hint="eastAsia"/>
        <w:sz w:val="21"/>
        <w:szCs w:val="21"/>
      </w:rPr>
      <w:t>湖口县金砂湾工业园集中污水处理厂环境风险评估报告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3AE4D65"/>
    <w:multiLevelType w:val="singleLevel"/>
    <w:tmpl w:val="93AE4D65"/>
    <w:lvl w:ilvl="0" w:tentative="0">
      <w:start w:val="7"/>
      <w:numFmt w:val="decimal"/>
      <w:suff w:val="nothing"/>
      <w:lvlText w:val="（%1）"/>
      <w:lvlJc w:val="left"/>
    </w:lvl>
  </w:abstractNum>
  <w:abstractNum w:abstractNumId="1">
    <w:nsid w:val="E4A28FA9"/>
    <w:multiLevelType w:val="singleLevel"/>
    <w:tmpl w:val="E4A28FA9"/>
    <w:lvl w:ilvl="0" w:tentative="0">
      <w:start w:val="1"/>
      <w:numFmt w:val="decimal"/>
      <w:suff w:val="space"/>
      <w:lvlText w:val="%1."/>
      <w:lvlJc w:val="left"/>
    </w:lvl>
  </w:abstractNum>
  <w:abstractNum w:abstractNumId="2">
    <w:nsid w:val="1F30E301"/>
    <w:multiLevelType w:val="singleLevel"/>
    <w:tmpl w:val="1F30E301"/>
    <w:lvl w:ilvl="0" w:tentative="0">
      <w:start w:val="2"/>
      <w:numFmt w:val="chineseCounting"/>
      <w:suff w:val="nothing"/>
      <w:lvlText w:val="（%1）"/>
      <w:lvlJc w:val="left"/>
      <w:rPr>
        <w:rFonts w:hint="eastAsia"/>
      </w:rPr>
    </w:lvl>
  </w:abstractNum>
  <w:abstractNum w:abstractNumId="3">
    <w:nsid w:val="406E7E2A"/>
    <w:multiLevelType w:val="multilevel"/>
    <w:tmpl w:val="406E7E2A"/>
    <w:lvl w:ilvl="0" w:tentative="0">
      <w:start w:val="1"/>
      <w:numFmt w:val="decimal"/>
      <w:lvlText w:val="%1."/>
      <w:lvlJc w:val="left"/>
      <w:pPr>
        <w:tabs>
          <w:tab w:val="left" w:pos="0"/>
        </w:tabs>
        <w:ind w:left="920" w:hanging="360"/>
      </w:pPr>
      <w:rPr>
        <w:rFonts w:hint="default"/>
      </w:rPr>
    </w:lvl>
    <w:lvl w:ilvl="1" w:tentative="0">
      <w:start w:val="1"/>
      <w:numFmt w:val="lowerLetter"/>
      <w:lvlText w:val="%2)"/>
      <w:lvlJc w:val="left"/>
      <w:pPr>
        <w:tabs>
          <w:tab w:val="left" w:pos="0"/>
        </w:tabs>
        <w:ind w:left="1400" w:hanging="420"/>
      </w:pPr>
    </w:lvl>
    <w:lvl w:ilvl="2" w:tentative="0">
      <w:start w:val="1"/>
      <w:numFmt w:val="lowerRoman"/>
      <w:lvlText w:val="%3."/>
      <w:lvlJc w:val="right"/>
      <w:pPr>
        <w:tabs>
          <w:tab w:val="left" w:pos="0"/>
        </w:tabs>
        <w:ind w:left="1820" w:hanging="420"/>
      </w:pPr>
    </w:lvl>
    <w:lvl w:ilvl="3" w:tentative="0">
      <w:start w:val="1"/>
      <w:numFmt w:val="decimal"/>
      <w:lvlText w:val="%4."/>
      <w:lvlJc w:val="left"/>
      <w:pPr>
        <w:tabs>
          <w:tab w:val="left" w:pos="0"/>
        </w:tabs>
        <w:ind w:left="2240" w:hanging="420"/>
      </w:pPr>
    </w:lvl>
    <w:lvl w:ilvl="4" w:tentative="0">
      <w:start w:val="1"/>
      <w:numFmt w:val="lowerLetter"/>
      <w:lvlText w:val="%5)"/>
      <w:lvlJc w:val="left"/>
      <w:pPr>
        <w:tabs>
          <w:tab w:val="left" w:pos="0"/>
        </w:tabs>
        <w:ind w:left="2660" w:hanging="420"/>
      </w:pPr>
    </w:lvl>
    <w:lvl w:ilvl="5" w:tentative="0">
      <w:start w:val="1"/>
      <w:numFmt w:val="lowerRoman"/>
      <w:lvlText w:val="%6."/>
      <w:lvlJc w:val="right"/>
      <w:pPr>
        <w:tabs>
          <w:tab w:val="left" w:pos="0"/>
        </w:tabs>
        <w:ind w:left="3080" w:hanging="420"/>
      </w:pPr>
    </w:lvl>
    <w:lvl w:ilvl="6" w:tentative="0">
      <w:start w:val="1"/>
      <w:numFmt w:val="decimal"/>
      <w:lvlText w:val="%7."/>
      <w:lvlJc w:val="left"/>
      <w:pPr>
        <w:tabs>
          <w:tab w:val="left" w:pos="0"/>
        </w:tabs>
        <w:ind w:left="3500" w:hanging="420"/>
      </w:pPr>
    </w:lvl>
    <w:lvl w:ilvl="7" w:tentative="0">
      <w:start w:val="1"/>
      <w:numFmt w:val="lowerLetter"/>
      <w:lvlText w:val="%8)"/>
      <w:lvlJc w:val="left"/>
      <w:pPr>
        <w:tabs>
          <w:tab w:val="left" w:pos="0"/>
        </w:tabs>
        <w:ind w:left="3920" w:hanging="420"/>
      </w:pPr>
    </w:lvl>
    <w:lvl w:ilvl="8" w:tentative="0">
      <w:start w:val="1"/>
      <w:numFmt w:val="lowerRoman"/>
      <w:lvlText w:val="%9."/>
      <w:lvlJc w:val="right"/>
      <w:pPr>
        <w:tabs>
          <w:tab w:val="left" w:pos="0"/>
        </w:tabs>
        <w:ind w:left="4340" w:hanging="420"/>
      </w:pPr>
    </w:lvl>
  </w:abstractNum>
  <w:abstractNum w:abstractNumId="4">
    <w:nsid w:val="431E1304"/>
    <w:multiLevelType w:val="singleLevel"/>
    <w:tmpl w:val="431E1304"/>
    <w:lvl w:ilvl="0" w:tentative="0">
      <w:start w:val="2"/>
      <w:numFmt w:val="decimal"/>
      <w:suff w:val="nothing"/>
      <w:lvlText w:val="（%1）"/>
      <w:lvlJc w:val="left"/>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hideSpellingErrors/>
  <w:documentProtection w:enforcement="0"/>
  <w:defaultTabStop w:val="420"/>
  <w:drawingGridHorizontalSpacing w:val="120"/>
  <w:drawingGridVerticalSpacing w:val="163"/>
  <w:displayHorizontalDrawingGridEvery w:val="2"/>
  <w:displayVerticalDrawingGridEvery w:val="2"/>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rsids>
    <w:rsidRoot w:val="00083A2D"/>
    <w:rsid w:val="00083A2D"/>
    <w:rsid w:val="00161AB9"/>
    <w:rsid w:val="00381625"/>
    <w:rsid w:val="00544C5F"/>
    <w:rsid w:val="005D03BC"/>
    <w:rsid w:val="005E4216"/>
    <w:rsid w:val="00773F57"/>
    <w:rsid w:val="0083442E"/>
    <w:rsid w:val="0096330A"/>
    <w:rsid w:val="00A938EF"/>
    <w:rsid w:val="00B17C8C"/>
    <w:rsid w:val="00D01780"/>
    <w:rsid w:val="00E7656D"/>
    <w:rsid w:val="02BA318D"/>
    <w:rsid w:val="03360DD9"/>
    <w:rsid w:val="04274047"/>
    <w:rsid w:val="044E7E09"/>
    <w:rsid w:val="05860158"/>
    <w:rsid w:val="05F05307"/>
    <w:rsid w:val="068205A7"/>
    <w:rsid w:val="06A05249"/>
    <w:rsid w:val="06F7130D"/>
    <w:rsid w:val="07443C44"/>
    <w:rsid w:val="07DD608B"/>
    <w:rsid w:val="07F0187F"/>
    <w:rsid w:val="08003C1C"/>
    <w:rsid w:val="08547A26"/>
    <w:rsid w:val="087572D6"/>
    <w:rsid w:val="089E152A"/>
    <w:rsid w:val="0918709A"/>
    <w:rsid w:val="094114B0"/>
    <w:rsid w:val="09C65AE0"/>
    <w:rsid w:val="09E75A87"/>
    <w:rsid w:val="0B4A0385"/>
    <w:rsid w:val="0C39686C"/>
    <w:rsid w:val="0C4C6F30"/>
    <w:rsid w:val="0C5F01AD"/>
    <w:rsid w:val="0C870F5B"/>
    <w:rsid w:val="0CFF262B"/>
    <w:rsid w:val="0D085BE2"/>
    <w:rsid w:val="0D361509"/>
    <w:rsid w:val="0D3D37F2"/>
    <w:rsid w:val="0FFC3E38"/>
    <w:rsid w:val="10B262A5"/>
    <w:rsid w:val="10D00ECC"/>
    <w:rsid w:val="10FD6EDE"/>
    <w:rsid w:val="11003AF8"/>
    <w:rsid w:val="11C16C02"/>
    <w:rsid w:val="122B78E1"/>
    <w:rsid w:val="12DD4CEF"/>
    <w:rsid w:val="13313544"/>
    <w:rsid w:val="134861C8"/>
    <w:rsid w:val="14544AD9"/>
    <w:rsid w:val="15436DE7"/>
    <w:rsid w:val="16B55152"/>
    <w:rsid w:val="170B4CAF"/>
    <w:rsid w:val="17775224"/>
    <w:rsid w:val="18A021AE"/>
    <w:rsid w:val="190023C4"/>
    <w:rsid w:val="19182BFA"/>
    <w:rsid w:val="19B36EF5"/>
    <w:rsid w:val="19F87114"/>
    <w:rsid w:val="1A0D6C73"/>
    <w:rsid w:val="1A145CC6"/>
    <w:rsid w:val="1A1A0D54"/>
    <w:rsid w:val="1BFF01E6"/>
    <w:rsid w:val="1C6D0BD1"/>
    <w:rsid w:val="1CCC4595"/>
    <w:rsid w:val="1D5C57E0"/>
    <w:rsid w:val="1E2307E2"/>
    <w:rsid w:val="1E4251CB"/>
    <w:rsid w:val="1E6D0969"/>
    <w:rsid w:val="1F3D7578"/>
    <w:rsid w:val="1F792F8A"/>
    <w:rsid w:val="1FDA1301"/>
    <w:rsid w:val="21271735"/>
    <w:rsid w:val="213678A9"/>
    <w:rsid w:val="217F2AB2"/>
    <w:rsid w:val="218973F8"/>
    <w:rsid w:val="218B178A"/>
    <w:rsid w:val="22A418AA"/>
    <w:rsid w:val="22D36C7A"/>
    <w:rsid w:val="23270CD1"/>
    <w:rsid w:val="2539557A"/>
    <w:rsid w:val="257C08F9"/>
    <w:rsid w:val="258906B4"/>
    <w:rsid w:val="25AB7101"/>
    <w:rsid w:val="25EA2262"/>
    <w:rsid w:val="268557E1"/>
    <w:rsid w:val="26926505"/>
    <w:rsid w:val="273D3FF9"/>
    <w:rsid w:val="276D3058"/>
    <w:rsid w:val="27772885"/>
    <w:rsid w:val="27822D0B"/>
    <w:rsid w:val="282602A3"/>
    <w:rsid w:val="28A568B8"/>
    <w:rsid w:val="291E22D1"/>
    <w:rsid w:val="29B9024C"/>
    <w:rsid w:val="29EE2E96"/>
    <w:rsid w:val="29FC53E3"/>
    <w:rsid w:val="2AC77717"/>
    <w:rsid w:val="2BAA609E"/>
    <w:rsid w:val="2BC44F22"/>
    <w:rsid w:val="2BCA5EAE"/>
    <w:rsid w:val="2C151397"/>
    <w:rsid w:val="2CE272C0"/>
    <w:rsid w:val="2D087800"/>
    <w:rsid w:val="2D344570"/>
    <w:rsid w:val="2DF23507"/>
    <w:rsid w:val="2E037DFA"/>
    <w:rsid w:val="2E423835"/>
    <w:rsid w:val="2E865D0F"/>
    <w:rsid w:val="2E982435"/>
    <w:rsid w:val="2ED530CD"/>
    <w:rsid w:val="2F833895"/>
    <w:rsid w:val="310A3805"/>
    <w:rsid w:val="319C0176"/>
    <w:rsid w:val="31AD0865"/>
    <w:rsid w:val="321150EE"/>
    <w:rsid w:val="324E3F84"/>
    <w:rsid w:val="32D46AC9"/>
    <w:rsid w:val="33090024"/>
    <w:rsid w:val="330F6A49"/>
    <w:rsid w:val="342E76CE"/>
    <w:rsid w:val="34B66DDB"/>
    <w:rsid w:val="34D27420"/>
    <w:rsid w:val="35E32760"/>
    <w:rsid w:val="36EE0D20"/>
    <w:rsid w:val="378659BB"/>
    <w:rsid w:val="37AC52C3"/>
    <w:rsid w:val="37B71C98"/>
    <w:rsid w:val="3A5F4120"/>
    <w:rsid w:val="3AF05B4C"/>
    <w:rsid w:val="3B070E17"/>
    <w:rsid w:val="3B3C7C1D"/>
    <w:rsid w:val="3B3D4CA3"/>
    <w:rsid w:val="3B76576C"/>
    <w:rsid w:val="3D6730D6"/>
    <w:rsid w:val="3EC224DD"/>
    <w:rsid w:val="40D6596B"/>
    <w:rsid w:val="41401527"/>
    <w:rsid w:val="41A14C26"/>
    <w:rsid w:val="44825A56"/>
    <w:rsid w:val="44E2559E"/>
    <w:rsid w:val="46576BED"/>
    <w:rsid w:val="46DC7481"/>
    <w:rsid w:val="46FF6D22"/>
    <w:rsid w:val="47926DF2"/>
    <w:rsid w:val="47D90D7A"/>
    <w:rsid w:val="49C950D3"/>
    <w:rsid w:val="4A240736"/>
    <w:rsid w:val="4AA03517"/>
    <w:rsid w:val="4AED7686"/>
    <w:rsid w:val="4B5C6512"/>
    <w:rsid w:val="4C4310C2"/>
    <w:rsid w:val="4CAF2339"/>
    <w:rsid w:val="4D341473"/>
    <w:rsid w:val="4D862070"/>
    <w:rsid w:val="4D89510F"/>
    <w:rsid w:val="4DC96475"/>
    <w:rsid w:val="4E6D375B"/>
    <w:rsid w:val="4EA92AA7"/>
    <w:rsid w:val="4FF24ECA"/>
    <w:rsid w:val="5069060D"/>
    <w:rsid w:val="51476BB3"/>
    <w:rsid w:val="51511D20"/>
    <w:rsid w:val="517A6C27"/>
    <w:rsid w:val="51F537F5"/>
    <w:rsid w:val="52EA2CA8"/>
    <w:rsid w:val="53050A65"/>
    <w:rsid w:val="53D1432E"/>
    <w:rsid w:val="543F4E02"/>
    <w:rsid w:val="54634289"/>
    <w:rsid w:val="547847A7"/>
    <w:rsid w:val="54D446EA"/>
    <w:rsid w:val="5524614C"/>
    <w:rsid w:val="55F0469F"/>
    <w:rsid w:val="5648479C"/>
    <w:rsid w:val="56AC5DC7"/>
    <w:rsid w:val="56E4779F"/>
    <w:rsid w:val="576F1248"/>
    <w:rsid w:val="581D3267"/>
    <w:rsid w:val="588F7D7D"/>
    <w:rsid w:val="58B869C6"/>
    <w:rsid w:val="59B87805"/>
    <w:rsid w:val="5BAB53E9"/>
    <w:rsid w:val="5BE27996"/>
    <w:rsid w:val="5CD526CC"/>
    <w:rsid w:val="5CF55DCC"/>
    <w:rsid w:val="5E390664"/>
    <w:rsid w:val="5E40555E"/>
    <w:rsid w:val="5E730D07"/>
    <w:rsid w:val="5F8F49A8"/>
    <w:rsid w:val="5FA82DBA"/>
    <w:rsid w:val="601613EB"/>
    <w:rsid w:val="60B945DB"/>
    <w:rsid w:val="60C2753F"/>
    <w:rsid w:val="618A5A7E"/>
    <w:rsid w:val="61D27B22"/>
    <w:rsid w:val="621F43E9"/>
    <w:rsid w:val="62650996"/>
    <w:rsid w:val="626B32B5"/>
    <w:rsid w:val="629E4B06"/>
    <w:rsid w:val="62C00D20"/>
    <w:rsid w:val="62E57446"/>
    <w:rsid w:val="640F2348"/>
    <w:rsid w:val="64357EF4"/>
    <w:rsid w:val="646245A4"/>
    <w:rsid w:val="648C22BA"/>
    <w:rsid w:val="64CF6330"/>
    <w:rsid w:val="64FC633E"/>
    <w:rsid w:val="661579A7"/>
    <w:rsid w:val="664177CE"/>
    <w:rsid w:val="6656053F"/>
    <w:rsid w:val="67CB0C3A"/>
    <w:rsid w:val="67D642A7"/>
    <w:rsid w:val="67F752C8"/>
    <w:rsid w:val="68461DE0"/>
    <w:rsid w:val="68D977C2"/>
    <w:rsid w:val="68F5285D"/>
    <w:rsid w:val="695A02D6"/>
    <w:rsid w:val="695D2BD4"/>
    <w:rsid w:val="698E6D79"/>
    <w:rsid w:val="6AC72CEE"/>
    <w:rsid w:val="6BC575DC"/>
    <w:rsid w:val="6DEE0936"/>
    <w:rsid w:val="6ED840BE"/>
    <w:rsid w:val="6F4372A9"/>
    <w:rsid w:val="6FD86CCF"/>
    <w:rsid w:val="700554BE"/>
    <w:rsid w:val="70D61BED"/>
    <w:rsid w:val="71800B29"/>
    <w:rsid w:val="71F853C7"/>
    <w:rsid w:val="722C4DE3"/>
    <w:rsid w:val="727B40E5"/>
    <w:rsid w:val="73325A7A"/>
    <w:rsid w:val="73576C30"/>
    <w:rsid w:val="73D93F2D"/>
    <w:rsid w:val="74167EB4"/>
    <w:rsid w:val="746D4E54"/>
    <w:rsid w:val="74EF0B4D"/>
    <w:rsid w:val="752737D4"/>
    <w:rsid w:val="75BF7C9D"/>
    <w:rsid w:val="75D832F9"/>
    <w:rsid w:val="762462E1"/>
    <w:rsid w:val="76452B8E"/>
    <w:rsid w:val="76793025"/>
    <w:rsid w:val="76BD0D0C"/>
    <w:rsid w:val="778633B2"/>
    <w:rsid w:val="785D6125"/>
    <w:rsid w:val="78CE38CF"/>
    <w:rsid w:val="79927E6B"/>
    <w:rsid w:val="79A20965"/>
    <w:rsid w:val="7A290CA4"/>
    <w:rsid w:val="7AD463CA"/>
    <w:rsid w:val="7ADA3312"/>
    <w:rsid w:val="7B227DEB"/>
    <w:rsid w:val="7B32077A"/>
    <w:rsid w:val="7B8F7148"/>
    <w:rsid w:val="7C7F47C0"/>
    <w:rsid w:val="7CCC7E4E"/>
    <w:rsid w:val="7D21074E"/>
    <w:rsid w:val="7D7A3B60"/>
    <w:rsid w:val="7E521990"/>
    <w:rsid w:val="7E5E7E6E"/>
    <w:rsid w:val="7E8B7338"/>
    <w:rsid w:val="7EB027ED"/>
    <w:rsid w:val="7EF51146"/>
    <w:rsid w:val="7FCE3DFA"/>
    <w:rsid w:val="7FD81ACE"/>
    <w:rsid w:val="7FF374C4"/>
    <w:rsid w:val="DBFD8A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rules v:ext="edit">
        <o:r id="V:Rule1" type="connector" idref="#_x0000_s1026"/>
        <o:r id="V:Rule2" type="connector" idref="#_x0000_s1052"/>
        <o:r id="V:Rule3" type="connector" idref="#_x0000_s1053"/>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qFormat="1" w:unhideWhenUsed="0" w:uiPriority="99"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ascii="Times New Roman" w:hAnsi="Times New Roman" w:eastAsia="宋体" w:cs="宋体"/>
      <w:smallCaps/>
      <w:kern w:val="2"/>
      <w:sz w:val="24"/>
      <w:szCs w:val="24"/>
      <w:lang w:val="en-US" w:eastAsia="zh-CN" w:bidi="ar-SA"/>
    </w:rPr>
  </w:style>
  <w:style w:type="paragraph" w:styleId="3">
    <w:name w:val="heading 1"/>
    <w:basedOn w:val="1"/>
    <w:next w:val="1"/>
    <w:qFormat/>
    <w:uiPriority w:val="0"/>
    <w:pPr>
      <w:keepNext/>
      <w:keepLines/>
      <w:ind w:firstLine="0" w:firstLineChars="0"/>
      <w:jc w:val="center"/>
      <w:outlineLvl w:val="0"/>
    </w:pPr>
    <w:rPr>
      <w:b/>
      <w:bCs/>
      <w:kern w:val="44"/>
      <w:sz w:val="36"/>
      <w:szCs w:val="44"/>
    </w:rPr>
  </w:style>
  <w:style w:type="paragraph" w:styleId="4">
    <w:name w:val="heading 2"/>
    <w:basedOn w:val="1"/>
    <w:next w:val="1"/>
    <w:qFormat/>
    <w:uiPriority w:val="9"/>
    <w:pPr>
      <w:spacing w:beforeLines="50" w:after="50"/>
      <w:outlineLvl w:val="1"/>
    </w:pPr>
    <w:rPr>
      <w:sz w:val="32"/>
      <w:szCs w:val="30"/>
    </w:rPr>
  </w:style>
  <w:style w:type="paragraph" w:styleId="5">
    <w:name w:val="heading 3"/>
    <w:basedOn w:val="1"/>
    <w:next w:val="6"/>
    <w:qFormat/>
    <w:uiPriority w:val="0"/>
    <w:pPr>
      <w:keepNext/>
      <w:keepLines/>
      <w:ind w:firstLine="0" w:firstLineChars="0"/>
      <w:jc w:val="left"/>
      <w:outlineLvl w:val="2"/>
    </w:pPr>
    <w:rPr>
      <w:b/>
      <w:bCs/>
      <w:szCs w:val="32"/>
    </w:rPr>
  </w:style>
  <w:style w:type="paragraph" w:styleId="7">
    <w:name w:val="heading 4"/>
    <w:basedOn w:val="1"/>
    <w:next w:val="1"/>
    <w:semiHidden/>
    <w:unhideWhenUsed/>
    <w:qFormat/>
    <w:uiPriority w:val="0"/>
    <w:pPr>
      <w:keepNext/>
      <w:keepLines/>
      <w:spacing w:line="372" w:lineRule="auto"/>
      <w:outlineLvl w:val="3"/>
    </w:pPr>
    <w:rPr>
      <w:rFonts w:ascii="Arial" w:hAnsi="Arial" w:eastAsia="黑体"/>
      <w:b/>
      <w:sz w:val="28"/>
    </w:rPr>
  </w:style>
  <w:style w:type="character" w:default="1" w:styleId="23">
    <w:name w:val="Default Paragraph Font"/>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styleId="6">
    <w:name w:val="Normal Indent"/>
    <w:basedOn w:val="1"/>
    <w:qFormat/>
    <w:uiPriority w:val="0"/>
    <w:pPr>
      <w:adjustRightInd w:val="0"/>
      <w:spacing w:before="120" w:line="400" w:lineRule="exact"/>
      <w:ind w:firstLine="420" w:firstLineChars="0"/>
      <w:textAlignment w:val="baseline"/>
    </w:pPr>
    <w:rPr>
      <w:rFonts w:ascii="Calibri" w:hAnsi="Calibri" w:cs="Arial"/>
      <w:kern w:val="28"/>
      <w:szCs w:val="22"/>
    </w:rPr>
  </w:style>
  <w:style w:type="paragraph" w:styleId="8">
    <w:name w:val="List 3"/>
    <w:basedOn w:val="1"/>
    <w:qFormat/>
    <w:uiPriority w:val="0"/>
    <w:pPr>
      <w:spacing w:line="240" w:lineRule="auto"/>
      <w:ind w:firstLine="0" w:firstLineChars="0"/>
      <w:jc w:val="center"/>
    </w:pPr>
    <w:rPr>
      <w:rFonts w:ascii="Calibri" w:hAnsi="Calibri"/>
      <w:sz w:val="21"/>
      <w:szCs w:val="20"/>
    </w:rPr>
  </w:style>
  <w:style w:type="paragraph" w:styleId="9">
    <w:name w:val="Note Heading"/>
    <w:basedOn w:val="1"/>
    <w:next w:val="1"/>
    <w:qFormat/>
    <w:uiPriority w:val="99"/>
    <w:pPr>
      <w:spacing w:line="240" w:lineRule="auto"/>
      <w:ind w:firstLine="0" w:firstLineChars="0"/>
      <w:jc w:val="center"/>
    </w:pPr>
    <w:rPr>
      <w:rFonts w:ascii="Calibri" w:hAnsi="Calibri" w:cs="Calibri"/>
      <w:sz w:val="21"/>
      <w:szCs w:val="21"/>
    </w:rPr>
  </w:style>
  <w:style w:type="paragraph" w:styleId="10">
    <w:name w:val="caption"/>
    <w:basedOn w:val="1"/>
    <w:next w:val="1"/>
    <w:qFormat/>
    <w:uiPriority w:val="0"/>
    <w:pPr>
      <w:spacing w:line="240" w:lineRule="auto"/>
      <w:ind w:firstLine="0" w:firstLineChars="0"/>
    </w:pPr>
    <w:rPr>
      <w:rFonts w:ascii="Arial" w:hAnsi="Arial" w:eastAsia="黑体" w:cs="Arial"/>
      <w:sz w:val="20"/>
      <w:szCs w:val="20"/>
    </w:rPr>
  </w:style>
  <w:style w:type="paragraph" w:styleId="11">
    <w:name w:val="annotation text"/>
    <w:basedOn w:val="1"/>
    <w:qFormat/>
    <w:uiPriority w:val="0"/>
    <w:pPr>
      <w:jc w:val="left"/>
    </w:pPr>
  </w:style>
  <w:style w:type="paragraph" w:styleId="12">
    <w:name w:val="Body Text"/>
    <w:basedOn w:val="1"/>
    <w:qFormat/>
    <w:uiPriority w:val="0"/>
  </w:style>
  <w:style w:type="paragraph" w:styleId="13">
    <w:name w:val="Body Text Indent"/>
    <w:basedOn w:val="1"/>
    <w:qFormat/>
    <w:uiPriority w:val="0"/>
    <w:pPr>
      <w:ind w:left="420" w:leftChars="200"/>
    </w:pPr>
  </w:style>
  <w:style w:type="paragraph" w:styleId="14">
    <w:name w:val="Balloon Text"/>
    <w:basedOn w:val="1"/>
    <w:link w:val="57"/>
    <w:qFormat/>
    <w:uiPriority w:val="0"/>
    <w:pPr>
      <w:spacing w:line="240" w:lineRule="auto"/>
    </w:pPr>
    <w:rPr>
      <w:sz w:val="18"/>
      <w:szCs w:val="18"/>
    </w:rPr>
  </w:style>
  <w:style w:type="paragraph" w:styleId="15">
    <w:name w:val="footer"/>
    <w:basedOn w:val="1"/>
    <w:qFormat/>
    <w:uiPriority w:val="0"/>
    <w:pPr>
      <w:tabs>
        <w:tab w:val="center" w:pos="4153"/>
        <w:tab w:val="right" w:pos="8306"/>
      </w:tabs>
      <w:snapToGrid w:val="0"/>
      <w:jc w:val="left"/>
    </w:pPr>
    <w:rPr>
      <w:rFonts w:ascii="Calibri" w:hAnsi="Calibri" w:cs="Arial"/>
      <w:sz w:val="18"/>
      <w:szCs w:val="18"/>
    </w:rPr>
  </w:style>
  <w:style w:type="paragraph" w:styleId="16">
    <w:name w:val="header"/>
    <w:basedOn w:val="1"/>
    <w:qFormat/>
    <w:uiPriority w:val="0"/>
    <w:pPr>
      <w:tabs>
        <w:tab w:val="center" w:pos="4153"/>
        <w:tab w:val="right" w:pos="8306"/>
      </w:tabs>
      <w:snapToGrid w:val="0"/>
      <w:jc w:val="center"/>
    </w:pPr>
    <w:rPr>
      <w:rFonts w:ascii="Calibri" w:hAnsi="Calibri" w:cs="Arial"/>
      <w:sz w:val="18"/>
      <w:szCs w:val="18"/>
    </w:rPr>
  </w:style>
  <w:style w:type="paragraph" w:styleId="17">
    <w:name w:val="toc 1"/>
    <w:basedOn w:val="1"/>
    <w:next w:val="1"/>
    <w:qFormat/>
    <w:uiPriority w:val="39"/>
    <w:pPr>
      <w:spacing w:before="120" w:after="120"/>
      <w:jc w:val="left"/>
    </w:pPr>
    <w:rPr>
      <w:rFonts w:asciiTheme="minorHAnsi" w:hAnsiTheme="minorHAnsi"/>
      <w:b/>
      <w:bCs/>
      <w:caps/>
      <w:sz w:val="20"/>
      <w:szCs w:val="20"/>
    </w:rPr>
  </w:style>
  <w:style w:type="paragraph" w:styleId="18">
    <w:name w:val="toc 2"/>
    <w:basedOn w:val="1"/>
    <w:next w:val="1"/>
    <w:qFormat/>
    <w:uiPriority w:val="39"/>
    <w:pPr>
      <w:ind w:left="240"/>
      <w:jc w:val="left"/>
    </w:pPr>
    <w:rPr>
      <w:rFonts w:asciiTheme="minorHAnsi" w:hAnsiTheme="minorHAnsi"/>
      <w:sz w:val="20"/>
      <w:szCs w:val="20"/>
    </w:rPr>
  </w:style>
  <w:style w:type="paragraph" w:styleId="19">
    <w:name w:val="Body Text 2"/>
    <w:basedOn w:val="1"/>
    <w:qFormat/>
    <w:uiPriority w:val="0"/>
    <w:pPr>
      <w:spacing w:line="240" w:lineRule="auto"/>
      <w:ind w:firstLine="0" w:firstLineChars="0"/>
      <w:jc w:val="center"/>
    </w:pPr>
    <w:rPr>
      <w:rFonts w:ascii="Calibri" w:hAnsi="Calibri" w:cs="Arial"/>
    </w:rPr>
  </w:style>
  <w:style w:type="paragraph" w:styleId="20">
    <w:name w:val="Body Text First Indent 2"/>
    <w:basedOn w:val="1"/>
    <w:next w:val="1"/>
    <w:qFormat/>
    <w:uiPriority w:val="0"/>
    <w:pPr>
      <w:ind w:firstLine="420"/>
    </w:p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Strong"/>
    <w:basedOn w:val="23"/>
    <w:qFormat/>
    <w:uiPriority w:val="0"/>
    <w:rPr>
      <w:b/>
      <w:bCs/>
    </w:rPr>
  </w:style>
  <w:style w:type="character" w:styleId="25">
    <w:name w:val="FollowedHyperlink"/>
    <w:basedOn w:val="23"/>
    <w:qFormat/>
    <w:uiPriority w:val="0"/>
    <w:rPr>
      <w:color w:val="338DE6"/>
      <w:u w:val="none"/>
    </w:rPr>
  </w:style>
  <w:style w:type="character" w:styleId="26">
    <w:name w:val="Emphasis"/>
    <w:basedOn w:val="23"/>
    <w:qFormat/>
    <w:uiPriority w:val="0"/>
  </w:style>
  <w:style w:type="character" w:styleId="27">
    <w:name w:val="HTML Definition"/>
    <w:basedOn w:val="23"/>
    <w:qFormat/>
    <w:uiPriority w:val="0"/>
  </w:style>
  <w:style w:type="character" w:styleId="28">
    <w:name w:val="HTML Variable"/>
    <w:basedOn w:val="23"/>
    <w:qFormat/>
    <w:uiPriority w:val="0"/>
  </w:style>
  <w:style w:type="character" w:styleId="29">
    <w:name w:val="Hyperlink"/>
    <w:basedOn w:val="23"/>
    <w:qFormat/>
    <w:uiPriority w:val="0"/>
    <w:rPr>
      <w:color w:val="338DE6"/>
      <w:u w:val="none"/>
    </w:rPr>
  </w:style>
  <w:style w:type="character" w:styleId="30">
    <w:name w:val="HTML Code"/>
    <w:basedOn w:val="23"/>
    <w:qFormat/>
    <w:uiPriority w:val="0"/>
    <w:rPr>
      <w:rFonts w:hint="default" w:ascii="serif" w:hAnsi="serif" w:eastAsia="serif" w:cs="serif"/>
      <w:sz w:val="21"/>
      <w:szCs w:val="21"/>
    </w:rPr>
  </w:style>
  <w:style w:type="character" w:styleId="31">
    <w:name w:val="annotation reference"/>
    <w:basedOn w:val="23"/>
    <w:qFormat/>
    <w:uiPriority w:val="0"/>
    <w:rPr>
      <w:sz w:val="21"/>
      <w:szCs w:val="21"/>
    </w:rPr>
  </w:style>
  <w:style w:type="character" w:styleId="32">
    <w:name w:val="HTML Cite"/>
    <w:basedOn w:val="23"/>
    <w:qFormat/>
    <w:uiPriority w:val="0"/>
  </w:style>
  <w:style w:type="character" w:styleId="33">
    <w:name w:val="HTML Keyboard"/>
    <w:basedOn w:val="23"/>
    <w:qFormat/>
    <w:uiPriority w:val="0"/>
    <w:rPr>
      <w:rFonts w:ascii="serif" w:hAnsi="serif" w:eastAsia="serif" w:cs="serif"/>
      <w:sz w:val="21"/>
      <w:szCs w:val="21"/>
    </w:rPr>
  </w:style>
  <w:style w:type="character" w:styleId="34">
    <w:name w:val="HTML Sample"/>
    <w:basedOn w:val="23"/>
    <w:qFormat/>
    <w:uiPriority w:val="0"/>
    <w:rPr>
      <w:rFonts w:hint="default" w:ascii="serif" w:hAnsi="serif" w:eastAsia="serif" w:cs="serif"/>
      <w:sz w:val="21"/>
      <w:szCs w:val="21"/>
    </w:rPr>
  </w:style>
  <w:style w:type="paragraph" w:customStyle="1" w:styleId="35">
    <w:name w:val="大纲正文"/>
    <w:basedOn w:val="1"/>
    <w:qFormat/>
    <w:uiPriority w:val="0"/>
    <w:pPr>
      <w:adjustRightInd w:val="0"/>
      <w:snapToGrid w:val="0"/>
      <w:spacing w:after="120"/>
    </w:pPr>
    <w:rPr>
      <w:snapToGrid w:val="0"/>
      <w:kern w:val="0"/>
      <w:szCs w:val="20"/>
    </w:rPr>
  </w:style>
  <w:style w:type="character" w:customStyle="1" w:styleId="36">
    <w:name w:val="fontborder"/>
    <w:basedOn w:val="23"/>
    <w:qFormat/>
    <w:uiPriority w:val="0"/>
    <w:rPr>
      <w:bdr w:val="single" w:color="000000" w:sz="6" w:space="0"/>
    </w:rPr>
  </w:style>
  <w:style w:type="character" w:customStyle="1" w:styleId="37">
    <w:name w:val="fontstrikethrough"/>
    <w:basedOn w:val="23"/>
    <w:qFormat/>
    <w:uiPriority w:val="0"/>
    <w:rPr>
      <w:strike/>
    </w:rPr>
  </w:style>
  <w:style w:type="character" w:customStyle="1" w:styleId="38">
    <w:name w:val="price"/>
    <w:basedOn w:val="23"/>
    <w:qFormat/>
    <w:uiPriority w:val="0"/>
  </w:style>
  <w:style w:type="character" w:customStyle="1" w:styleId="39">
    <w:name w:val="country"/>
    <w:basedOn w:val="23"/>
    <w:qFormat/>
    <w:uiPriority w:val="0"/>
  </w:style>
  <w:style w:type="character" w:customStyle="1" w:styleId="40">
    <w:name w:val="normal1"/>
    <w:basedOn w:val="23"/>
    <w:qFormat/>
    <w:uiPriority w:val="0"/>
    <w:rPr>
      <w:b/>
      <w:bCs/>
      <w:sz w:val="19"/>
      <w:szCs w:val="19"/>
    </w:rPr>
  </w:style>
  <w:style w:type="paragraph" w:customStyle="1" w:styleId="41">
    <w:name w:val="报告书正文"/>
    <w:qFormat/>
    <w:uiPriority w:val="0"/>
    <w:pPr>
      <w:widowControl w:val="0"/>
      <w:spacing w:line="360" w:lineRule="auto"/>
      <w:ind w:firstLine="200" w:firstLineChars="200"/>
      <w:jc w:val="both"/>
    </w:pPr>
    <w:rPr>
      <w:rFonts w:ascii="Times New Roman" w:hAnsi="Times New Roman" w:eastAsia="宋体" w:cs="Times New Roman"/>
      <w:kern w:val="2"/>
      <w:sz w:val="24"/>
      <w:szCs w:val="22"/>
      <w:lang w:val="en-US" w:eastAsia="zh-CN" w:bidi="ar-SA"/>
    </w:rPr>
  </w:style>
  <w:style w:type="paragraph" w:customStyle="1" w:styleId="42">
    <w:name w:val="表中字"/>
    <w:qFormat/>
    <w:uiPriority w:val="0"/>
    <w:pPr>
      <w:jc w:val="center"/>
    </w:pPr>
    <w:rPr>
      <w:rFonts w:ascii="Times New Roman" w:hAnsi="Times New Roman" w:eastAsia="宋体" w:cs="Times New Roman"/>
      <w:kern w:val="2"/>
      <w:sz w:val="24"/>
      <w:szCs w:val="24"/>
      <w:lang w:val="en-US" w:eastAsia="zh-CN" w:bidi="ar-SA"/>
    </w:rPr>
  </w:style>
  <w:style w:type="paragraph" w:customStyle="1" w:styleId="43">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customStyle="1" w:styleId="44">
    <w:name w:val="表题"/>
    <w:basedOn w:val="9"/>
    <w:qFormat/>
    <w:uiPriority w:val="0"/>
    <w:pPr>
      <w:spacing w:line="360" w:lineRule="auto"/>
      <w:ind w:firstLine="200" w:firstLineChars="200"/>
      <w:jc w:val="both"/>
    </w:pPr>
    <w:rPr>
      <w:rFonts w:ascii="黑体" w:eastAsia="黑体" w:cs="黑体"/>
      <w:smallCaps w:val="0"/>
      <w:color w:val="000000"/>
      <w:sz w:val="24"/>
      <w:szCs w:val="24"/>
    </w:rPr>
  </w:style>
  <w:style w:type="paragraph" w:customStyle="1" w:styleId="45">
    <w:name w:val="表格内2"/>
    <w:basedOn w:val="35"/>
    <w:qFormat/>
    <w:uiPriority w:val="0"/>
    <w:pPr>
      <w:framePr w:wrap="notBeside" w:vAnchor="text" w:hAnchor="text" w:y="1"/>
      <w:spacing w:after="0" w:line="240" w:lineRule="auto"/>
      <w:ind w:firstLine="0" w:firstLineChars="0"/>
      <w:jc w:val="center"/>
    </w:pPr>
    <w:rPr>
      <w:rFonts w:cs="Times New Roman"/>
      <w:sz w:val="21"/>
      <w:szCs w:val="21"/>
    </w:rPr>
  </w:style>
  <w:style w:type="paragraph" w:customStyle="1" w:styleId="46">
    <w:name w:val="表格前后"/>
    <w:basedOn w:val="1"/>
    <w:qFormat/>
    <w:uiPriority w:val="0"/>
    <w:pPr>
      <w:spacing w:beforeLines="30" w:afterLines="30" w:line="160" w:lineRule="exact"/>
      <w:ind w:firstLine="420" w:firstLineChars="0"/>
    </w:pPr>
    <w:rPr>
      <w:sz w:val="21"/>
      <w:szCs w:val="28"/>
    </w:rPr>
  </w:style>
  <w:style w:type="paragraph" w:customStyle="1" w:styleId="47">
    <w:name w:val="标题3"/>
    <w:next w:val="1"/>
    <w:qFormat/>
    <w:uiPriority w:val="99"/>
    <w:pPr>
      <w:spacing w:beforeLines="50" w:line="360" w:lineRule="auto"/>
      <w:jc w:val="both"/>
      <w:outlineLvl w:val="2"/>
    </w:pPr>
    <w:rPr>
      <w:rFonts w:ascii="Times New Roman" w:hAnsi="Times New Roman" w:eastAsia="宋体" w:cs="Times New Roman"/>
      <w:b/>
      <w:kern w:val="2"/>
      <w:sz w:val="28"/>
      <w:szCs w:val="24"/>
      <w:lang w:val="en-US" w:eastAsia="zh-CN" w:bidi="ar-SA"/>
    </w:rPr>
  </w:style>
  <w:style w:type="paragraph" w:customStyle="1" w:styleId="48">
    <w:name w:val="表头"/>
    <w:next w:val="1"/>
    <w:qFormat/>
    <w:uiPriority w:val="0"/>
    <w:pPr>
      <w:spacing w:beforeLines="50"/>
      <w:jc w:val="center"/>
    </w:pPr>
    <w:rPr>
      <w:rFonts w:ascii="Times New Roman" w:hAnsi="Times New Roman" w:eastAsia="宋体" w:cs="Times New Roman"/>
      <w:b/>
      <w:kern w:val="2"/>
      <w:sz w:val="21"/>
      <w:szCs w:val="24"/>
      <w:lang w:val="en-US" w:eastAsia="zh-CN" w:bidi="ar-SA"/>
    </w:rPr>
  </w:style>
  <w:style w:type="character" w:customStyle="1" w:styleId="49">
    <w:name w:val="zw1"/>
    <w:basedOn w:val="23"/>
    <w:qFormat/>
    <w:uiPriority w:val="0"/>
    <w:rPr>
      <w:rFonts w:ascii="宋体" w:eastAsia="宋体"/>
      <w:sz w:val="22"/>
      <w:szCs w:val="22"/>
    </w:rPr>
  </w:style>
  <w:style w:type="paragraph" w:customStyle="1" w:styleId="50">
    <w:name w:val="标题2"/>
    <w:next w:val="1"/>
    <w:qFormat/>
    <w:uiPriority w:val="0"/>
    <w:pPr>
      <w:spacing w:beforeLines="50" w:afterLines="50" w:line="360" w:lineRule="auto"/>
      <w:outlineLvl w:val="1"/>
    </w:pPr>
    <w:rPr>
      <w:rFonts w:ascii="Times New Roman" w:hAnsi="Times New Roman" w:eastAsia="宋体" w:cs="Times New Roman"/>
      <w:b/>
      <w:kern w:val="2"/>
      <w:sz w:val="30"/>
      <w:szCs w:val="24"/>
      <w:lang w:val="en-US" w:eastAsia="zh-CN" w:bidi="ar-SA"/>
    </w:rPr>
  </w:style>
  <w:style w:type="paragraph" w:customStyle="1" w:styleId="51">
    <w:name w:val="标题1"/>
    <w:next w:val="1"/>
    <w:qFormat/>
    <w:uiPriority w:val="0"/>
    <w:pPr>
      <w:spacing w:beforeLines="50" w:afterLines="50" w:line="360" w:lineRule="auto"/>
      <w:jc w:val="center"/>
      <w:outlineLvl w:val="0"/>
    </w:pPr>
    <w:rPr>
      <w:rFonts w:ascii="Times New Roman" w:hAnsi="Times New Roman" w:eastAsia="宋体" w:cs="Times New Roman"/>
      <w:b/>
      <w:kern w:val="2"/>
      <w:sz w:val="32"/>
      <w:szCs w:val="24"/>
      <w:lang w:val="en-US" w:eastAsia="zh-CN" w:bidi="ar-SA"/>
    </w:rPr>
  </w:style>
  <w:style w:type="paragraph" w:customStyle="1" w:styleId="52">
    <w:name w:val="表格内容"/>
    <w:basedOn w:val="1"/>
    <w:qFormat/>
    <w:uiPriority w:val="0"/>
    <w:pPr>
      <w:spacing w:line="240" w:lineRule="auto"/>
      <w:ind w:firstLine="0" w:firstLineChars="0"/>
      <w:jc w:val="center"/>
    </w:pPr>
    <w:rPr>
      <w:kern w:val="0"/>
      <w:sz w:val="21"/>
      <w:szCs w:val="21"/>
    </w:rPr>
  </w:style>
  <w:style w:type="paragraph" w:customStyle="1" w:styleId="53">
    <w:name w:val="列出段落1"/>
    <w:basedOn w:val="1"/>
    <w:qFormat/>
    <w:uiPriority w:val="0"/>
    <w:pPr>
      <w:ind w:firstLine="0" w:firstLineChars="0"/>
    </w:pPr>
    <w:rPr>
      <w:rFonts w:cs="Arial"/>
    </w:rPr>
  </w:style>
  <w:style w:type="paragraph" w:customStyle="1" w:styleId="54">
    <w:name w:val="正文(首行缩进)"/>
    <w:basedOn w:val="1"/>
    <w:qFormat/>
    <w:uiPriority w:val="0"/>
    <w:pPr>
      <w:ind w:firstLine="510"/>
    </w:pPr>
    <w:rPr>
      <w:rFonts w:ascii="宋体" w:hAnsi="宋体"/>
      <w:snapToGrid w:val="0"/>
    </w:rPr>
  </w:style>
  <w:style w:type="paragraph" w:customStyle="1" w:styleId="55">
    <w:name w:val="风险4"/>
    <w:next w:val="1"/>
    <w:qFormat/>
    <w:uiPriority w:val="0"/>
    <w:pPr>
      <w:spacing w:line="360" w:lineRule="auto"/>
      <w:jc w:val="both"/>
      <w:outlineLvl w:val="3"/>
    </w:pPr>
    <w:rPr>
      <w:rFonts w:ascii="Times New Roman" w:hAnsi="Times New Roman" w:eastAsia="宋体" w:cs="Times New Roman"/>
      <w:b/>
      <w:kern w:val="2"/>
      <w:sz w:val="24"/>
      <w:szCs w:val="24"/>
      <w:lang w:val="en-US" w:eastAsia="zh-CN" w:bidi="ar-SA"/>
    </w:rPr>
  </w:style>
  <w:style w:type="paragraph" w:customStyle="1" w:styleId="56">
    <w:name w:val="表格文字"/>
    <w:basedOn w:val="1"/>
    <w:qFormat/>
    <w:uiPriority w:val="0"/>
    <w:pPr>
      <w:adjustRightInd w:val="0"/>
      <w:snapToGrid w:val="0"/>
      <w:spacing w:line="240" w:lineRule="auto"/>
      <w:ind w:firstLine="0" w:firstLineChars="0"/>
      <w:jc w:val="center"/>
    </w:pPr>
    <w:rPr>
      <w:sz w:val="21"/>
    </w:rPr>
  </w:style>
  <w:style w:type="character" w:customStyle="1" w:styleId="57">
    <w:name w:val="批注框文本 Char"/>
    <w:basedOn w:val="23"/>
    <w:link w:val="14"/>
    <w:qFormat/>
    <w:uiPriority w:val="0"/>
    <w:rPr>
      <w:rFonts w:cs="宋体"/>
      <w:smallCaps/>
      <w:kern w:val="2"/>
      <w:sz w:val="18"/>
      <w:szCs w:val="18"/>
    </w:rPr>
  </w:style>
  <w:style w:type="paragraph" w:customStyle="1" w:styleId="58">
    <w:name w:val="Normal"/>
    <w:qFormat/>
    <w:uiPriority w:val="0"/>
    <w:pPr>
      <w:jc w:val="both"/>
    </w:pPr>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17.jpeg"/><Relationship Id="rId33" Type="http://schemas.openxmlformats.org/officeDocument/2006/relationships/image" Target="media/image16.png"/><Relationship Id="rId32" Type="http://schemas.openxmlformats.org/officeDocument/2006/relationships/image" Target="media/image15.jpeg"/><Relationship Id="rId31" Type="http://schemas.openxmlformats.org/officeDocument/2006/relationships/image" Target="media/image14.png"/><Relationship Id="rId30" Type="http://schemas.openxmlformats.org/officeDocument/2006/relationships/image" Target="media/image13.png"/><Relationship Id="rId3" Type="http://schemas.openxmlformats.org/officeDocument/2006/relationships/footnotes" Target="footnotes.xml"/><Relationship Id="rId29" Type="http://schemas.openxmlformats.org/officeDocument/2006/relationships/image" Target="media/image12.jpeg"/><Relationship Id="rId28" Type="http://schemas.openxmlformats.org/officeDocument/2006/relationships/image" Target="media/image11.png"/><Relationship Id="rId27" Type="http://schemas.openxmlformats.org/officeDocument/2006/relationships/image" Target="media/image10.png"/><Relationship Id="rId26" Type="http://schemas.openxmlformats.org/officeDocument/2006/relationships/image" Target="media/image9.png"/><Relationship Id="rId25" Type="http://schemas.openxmlformats.org/officeDocument/2006/relationships/image" Target="media/image8.png"/><Relationship Id="rId24" Type="http://schemas.openxmlformats.org/officeDocument/2006/relationships/image" Target="media/image7.png"/><Relationship Id="rId23" Type="http://schemas.openxmlformats.org/officeDocument/2006/relationships/image" Target="media/image6.png"/><Relationship Id="rId22" Type="http://schemas.openxmlformats.org/officeDocument/2006/relationships/image" Target="media/image5.wmf"/><Relationship Id="rId21" Type="http://schemas.openxmlformats.org/officeDocument/2006/relationships/oleObject" Target="embeddings/oleObject4.bin"/><Relationship Id="rId20" Type="http://schemas.openxmlformats.org/officeDocument/2006/relationships/image" Target="media/image4.e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3.emf"/><Relationship Id="rId17" Type="http://schemas.openxmlformats.org/officeDocument/2006/relationships/oleObject" Target="embeddings/oleObject2.bin"/><Relationship Id="rId16" Type="http://schemas.openxmlformats.org/officeDocument/2006/relationships/image" Target="media/image2.emf"/><Relationship Id="rId15" Type="http://schemas.openxmlformats.org/officeDocument/2006/relationships/oleObject" Target="embeddings/oleObject1.bin"/><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2049"/>
    <customShpInfo spid="_x0000_s1026"/>
    <customShpInfo spid="_x0000_s1053"/>
    <customShpInfo spid="_x0000_s1052"/>
    <customShpInfo spid="_x0000_s1047"/>
    <customShpInfo spid="_x0000_s1046"/>
    <customShpInfo spid="_x0000_s1045"/>
    <customShpInfo spid="_x0000_s1044"/>
    <customShpInfo spid="_x0000_s1043"/>
    <customShpInfo spid="_x0000_s1042"/>
    <customShpInfo spid="_x0000_s1041"/>
    <customShpInfo spid="_x0000_s1040"/>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9"/>
    <customShpInfo spid="_x0000_s1028"/>
    <customShpInfo spid="_x0000_s1027"/>
    <customShpInfo spid="_x0000_s1068"/>
    <customShpInfo spid="_x0000_s1067"/>
    <customShpInfo spid="_x0000_s1066"/>
    <customShpInfo spid="_x0000_s1065"/>
    <customShpInfo spid="_x0000_s1064"/>
    <customShpInfo spid="_x0000_s1063"/>
    <customShpInfo spid="_x0000_s1062"/>
    <customShpInfo spid="_x0000_s1061"/>
    <customShpInfo spid="_x0000_s1060"/>
    <customShpInfo spid="_x0000_s1059"/>
    <customShpInfo spid="_x0000_s1058"/>
    <customShpInfo spid="_x0000_s1057"/>
    <customShpInfo spid="_x0000_s1056"/>
    <customShpInfo spid="_x0000_s1055"/>
    <customShpInfo spid="_x0000_s1054"/>
    <customShpInfo spid="_x0000_s1086"/>
    <customShpInfo spid="_x0000_s1090"/>
    <customShpInfo spid="_x0000_s1079"/>
    <customShpInfo spid="_x0000_s1089"/>
    <customShpInfo spid="_x0000_s1088"/>
    <customShpInfo spid="_x0000_s1084"/>
    <customShpInfo spid="_x0000_s1083"/>
    <customShpInfo spid="_x0000_s1082"/>
    <customShpInfo spid="_x0000_s1081"/>
    <customShpInfo spid="_x0000_s1080"/>
    <customShpInfo spid="_x0000_s1078"/>
    <customShpInfo spid="_x0000_s1077"/>
    <customShpInfo spid="_x0000_s1076"/>
    <customShpInfo spid="_x0000_s1075"/>
    <customShpInfo spid="_x0000_s1074"/>
    <customShpInfo spid="_x0000_s1073"/>
    <customShpInfo spid="_x0000_s1072"/>
    <customShpInfo spid="_x0000_s1070"/>
    <customShpInfo spid="_x0000_s1071"/>
    <customShpInfo spid="_x0000_s1092"/>
    <customShpInfo spid="_x0000_s109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560953D-D63C-4ABD-B546-61080B459086}">
  <ds:schemaRefs/>
</ds:datastoreItem>
</file>

<file path=docProps/app.xml><?xml version="1.0" encoding="utf-8"?>
<Properties xmlns="http://schemas.openxmlformats.org/officeDocument/2006/extended-properties" xmlns:vt="http://schemas.openxmlformats.org/officeDocument/2006/docPropsVTypes">
  <Template>Normal.dotm</Template>
  <Pages>68</Pages>
  <Words>6633</Words>
  <Characters>37812</Characters>
  <Lines>315</Lines>
  <Paragraphs>88</Paragraphs>
  <TotalTime>5</TotalTime>
  <ScaleCrop>false</ScaleCrop>
  <LinksUpToDate>false</LinksUpToDate>
  <CharactersWithSpaces>44357</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2021-06-09T08:36:00Z</dcterms:created>
  <dc:creator>Administrator</dc:creator>
  <cp:lastModifiedBy>大江很好吃。</cp:lastModifiedBy>
  <dcterms:modified xsi:type="dcterms:W3CDTF">2021-12-10T01:05:55Z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EABD89D876B44297A92D521B27927B99</vt:lpwstr>
  </property>
</Properties>
</file>