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180" w:lineRule="atLeast"/>
        <w:jc w:val="center"/>
        <w:textAlignment w:val="auto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湖口县金砂湾工业园集中污水处理厂突发环境事件应急预案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复核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意见修改表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561"/>
        <w:gridCol w:w="2839"/>
        <w:gridCol w:w="25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16" w:type="pct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916" w:type="pct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666" w:type="pct"/>
            <w:vAlign w:val="center"/>
          </w:tcPr>
          <w:p>
            <w:pPr>
              <w:spacing w:after="0"/>
              <w:jc w:val="center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eastAsia="仿宋_GB2312"/>
                <w:b/>
                <w:bCs/>
                <w:sz w:val="24"/>
                <w:szCs w:val="22"/>
              </w:rPr>
              <w:t>企业名称</w:t>
            </w:r>
          </w:p>
        </w:tc>
        <w:tc>
          <w:tcPr>
            <w:tcW w:w="1501" w:type="pct"/>
            <w:vAlign w:val="center"/>
          </w:tcPr>
          <w:p>
            <w:pPr>
              <w:spacing w:after="0"/>
              <w:jc w:val="center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  <w:szCs w:val="22"/>
              </w:rPr>
              <w:t>湖口县金砂湾工业园集中污水处理厂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6" w:type="pct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916" w:type="pct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>
            <w:pPr>
              <w:spacing w:after="0"/>
              <w:jc w:val="center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  <w:szCs w:val="22"/>
                <w:lang w:eastAsia="zh-CN"/>
              </w:rPr>
              <w:t>复核</w:t>
            </w:r>
            <w:r>
              <w:rPr>
                <w:rFonts w:eastAsia="仿宋_GB2312"/>
                <w:b/>
                <w:bCs/>
                <w:sz w:val="24"/>
                <w:szCs w:val="22"/>
              </w:rPr>
              <w:t>意见</w:t>
            </w:r>
          </w:p>
        </w:tc>
        <w:tc>
          <w:tcPr>
            <w:tcW w:w="1501" w:type="pct"/>
            <w:vAlign w:val="center"/>
          </w:tcPr>
          <w:p>
            <w:pPr>
              <w:spacing w:after="0"/>
              <w:jc w:val="center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eastAsia="仿宋_GB2312"/>
                <w:b/>
                <w:bCs/>
                <w:sz w:val="24"/>
                <w:szCs w:val="22"/>
              </w:rPr>
              <w:t>修改对照</w:t>
            </w:r>
            <w:bookmarkStart w:id="0" w:name="_GoBack"/>
            <w:bookmarkEnd w:id="0"/>
            <w:r>
              <w:rPr>
                <w:rFonts w:eastAsia="仿宋_GB2312"/>
                <w:b/>
                <w:bCs/>
                <w:sz w:val="24"/>
                <w:szCs w:val="22"/>
              </w:rPr>
              <w:t>内容说明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  <w:jc w:val="center"/>
        </w:trPr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应急预案</w:t>
            </w:r>
          </w:p>
        </w:tc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pct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核实备案表单位名称；完善更新编制依据；在编制说明中补充本次修订原由及主要内容；进一步完善组织机构;完善应急监测计划、应急培训和演练的相关内容。核实污水处理厂的处理能力，明确预案范围；</w:t>
            </w:r>
          </w:p>
        </w:tc>
        <w:tc>
          <w:tcPr>
            <w:tcW w:w="1501" w:type="pct"/>
            <w:vAlign w:val="center"/>
          </w:tcPr>
          <w:p>
            <w:pPr>
              <w:spacing w:after="0" w:line="220" w:lineRule="atLeas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已核实备案表单位名称（</w:t>
            </w:r>
            <w:r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详见备案表</w:t>
            </w: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  <w:p>
            <w:pPr>
              <w:pStyle w:val="8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已完善应急预案编制依据（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详见P1，P2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  <w:p>
            <w:pPr>
              <w:pStyle w:val="2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已在编制说明中补充本次修订原由及主要内容（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详见编制说明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hAnsi="宋体" w:cs="Times New Roman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  <w:p>
            <w:pPr>
              <w:pStyle w:val="8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已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完善组织机构（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</w:t>
            </w:r>
            <w:r>
              <w:rPr>
                <w:rFonts w:hint="eastAsia" w:ascii="宋体" w:hAnsi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P19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  <w:p>
            <w:pPr>
              <w:pStyle w:val="2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已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完善应急监测计划、应急培训和演练的相关内容（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</w:t>
            </w:r>
            <w:r>
              <w:rPr>
                <w:rFonts w:hint="eastAsia" w:ascii="宋体" w:hAnsi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P35，P36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  <w:p>
            <w:pPr>
              <w:pStyle w:val="2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已核实污水处理厂的处理能力，明确预案范围（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详见P3，P8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  <w:jc w:val="center"/>
        </w:trPr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风险评估报告</w:t>
            </w:r>
          </w:p>
        </w:tc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pct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完善500米和5公里范围内环境风险敏感受体调查统计和近三年环保处罚情况；进一步完善企业已经采取的环境风险防控与应急措施差距分析，细化需要整改的短期、中期和长期计划内容。</w:t>
            </w:r>
          </w:p>
        </w:tc>
        <w:tc>
          <w:tcPr>
            <w:tcW w:w="1501" w:type="pct"/>
            <w:vAlign w:val="center"/>
          </w:tcPr>
          <w:p>
            <w:pPr>
              <w:spacing w:after="0" w:line="220" w:lineRule="atLeas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已完善500米和5公里范围内环境风险敏感受体调查统计和近三年环保处罚情况（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详见P22，P23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已完善企业已经采取的环境风险防控与应急措施差距分析，细化需要整改的短期、中期和长期计划内容。（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详见P35-P38，P40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应急资源调查报告</w:t>
            </w:r>
          </w:p>
        </w:tc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pct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根据《环境应急资源调查指南(试行)》（环办应急[2019]17号）的要求，完善需补充的应急物资；对现有的应急物资保管人设置A、B岗，完善外部通讯联络方式。补充与其他组织或单位签订应急救援协议或互救协议；优化应急体系组织机构，完善职责分工，补充与园区、政府、上级预案的衔接，体现分级响应措施。</w:t>
            </w:r>
          </w:p>
        </w:tc>
        <w:tc>
          <w:tcPr>
            <w:tcW w:w="15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已完善需补充的应急资源.（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lang w:val="en-US" w:eastAsia="zh-CN"/>
              </w:rPr>
              <w:t>详见P7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已设置A、B岗，完善外部通讯联络方式。（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lang w:val="en-US" w:eastAsia="zh-CN"/>
              </w:rPr>
              <w:t>详见P8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已经注明需要</w:t>
            </w:r>
            <w:r>
              <w:rPr>
                <w:rFonts w:hint="eastAsia" w:ascii="宋体" w:hAnsi="宋体" w:eastAsia="宋体" w:cs="Times New Roman"/>
                <w:szCs w:val="21"/>
              </w:rPr>
              <w:t>补充与其他组织或单位签订应急救援协议或互救协议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eastAsia="zh-CN"/>
              </w:rPr>
              <w:t>详见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CN"/>
              </w:rPr>
              <w:t>P11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）。</w:t>
            </w:r>
          </w:p>
          <w:p>
            <w:pPr>
              <w:pStyle w:val="2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优化应急体系组织机构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完善职责分工，补充与园区、政府、上级预案的衔接，体现分级响应措施。（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详见应急预案，P30-P35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916" w:type="pct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pct"/>
            <w:vAlign w:val="center"/>
          </w:tcPr>
          <w:p>
            <w:pPr>
              <w:spacing w:after="0" w:line="220" w:lineRule="atLeast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 xml:space="preserve">补充完善重要阀门图、应急疏散图、应急物资分布图、环境风险受体分布图。 </w:t>
            </w:r>
          </w:p>
        </w:tc>
        <w:tc>
          <w:tcPr>
            <w:tcW w:w="1501" w:type="pct"/>
            <w:vAlign w:val="center"/>
          </w:tcPr>
          <w:p>
            <w:pPr>
              <w:spacing w:after="0" w:line="220" w:lineRule="atLeast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补充</w:t>
            </w:r>
            <w:r>
              <w:rPr>
                <w:rFonts w:hint="eastAsia" w:ascii="宋体" w:hAnsi="宋体" w:eastAsia="宋体" w:cs="Times New Roman"/>
                <w:szCs w:val="21"/>
              </w:rPr>
              <w:t>重要阀门图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紧急疏散图、应急物资分布图、环境风险受体分布图。（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lang w:val="en-US" w:eastAsia="zh-CN"/>
              </w:rPr>
              <w:t>详见风险评估P64，应急预案P57,风险评估P61，P65，P66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）</w:t>
            </w:r>
          </w:p>
          <w:p>
            <w:pPr>
              <w:spacing w:after="0" w:line="220" w:lineRule="atLeast"/>
              <w:rPr>
                <w:rFonts w:hint="default" w:asciiTheme="minorEastAsia" w:hAnsiTheme="minorEastAsia" w:eastAsiaTheme="minorEastAsia"/>
                <w:sz w:val="28"/>
                <w:szCs w:val="28"/>
                <w:lang w:val="en-US"/>
              </w:rPr>
            </w:pPr>
          </w:p>
        </w:tc>
      </w:tr>
    </w:tbl>
    <w:p>
      <w:pPr>
        <w:spacing w:line="220" w:lineRule="atLeast"/>
        <w:rPr>
          <w:rFonts w:asciiTheme="minorEastAsia" w:hAnsiTheme="minorEastAsia" w:eastAsiaTheme="minorEastAsia"/>
          <w:sz w:val="36"/>
          <w:szCs w:val="36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4195"/>
    <w:rsid w:val="00015725"/>
    <w:rsid w:val="00035A49"/>
    <w:rsid w:val="00052883"/>
    <w:rsid w:val="001304AF"/>
    <w:rsid w:val="00152D0D"/>
    <w:rsid w:val="002774FA"/>
    <w:rsid w:val="002D4B6F"/>
    <w:rsid w:val="002F7214"/>
    <w:rsid w:val="00323B43"/>
    <w:rsid w:val="003D37D8"/>
    <w:rsid w:val="003D56C5"/>
    <w:rsid w:val="00426133"/>
    <w:rsid w:val="004358AB"/>
    <w:rsid w:val="00480F58"/>
    <w:rsid w:val="004C34E1"/>
    <w:rsid w:val="005740FB"/>
    <w:rsid w:val="005B1053"/>
    <w:rsid w:val="00636857"/>
    <w:rsid w:val="006527CA"/>
    <w:rsid w:val="007C1286"/>
    <w:rsid w:val="007D4333"/>
    <w:rsid w:val="008978AF"/>
    <w:rsid w:val="008B73F7"/>
    <w:rsid w:val="008B7726"/>
    <w:rsid w:val="009261F0"/>
    <w:rsid w:val="0098072B"/>
    <w:rsid w:val="009A045C"/>
    <w:rsid w:val="00AD221F"/>
    <w:rsid w:val="00AF58B5"/>
    <w:rsid w:val="00B53BFF"/>
    <w:rsid w:val="00B66F94"/>
    <w:rsid w:val="00BC2817"/>
    <w:rsid w:val="00C35BAE"/>
    <w:rsid w:val="00C452D8"/>
    <w:rsid w:val="00C54085"/>
    <w:rsid w:val="00C848B5"/>
    <w:rsid w:val="00CA2989"/>
    <w:rsid w:val="00D31D50"/>
    <w:rsid w:val="00DB306A"/>
    <w:rsid w:val="00DE0245"/>
    <w:rsid w:val="00DF09DE"/>
    <w:rsid w:val="00E5720D"/>
    <w:rsid w:val="00EC1D61"/>
    <w:rsid w:val="00F469CD"/>
    <w:rsid w:val="00FC5B32"/>
    <w:rsid w:val="01E46D89"/>
    <w:rsid w:val="02A14C7A"/>
    <w:rsid w:val="04626E60"/>
    <w:rsid w:val="04686D64"/>
    <w:rsid w:val="06981417"/>
    <w:rsid w:val="072541B3"/>
    <w:rsid w:val="0923122F"/>
    <w:rsid w:val="0974738D"/>
    <w:rsid w:val="097529BD"/>
    <w:rsid w:val="0B10772A"/>
    <w:rsid w:val="0B6B7582"/>
    <w:rsid w:val="0C0E72BF"/>
    <w:rsid w:val="1044191B"/>
    <w:rsid w:val="1099182F"/>
    <w:rsid w:val="11647AA3"/>
    <w:rsid w:val="11B14FC2"/>
    <w:rsid w:val="14C90703"/>
    <w:rsid w:val="157E0E4B"/>
    <w:rsid w:val="15FB3458"/>
    <w:rsid w:val="17292377"/>
    <w:rsid w:val="17912F8D"/>
    <w:rsid w:val="18B6646F"/>
    <w:rsid w:val="192B3098"/>
    <w:rsid w:val="1D2A4DB9"/>
    <w:rsid w:val="1F0E6844"/>
    <w:rsid w:val="1FB45B95"/>
    <w:rsid w:val="22430471"/>
    <w:rsid w:val="238C4882"/>
    <w:rsid w:val="249762FF"/>
    <w:rsid w:val="298C6D61"/>
    <w:rsid w:val="2AD105A6"/>
    <w:rsid w:val="2E565141"/>
    <w:rsid w:val="3058256D"/>
    <w:rsid w:val="30CF7679"/>
    <w:rsid w:val="319C46DB"/>
    <w:rsid w:val="330918AD"/>
    <w:rsid w:val="370C5E5F"/>
    <w:rsid w:val="37F265C3"/>
    <w:rsid w:val="38F760D9"/>
    <w:rsid w:val="39C534FE"/>
    <w:rsid w:val="3A6C030E"/>
    <w:rsid w:val="3A73157E"/>
    <w:rsid w:val="3AFD6CDB"/>
    <w:rsid w:val="3BF922D3"/>
    <w:rsid w:val="3E255688"/>
    <w:rsid w:val="40AD420F"/>
    <w:rsid w:val="41F63774"/>
    <w:rsid w:val="44AE3635"/>
    <w:rsid w:val="45A3327F"/>
    <w:rsid w:val="45E71F71"/>
    <w:rsid w:val="48403BBB"/>
    <w:rsid w:val="48497CE0"/>
    <w:rsid w:val="4B2C5697"/>
    <w:rsid w:val="4CB46925"/>
    <w:rsid w:val="4F455D17"/>
    <w:rsid w:val="50BB64D4"/>
    <w:rsid w:val="50E20CD2"/>
    <w:rsid w:val="52646244"/>
    <w:rsid w:val="54FD3079"/>
    <w:rsid w:val="555310BF"/>
    <w:rsid w:val="558D41B7"/>
    <w:rsid w:val="56340391"/>
    <w:rsid w:val="56CB310E"/>
    <w:rsid w:val="584A6390"/>
    <w:rsid w:val="58C26F88"/>
    <w:rsid w:val="59262959"/>
    <w:rsid w:val="59F63D23"/>
    <w:rsid w:val="5B691245"/>
    <w:rsid w:val="658729D1"/>
    <w:rsid w:val="68DD23BC"/>
    <w:rsid w:val="691E3A24"/>
    <w:rsid w:val="6B867814"/>
    <w:rsid w:val="6D125276"/>
    <w:rsid w:val="7091729B"/>
    <w:rsid w:val="7B7D7AFD"/>
    <w:rsid w:val="7C144761"/>
    <w:rsid w:val="7CDC76B4"/>
    <w:rsid w:val="7F3A7687"/>
    <w:rsid w:val="7FA618F5"/>
    <w:rsid w:val="7FC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 First Indent 2"/>
    <w:basedOn w:val="1"/>
    <w:next w:val="1"/>
    <w:qFormat/>
    <w:uiPriority w:val="99"/>
    <w:pPr>
      <w:spacing w:after="0" w:line="300" w:lineRule="auto"/>
      <w:ind w:left="0" w:leftChars="0" w:firstLine="567" w:firstLineChars="0"/>
    </w:pPr>
    <w:rPr>
      <w:rFonts w:ascii="仿宋_GB2312" w:eastAsia="仿宋_GB2312" w:cs="仿宋_GB2312"/>
      <w:smallCaps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8">
    <w:name w:val="表中字"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553456-F97E-4F7B-A494-B0B15B5E8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563</Characters>
  <Lines>4</Lines>
  <Paragraphs>1</Paragraphs>
  <TotalTime>6</TotalTime>
  <ScaleCrop>false</ScaleCrop>
  <LinksUpToDate>false</LinksUpToDate>
  <CharactersWithSpaces>660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尹天翔</cp:lastModifiedBy>
  <cp:lastPrinted>2018-10-17T05:47:00Z</cp:lastPrinted>
  <dcterms:modified xsi:type="dcterms:W3CDTF">2021-12-09T12:39:14Z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8247D184C9264C488FBEDD4E39293774</vt:lpwstr>
  </property>
</Properties>
</file>