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0"/>
        <w:ind w:right="0"/>
        <w:jc w:val="center"/>
        <w:rPr>
          <w:rFonts w:hint="eastAsia" w:ascii="宋体" w:hAnsi="宋体" w:eastAsia="宋体" w:cs="宋体"/>
          <w:b/>
          <w:bCs/>
          <w:w w:val="110"/>
          <w:sz w:val="44"/>
          <w:szCs w:val="44"/>
        </w:rPr>
      </w:pPr>
      <w:r>
        <w:rPr>
          <w:rFonts w:hint="eastAsia" w:ascii="宋体" w:hAnsi="宋体" w:eastAsia="宋体" w:cs="宋体"/>
          <w:b/>
          <w:bCs/>
          <w:color w:val="auto"/>
          <w:spacing w:val="-8"/>
          <w:sz w:val="44"/>
          <w:szCs w:val="44"/>
        </w:rPr>
        <w:t>乔旭（九江）企业有限公司</w:t>
      </w:r>
      <w:r>
        <w:rPr>
          <w:rFonts w:hint="eastAsia" w:ascii="宋体" w:hAnsi="宋体" w:eastAsia="宋体" w:cs="宋体"/>
          <w:b/>
          <w:bCs/>
          <w:w w:val="110"/>
          <w:sz w:val="44"/>
          <w:szCs w:val="44"/>
        </w:rPr>
        <w:t>环境</w:t>
      </w:r>
    </w:p>
    <w:p>
      <w:pPr>
        <w:spacing w:before="40"/>
        <w:ind w:right="0"/>
        <w:jc w:val="center"/>
        <w:rPr>
          <w:rFonts w:hint="eastAsia" w:ascii="宋体" w:hAnsi="宋体" w:eastAsia="宋体" w:cs="宋体"/>
          <w:b/>
          <w:bCs/>
          <w:sz w:val="44"/>
          <w:szCs w:val="44"/>
        </w:rPr>
      </w:pPr>
      <w:r>
        <w:rPr>
          <w:rFonts w:hint="eastAsia" w:ascii="宋体" w:hAnsi="宋体" w:eastAsia="宋体" w:cs="宋体"/>
          <w:b/>
          <w:bCs/>
          <w:w w:val="110"/>
          <w:sz w:val="44"/>
          <w:szCs w:val="44"/>
        </w:rPr>
        <w:t>风险评估报告</w:t>
      </w:r>
    </w:p>
    <w:p>
      <w:pPr>
        <w:pStyle w:val="6"/>
        <w:rPr>
          <w:rFonts w:hint="eastAsia" w:ascii="宋体" w:hAnsi="宋体" w:eastAsia="宋体" w:cs="宋体"/>
          <w:sz w:val="52"/>
        </w:rPr>
      </w:pPr>
    </w:p>
    <w:p>
      <w:pPr>
        <w:pStyle w:val="6"/>
        <w:rPr>
          <w:rFonts w:hint="eastAsia" w:ascii="宋体" w:hAnsi="宋体" w:eastAsia="宋体" w:cs="宋体"/>
          <w:sz w:val="52"/>
        </w:rPr>
      </w:pPr>
    </w:p>
    <w:p>
      <w:pPr>
        <w:pStyle w:val="6"/>
        <w:rPr>
          <w:rFonts w:hint="eastAsia" w:ascii="宋体" w:hAnsi="宋体" w:eastAsia="宋体" w:cs="宋体"/>
          <w:sz w:val="52"/>
        </w:rPr>
      </w:pPr>
    </w:p>
    <w:p>
      <w:pPr>
        <w:pStyle w:val="6"/>
        <w:rPr>
          <w:rFonts w:hint="eastAsia" w:ascii="宋体" w:hAnsi="宋体" w:eastAsia="宋体" w:cs="宋体"/>
          <w:sz w:val="52"/>
        </w:rPr>
      </w:pPr>
    </w:p>
    <w:p>
      <w:pPr>
        <w:pStyle w:val="6"/>
        <w:rPr>
          <w:rFonts w:hint="eastAsia" w:ascii="宋体" w:hAnsi="宋体" w:eastAsia="宋体" w:cs="宋体"/>
          <w:sz w:val="52"/>
        </w:rPr>
      </w:pPr>
    </w:p>
    <w:p>
      <w:pPr>
        <w:pStyle w:val="6"/>
        <w:rPr>
          <w:rFonts w:hint="eastAsia" w:ascii="宋体" w:hAnsi="宋体" w:eastAsia="宋体" w:cs="宋体"/>
          <w:sz w:val="52"/>
        </w:rPr>
      </w:pPr>
    </w:p>
    <w:p>
      <w:pPr>
        <w:pStyle w:val="6"/>
        <w:rPr>
          <w:rFonts w:hint="eastAsia" w:ascii="宋体" w:hAnsi="宋体" w:eastAsia="宋体" w:cs="宋体"/>
          <w:sz w:val="52"/>
        </w:rPr>
      </w:pPr>
    </w:p>
    <w:p>
      <w:pPr>
        <w:pStyle w:val="6"/>
        <w:rPr>
          <w:rFonts w:hint="eastAsia" w:ascii="宋体" w:hAnsi="宋体" w:eastAsia="宋体" w:cs="宋体"/>
          <w:sz w:val="52"/>
        </w:rPr>
      </w:pPr>
    </w:p>
    <w:p>
      <w:pPr>
        <w:pStyle w:val="6"/>
        <w:rPr>
          <w:rFonts w:hint="eastAsia" w:ascii="宋体" w:hAnsi="宋体" w:eastAsia="宋体" w:cs="宋体"/>
          <w:sz w:val="52"/>
        </w:rPr>
      </w:pPr>
    </w:p>
    <w:p>
      <w:pPr>
        <w:jc w:val="center"/>
        <w:rPr>
          <w:rFonts w:hint="eastAsia" w:ascii="宋体" w:hAnsi="宋体" w:eastAsia="宋体" w:cs="宋体"/>
          <w:b/>
          <w:sz w:val="32"/>
          <w:szCs w:val="32"/>
        </w:rPr>
      </w:pPr>
      <w:r>
        <w:rPr>
          <w:rFonts w:hint="eastAsia" w:ascii="宋体" w:hAnsi="宋体" w:eastAsia="宋体" w:cs="宋体"/>
          <w:b/>
          <w:sz w:val="32"/>
          <w:szCs w:val="32"/>
        </w:rPr>
        <w:t>编制时间：2018年7月</w:t>
      </w:r>
    </w:p>
    <w:p>
      <w:pPr>
        <w:jc w:val="center"/>
        <w:rPr>
          <w:rFonts w:hint="eastAsia" w:ascii="宋体" w:hAnsi="宋体" w:eastAsia="宋体" w:cs="宋体"/>
          <w:b/>
          <w:sz w:val="32"/>
          <w:szCs w:val="32"/>
        </w:rPr>
      </w:pPr>
      <w:r>
        <w:rPr>
          <w:rFonts w:hint="eastAsia" w:ascii="宋体" w:hAnsi="宋体" w:eastAsia="宋体" w:cs="宋体"/>
          <w:b/>
          <w:sz w:val="32"/>
          <w:szCs w:val="32"/>
        </w:rPr>
        <w:t>编制单位：江西鼎泓环保科技有限公司</w:t>
      </w:r>
    </w:p>
    <w:p>
      <w:pPr>
        <w:spacing w:after="0"/>
        <w:jc w:val="center"/>
        <w:rPr>
          <w:rFonts w:hint="eastAsia" w:ascii="宋体" w:hAnsi="宋体" w:eastAsia="宋体" w:cs="宋体"/>
          <w:sz w:val="32"/>
        </w:rPr>
        <w:sectPr>
          <w:footerReference r:id="rId3" w:type="default"/>
          <w:footerReference r:id="rId4" w:type="even"/>
          <w:pgSz w:w="11910" w:h="16850"/>
          <w:pgMar w:top="1600" w:right="1020" w:bottom="1240" w:left="1200" w:header="720" w:footer="1060" w:gutter="0"/>
          <w:pgNumType w:fmt="decimal"/>
          <w:cols w:equalWidth="0" w:num="1">
            <w:col w:w="9690"/>
          </w:cols>
        </w:sectPr>
      </w:pPr>
    </w:p>
    <w:sdt>
      <w:sdtPr>
        <w:rPr>
          <w:rFonts w:ascii="宋体" w:hAnsi="宋体" w:eastAsia="宋体" w:cs="宋体"/>
          <w:sz w:val="21"/>
          <w:szCs w:val="22"/>
          <w:lang w:val="zh-CN" w:eastAsia="zh-CN" w:bidi="zh-CN"/>
        </w:rPr>
        <w:id w:val="147475709"/>
        <w:docPartObj>
          <w:docPartGallery w:val="Table of Contents"/>
          <w:docPartUnique/>
        </w:docPartObj>
      </w:sdtPr>
      <w:sdtEndPr>
        <w:rPr>
          <w:rFonts w:hint="eastAsia" w:ascii="宋体" w:hAnsi="宋体" w:eastAsia="宋体" w:cs="宋体"/>
          <w:sz w:val="24"/>
          <w:szCs w:val="24"/>
          <w:lang w:val="zh-CN" w:eastAsia="zh-CN" w:bidi="zh-CN"/>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3"/>
            <w:tabs>
              <w:tab w:val="right" w:leader="dot" w:pos="9690"/>
            </w:tabs>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"1-3" \h \u </w:instrText>
          </w:r>
          <w:r>
            <w:rPr>
              <w:rFonts w:hint="eastAsia" w:ascii="宋体" w:hAnsi="宋体" w:eastAsia="宋体" w:cs="宋体"/>
              <w:sz w:val="24"/>
              <w:szCs w:val="24"/>
            </w:rPr>
            <w:fldChar w:fldCharType="separate"/>
          </w:r>
          <w:r>
            <w:rPr>
              <w:rFonts w:hint="eastAsia" w:ascii="宋体" w:hAnsi="宋体" w:eastAsia="宋体" w:cs="宋体"/>
              <w:szCs w:val="24"/>
            </w:rPr>
            <w:fldChar w:fldCharType="begin"/>
          </w:r>
          <w:r>
            <w:rPr>
              <w:rFonts w:hint="eastAsia" w:ascii="宋体" w:hAnsi="宋体" w:eastAsia="宋体" w:cs="宋体"/>
              <w:szCs w:val="24"/>
            </w:rPr>
            <w:instrText xml:space="preserve"> HYPERLINK \l _Toc30319 </w:instrText>
          </w:r>
          <w:r>
            <w:rPr>
              <w:rFonts w:hint="eastAsia" w:ascii="宋体" w:hAnsi="宋体" w:eastAsia="宋体" w:cs="宋体"/>
              <w:szCs w:val="24"/>
            </w:rPr>
            <w:fldChar w:fldCharType="separate"/>
          </w:r>
          <w:r>
            <w:rPr>
              <w:rFonts w:hint="eastAsia"/>
              <w:lang w:val="en-US" w:eastAsia="zh-CN"/>
            </w:rPr>
            <w:t>1、</w:t>
          </w:r>
          <w:r>
            <w:rPr>
              <w:rFonts w:hint="eastAsia"/>
              <w:lang w:eastAsia="zh-CN"/>
            </w:rPr>
            <w:t>前言</w:t>
          </w:r>
          <w:r>
            <w:tab/>
          </w:r>
          <w:r>
            <w:fldChar w:fldCharType="begin"/>
          </w:r>
          <w:r>
            <w:instrText xml:space="preserve"> PAGEREF _Toc30319 </w:instrText>
          </w:r>
          <w:r>
            <w:fldChar w:fldCharType="separate"/>
          </w:r>
          <w:r>
            <w:t>1</w:t>
          </w:r>
          <w:r>
            <w:fldChar w:fldCharType="end"/>
          </w:r>
          <w:r>
            <w:rPr>
              <w:rFonts w:hint="eastAsia" w:ascii="宋体" w:hAnsi="宋体" w:eastAsia="宋体" w:cs="宋体"/>
              <w:szCs w:val="24"/>
            </w:rPr>
            <w:fldChar w:fldCharType="end"/>
          </w:r>
        </w:p>
        <w:p>
          <w:pPr>
            <w:pStyle w:val="13"/>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_Toc24863 </w:instrText>
          </w:r>
          <w:r>
            <w:rPr>
              <w:rFonts w:hint="eastAsia" w:ascii="宋体" w:hAnsi="宋体" w:eastAsia="宋体" w:cs="宋体"/>
              <w:szCs w:val="24"/>
            </w:rPr>
            <w:fldChar w:fldCharType="separate"/>
          </w:r>
          <w:r>
            <w:rPr>
              <w:rFonts w:hint="eastAsia"/>
              <w:lang w:val="en-US" w:eastAsia="zh-CN"/>
            </w:rPr>
            <w:t>2、</w:t>
          </w:r>
          <w:r>
            <w:rPr>
              <w:rFonts w:hint="eastAsia"/>
              <w:lang w:eastAsia="zh-CN"/>
            </w:rPr>
            <w:t>总则</w:t>
          </w:r>
          <w:r>
            <w:tab/>
          </w:r>
          <w:r>
            <w:fldChar w:fldCharType="begin"/>
          </w:r>
          <w:r>
            <w:instrText xml:space="preserve"> PAGEREF _Toc24863 </w:instrText>
          </w:r>
          <w:r>
            <w:fldChar w:fldCharType="separate"/>
          </w:r>
          <w:r>
            <w:t>2</w:t>
          </w:r>
          <w:r>
            <w:fldChar w:fldCharType="end"/>
          </w:r>
          <w:r>
            <w:rPr>
              <w:rFonts w:hint="eastAsia" w:ascii="宋体" w:hAnsi="宋体" w:eastAsia="宋体" w:cs="宋体"/>
              <w:szCs w:val="24"/>
            </w:rPr>
            <w:fldChar w:fldCharType="end"/>
          </w:r>
        </w:p>
        <w:p>
          <w:pPr>
            <w:pStyle w:val="14"/>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_Toc19370 </w:instrText>
          </w:r>
          <w:r>
            <w:rPr>
              <w:rFonts w:hint="eastAsia" w:ascii="宋体" w:hAnsi="宋体" w:eastAsia="宋体" w:cs="宋体"/>
              <w:szCs w:val="24"/>
            </w:rPr>
            <w:fldChar w:fldCharType="separate"/>
          </w:r>
          <w:r>
            <w:rPr>
              <w:rFonts w:hint="eastAsia"/>
              <w:lang w:val="en-US" w:eastAsia="zh-CN"/>
            </w:rPr>
            <w:t>2.1</w:t>
          </w:r>
          <w:r>
            <w:rPr>
              <w:rFonts w:hint="eastAsia"/>
              <w:lang w:eastAsia="zh-CN"/>
            </w:rPr>
            <w:t>编制原则</w:t>
          </w:r>
          <w:r>
            <w:tab/>
          </w:r>
          <w:r>
            <w:fldChar w:fldCharType="begin"/>
          </w:r>
          <w:r>
            <w:instrText xml:space="preserve"> PAGEREF _Toc19370 </w:instrText>
          </w:r>
          <w:r>
            <w:fldChar w:fldCharType="separate"/>
          </w:r>
          <w:r>
            <w:t>2</w:t>
          </w:r>
          <w:r>
            <w:fldChar w:fldCharType="end"/>
          </w:r>
          <w:r>
            <w:rPr>
              <w:rFonts w:hint="eastAsia" w:ascii="宋体" w:hAnsi="宋体" w:eastAsia="宋体" w:cs="宋体"/>
              <w:szCs w:val="24"/>
            </w:rPr>
            <w:fldChar w:fldCharType="end"/>
          </w:r>
        </w:p>
        <w:p>
          <w:pPr>
            <w:pStyle w:val="14"/>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_Toc357 </w:instrText>
          </w:r>
          <w:r>
            <w:rPr>
              <w:rFonts w:hint="eastAsia" w:ascii="宋体" w:hAnsi="宋体" w:eastAsia="宋体" w:cs="宋体"/>
              <w:szCs w:val="24"/>
            </w:rPr>
            <w:fldChar w:fldCharType="separate"/>
          </w:r>
          <w:r>
            <w:rPr>
              <w:rFonts w:hint="eastAsia"/>
            </w:rPr>
            <w:t>2.2 编制依据</w:t>
          </w:r>
          <w:r>
            <w:tab/>
          </w:r>
          <w:r>
            <w:fldChar w:fldCharType="begin"/>
          </w:r>
          <w:r>
            <w:instrText xml:space="preserve"> PAGEREF _Toc357 </w:instrText>
          </w:r>
          <w:r>
            <w:fldChar w:fldCharType="separate"/>
          </w:r>
          <w:r>
            <w:t>2</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_Toc24717 </w:instrText>
          </w:r>
          <w:r>
            <w:rPr>
              <w:rFonts w:hint="eastAsia" w:ascii="宋体" w:hAnsi="宋体" w:eastAsia="宋体" w:cs="宋体"/>
              <w:szCs w:val="24"/>
            </w:rPr>
            <w:fldChar w:fldCharType="separate"/>
          </w:r>
          <w:r>
            <w:rPr>
              <w:rFonts w:hint="eastAsia" w:ascii="宋体" w:hAnsi="宋体" w:eastAsia="宋体" w:cs="宋体"/>
            </w:rPr>
            <w:t>2.2.1 法律法规、规章、指导性文件</w:t>
          </w:r>
          <w:r>
            <w:tab/>
          </w:r>
          <w:r>
            <w:fldChar w:fldCharType="begin"/>
          </w:r>
          <w:r>
            <w:instrText xml:space="preserve"> PAGEREF _Toc24717 </w:instrText>
          </w:r>
          <w:r>
            <w:fldChar w:fldCharType="separate"/>
          </w:r>
          <w:r>
            <w:t>2</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_Toc24764 </w:instrText>
          </w:r>
          <w:r>
            <w:rPr>
              <w:rFonts w:hint="eastAsia" w:ascii="宋体" w:hAnsi="宋体" w:eastAsia="宋体" w:cs="宋体"/>
              <w:szCs w:val="24"/>
            </w:rPr>
            <w:fldChar w:fldCharType="separate"/>
          </w:r>
          <w:r>
            <w:rPr>
              <w:rFonts w:hint="eastAsia"/>
              <w:lang w:val="en-US" w:eastAsia="zh-CN"/>
            </w:rPr>
            <w:t>2</w:t>
          </w:r>
          <w:r>
            <w:rPr>
              <w:rFonts w:hint="eastAsia"/>
            </w:rPr>
            <w:t>.2.2 技术指南、标准规范</w:t>
          </w:r>
          <w:r>
            <w:tab/>
          </w:r>
          <w:r>
            <w:fldChar w:fldCharType="begin"/>
          </w:r>
          <w:r>
            <w:instrText xml:space="preserve"> PAGEREF _Toc24764 </w:instrText>
          </w:r>
          <w:r>
            <w:fldChar w:fldCharType="separate"/>
          </w:r>
          <w:r>
            <w:t>3</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_Toc27431 </w:instrText>
          </w:r>
          <w:r>
            <w:rPr>
              <w:rFonts w:hint="eastAsia" w:ascii="宋体" w:hAnsi="宋体" w:eastAsia="宋体" w:cs="宋体"/>
              <w:szCs w:val="24"/>
            </w:rPr>
            <w:fldChar w:fldCharType="separate"/>
          </w:r>
          <w:r>
            <w:rPr>
              <w:rFonts w:hint="eastAsia"/>
            </w:rPr>
            <w:t>2.2.3 其他批复及验收意见</w:t>
          </w:r>
          <w:r>
            <w:tab/>
          </w:r>
          <w:r>
            <w:fldChar w:fldCharType="begin"/>
          </w:r>
          <w:r>
            <w:instrText xml:space="preserve"> PAGEREF _Toc27431 </w:instrText>
          </w:r>
          <w:r>
            <w:fldChar w:fldCharType="separate"/>
          </w:r>
          <w:r>
            <w:t>3</w:t>
          </w:r>
          <w:r>
            <w:fldChar w:fldCharType="end"/>
          </w:r>
          <w:r>
            <w:rPr>
              <w:rFonts w:hint="eastAsia" w:ascii="宋体" w:hAnsi="宋体" w:eastAsia="宋体" w:cs="宋体"/>
              <w:szCs w:val="24"/>
            </w:rPr>
            <w:fldChar w:fldCharType="end"/>
          </w:r>
        </w:p>
        <w:p>
          <w:pPr>
            <w:pStyle w:val="14"/>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_Toc16177 </w:instrText>
          </w:r>
          <w:r>
            <w:rPr>
              <w:rFonts w:hint="eastAsia" w:ascii="宋体" w:hAnsi="宋体" w:eastAsia="宋体" w:cs="宋体"/>
              <w:szCs w:val="24"/>
            </w:rPr>
            <w:fldChar w:fldCharType="separate"/>
          </w:r>
          <w:r>
            <w:rPr>
              <w:rFonts w:hint="eastAsia" w:ascii="宋体" w:hAnsi="宋体" w:eastAsia="宋体" w:cs="宋体"/>
            </w:rPr>
            <w:t>2.3 评估范围</w:t>
          </w:r>
          <w:r>
            <w:tab/>
          </w:r>
          <w:r>
            <w:fldChar w:fldCharType="begin"/>
          </w:r>
          <w:r>
            <w:instrText xml:space="preserve"> PAGEREF _Toc16177 </w:instrText>
          </w:r>
          <w:r>
            <w:fldChar w:fldCharType="separate"/>
          </w:r>
          <w:r>
            <w:t>3</w:t>
          </w:r>
          <w:r>
            <w:fldChar w:fldCharType="end"/>
          </w:r>
          <w:r>
            <w:rPr>
              <w:rFonts w:hint="eastAsia" w:ascii="宋体" w:hAnsi="宋体" w:eastAsia="宋体" w:cs="宋体"/>
              <w:szCs w:val="24"/>
            </w:rPr>
            <w:fldChar w:fldCharType="end"/>
          </w:r>
        </w:p>
        <w:p>
          <w:pPr>
            <w:pStyle w:val="14"/>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_Toc27813 </w:instrText>
          </w:r>
          <w:r>
            <w:rPr>
              <w:rFonts w:hint="eastAsia" w:ascii="宋体" w:hAnsi="宋体" w:eastAsia="宋体" w:cs="宋体"/>
              <w:szCs w:val="24"/>
            </w:rPr>
            <w:fldChar w:fldCharType="separate"/>
          </w:r>
          <w:r>
            <w:rPr>
              <w:rFonts w:hint="eastAsia" w:ascii="宋体" w:hAnsi="宋体" w:eastAsia="宋体" w:cs="宋体"/>
            </w:rPr>
            <w:t>2.4 企业突发环境事件风险评估程序</w:t>
          </w:r>
          <w:r>
            <w:tab/>
          </w:r>
          <w:r>
            <w:fldChar w:fldCharType="begin"/>
          </w:r>
          <w:r>
            <w:instrText xml:space="preserve"> PAGEREF _Toc27813 </w:instrText>
          </w:r>
          <w:r>
            <w:fldChar w:fldCharType="separate"/>
          </w:r>
          <w:r>
            <w:t>3</w:t>
          </w:r>
          <w:r>
            <w:fldChar w:fldCharType="end"/>
          </w:r>
          <w:r>
            <w:rPr>
              <w:rFonts w:hint="eastAsia" w:ascii="宋体" w:hAnsi="宋体" w:eastAsia="宋体" w:cs="宋体"/>
              <w:szCs w:val="24"/>
            </w:rPr>
            <w:fldChar w:fldCharType="end"/>
          </w:r>
        </w:p>
        <w:p>
          <w:pPr>
            <w:pStyle w:val="13"/>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_Toc7493 </w:instrText>
          </w:r>
          <w:r>
            <w:rPr>
              <w:rFonts w:hint="eastAsia" w:ascii="宋体" w:hAnsi="宋体" w:eastAsia="宋体" w:cs="宋体"/>
              <w:szCs w:val="24"/>
            </w:rPr>
            <w:fldChar w:fldCharType="separate"/>
          </w:r>
          <w:r>
            <w:rPr>
              <w:rFonts w:hint="eastAsia" w:ascii="宋体" w:hAnsi="宋体" w:eastAsia="宋体" w:cs="宋体"/>
            </w:rPr>
            <w:t>3</w:t>
          </w:r>
          <w:r>
            <w:rPr>
              <w:rFonts w:hint="eastAsia" w:ascii="宋体" w:hAnsi="宋体" w:cs="宋体"/>
              <w:lang w:eastAsia="zh-CN"/>
            </w:rPr>
            <w:t>、</w:t>
          </w:r>
          <w:r>
            <w:rPr>
              <w:rFonts w:hint="eastAsia" w:ascii="宋体" w:hAnsi="宋体" w:eastAsia="宋体" w:cs="宋体"/>
            </w:rPr>
            <w:t xml:space="preserve"> 资料准备与环境风险识别</w:t>
          </w:r>
          <w:r>
            <w:tab/>
          </w:r>
          <w:r>
            <w:fldChar w:fldCharType="begin"/>
          </w:r>
          <w:r>
            <w:instrText xml:space="preserve"> PAGEREF _Toc7493 </w:instrText>
          </w:r>
          <w:r>
            <w:fldChar w:fldCharType="separate"/>
          </w:r>
          <w:r>
            <w:t>5</w:t>
          </w:r>
          <w:r>
            <w:fldChar w:fldCharType="end"/>
          </w:r>
          <w:r>
            <w:rPr>
              <w:rFonts w:hint="eastAsia" w:ascii="宋体" w:hAnsi="宋体" w:eastAsia="宋体" w:cs="宋体"/>
              <w:szCs w:val="24"/>
            </w:rPr>
            <w:fldChar w:fldCharType="end"/>
          </w:r>
        </w:p>
        <w:p>
          <w:pPr>
            <w:pStyle w:val="14"/>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_Toc32612 </w:instrText>
          </w:r>
          <w:r>
            <w:rPr>
              <w:rFonts w:hint="eastAsia" w:ascii="宋体" w:hAnsi="宋体" w:eastAsia="宋体" w:cs="宋体"/>
              <w:szCs w:val="24"/>
            </w:rPr>
            <w:fldChar w:fldCharType="separate"/>
          </w:r>
          <w:r>
            <w:rPr>
              <w:rFonts w:hint="eastAsia"/>
            </w:rPr>
            <w:t>3.1 企业基本信息</w:t>
          </w:r>
          <w:r>
            <w:tab/>
          </w:r>
          <w:r>
            <w:fldChar w:fldCharType="begin"/>
          </w:r>
          <w:r>
            <w:instrText xml:space="preserve"> PAGEREF _Toc32612 </w:instrText>
          </w:r>
          <w:r>
            <w:fldChar w:fldCharType="separate"/>
          </w:r>
          <w:r>
            <w:t>5</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_Toc24633 </w:instrText>
          </w:r>
          <w:r>
            <w:rPr>
              <w:rFonts w:hint="eastAsia" w:ascii="宋体" w:hAnsi="宋体" w:eastAsia="宋体" w:cs="宋体"/>
              <w:szCs w:val="24"/>
            </w:rPr>
            <w:fldChar w:fldCharType="separate"/>
          </w:r>
          <w:r>
            <w:rPr>
              <w:rFonts w:hint="eastAsia"/>
              <w:lang w:val="en-US" w:eastAsia="zh-CN"/>
            </w:rPr>
            <w:t>3.1.1</w:t>
          </w:r>
          <w:r>
            <w:rPr>
              <w:rFonts w:hint="eastAsia"/>
            </w:rPr>
            <w:t>企业主要装置</w:t>
          </w:r>
          <w:r>
            <w:tab/>
          </w:r>
          <w:r>
            <w:fldChar w:fldCharType="begin"/>
          </w:r>
          <w:r>
            <w:instrText xml:space="preserve"> PAGEREF _Toc24633 </w:instrText>
          </w:r>
          <w:r>
            <w:fldChar w:fldCharType="separate"/>
          </w:r>
          <w:r>
            <w:t>5</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_Toc16016 </w:instrText>
          </w:r>
          <w:r>
            <w:rPr>
              <w:rFonts w:hint="eastAsia" w:ascii="宋体" w:hAnsi="宋体" w:eastAsia="宋体" w:cs="宋体"/>
              <w:szCs w:val="24"/>
            </w:rPr>
            <w:fldChar w:fldCharType="separate"/>
          </w:r>
          <w:r>
            <w:rPr>
              <w:rFonts w:hint="eastAsia"/>
              <w:lang w:val="en-US" w:eastAsia="zh-CN"/>
            </w:rPr>
            <w:t>3.1.2</w:t>
          </w:r>
          <w:r>
            <w:rPr>
              <w:rFonts w:hint="eastAsia"/>
            </w:rPr>
            <w:t>产品方案</w:t>
          </w:r>
          <w:r>
            <w:tab/>
          </w:r>
          <w:r>
            <w:fldChar w:fldCharType="begin"/>
          </w:r>
          <w:r>
            <w:instrText xml:space="preserve"> PAGEREF _Toc16016 </w:instrText>
          </w:r>
          <w:r>
            <w:fldChar w:fldCharType="separate"/>
          </w:r>
          <w:r>
            <w:t>6</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_Toc7606 </w:instrText>
          </w:r>
          <w:r>
            <w:rPr>
              <w:rFonts w:hint="eastAsia" w:ascii="宋体" w:hAnsi="宋体" w:eastAsia="宋体" w:cs="宋体"/>
              <w:szCs w:val="24"/>
            </w:rPr>
            <w:fldChar w:fldCharType="separate"/>
          </w:r>
          <w:r>
            <w:rPr>
              <w:rFonts w:hint="eastAsia"/>
            </w:rPr>
            <w:t>3.1.</w:t>
          </w:r>
          <w:r>
            <w:rPr>
              <w:rFonts w:hint="eastAsia"/>
              <w:lang w:val="en-US" w:eastAsia="zh-CN"/>
            </w:rPr>
            <w:t>3</w:t>
          </w:r>
          <w:r>
            <w:rPr>
              <w:rFonts w:hint="eastAsia"/>
            </w:rPr>
            <w:t xml:space="preserve"> 地形地貌</w:t>
          </w:r>
          <w:r>
            <w:tab/>
          </w:r>
          <w:r>
            <w:fldChar w:fldCharType="begin"/>
          </w:r>
          <w:r>
            <w:instrText xml:space="preserve"> PAGEREF _Toc7606 </w:instrText>
          </w:r>
          <w:r>
            <w:fldChar w:fldCharType="separate"/>
          </w:r>
          <w:r>
            <w:t>6</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_Toc23479 </w:instrText>
          </w:r>
          <w:r>
            <w:rPr>
              <w:rFonts w:hint="eastAsia" w:ascii="宋体" w:hAnsi="宋体" w:eastAsia="宋体" w:cs="宋体"/>
              <w:szCs w:val="24"/>
            </w:rPr>
            <w:fldChar w:fldCharType="separate"/>
          </w:r>
          <w:r>
            <w:rPr>
              <w:rFonts w:hint="eastAsia"/>
            </w:rPr>
            <w:t>3.1.</w:t>
          </w:r>
          <w:r>
            <w:rPr>
              <w:rFonts w:hint="eastAsia"/>
              <w:lang w:val="en-US" w:eastAsia="zh-CN"/>
            </w:rPr>
            <w:t>4</w:t>
          </w:r>
          <w:r>
            <w:rPr>
              <w:rFonts w:hint="eastAsia"/>
            </w:rPr>
            <w:t xml:space="preserve"> 环境功能区划分</w:t>
          </w:r>
          <w:r>
            <w:tab/>
          </w:r>
          <w:r>
            <w:fldChar w:fldCharType="begin"/>
          </w:r>
          <w:r>
            <w:instrText xml:space="preserve"> PAGEREF _Toc23479 </w:instrText>
          </w:r>
          <w:r>
            <w:fldChar w:fldCharType="separate"/>
          </w:r>
          <w:r>
            <w:t>8</w:t>
          </w:r>
          <w:r>
            <w:fldChar w:fldCharType="end"/>
          </w:r>
          <w:r>
            <w:rPr>
              <w:rFonts w:hint="eastAsia" w:ascii="宋体" w:hAnsi="宋体" w:eastAsia="宋体" w:cs="宋体"/>
              <w:szCs w:val="24"/>
            </w:rPr>
            <w:fldChar w:fldCharType="end"/>
          </w:r>
        </w:p>
        <w:p>
          <w:pPr>
            <w:pStyle w:val="14"/>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_Toc29066 </w:instrText>
          </w:r>
          <w:r>
            <w:rPr>
              <w:rFonts w:hint="eastAsia" w:ascii="宋体" w:hAnsi="宋体" w:eastAsia="宋体" w:cs="宋体"/>
              <w:szCs w:val="24"/>
            </w:rPr>
            <w:fldChar w:fldCharType="separate"/>
          </w:r>
          <w:r>
            <w:rPr>
              <w:rFonts w:hint="eastAsia" w:ascii="宋体" w:hAnsi="宋体" w:eastAsia="宋体" w:cs="宋体"/>
              <w:szCs w:val="24"/>
            </w:rPr>
            <w:t>3.2 企业周边环境风险受体情况</w:t>
          </w:r>
          <w:r>
            <w:tab/>
          </w:r>
          <w:r>
            <w:fldChar w:fldCharType="begin"/>
          </w:r>
          <w:r>
            <w:instrText xml:space="preserve"> PAGEREF _Toc29066 </w:instrText>
          </w:r>
          <w:r>
            <w:fldChar w:fldCharType="separate"/>
          </w:r>
          <w:r>
            <w:t>8</w:t>
          </w:r>
          <w:r>
            <w:fldChar w:fldCharType="end"/>
          </w:r>
          <w:r>
            <w:rPr>
              <w:rFonts w:hint="eastAsia" w:ascii="宋体" w:hAnsi="宋体" w:eastAsia="宋体" w:cs="宋体"/>
              <w:szCs w:val="24"/>
            </w:rPr>
            <w:fldChar w:fldCharType="end"/>
          </w:r>
        </w:p>
        <w:p>
          <w:pPr>
            <w:pStyle w:val="14"/>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_Toc23034 </w:instrText>
          </w:r>
          <w:r>
            <w:rPr>
              <w:rFonts w:hint="eastAsia" w:ascii="宋体" w:hAnsi="宋体" w:eastAsia="宋体" w:cs="宋体"/>
              <w:szCs w:val="24"/>
            </w:rPr>
            <w:fldChar w:fldCharType="separate"/>
          </w:r>
          <w:r>
            <w:rPr>
              <w:rFonts w:hint="eastAsia" w:ascii="宋体" w:hAnsi="宋体" w:eastAsia="宋体" w:cs="宋体"/>
            </w:rPr>
            <w:t>3.3 涉及环境风险物质情况</w:t>
          </w:r>
          <w:r>
            <w:tab/>
          </w:r>
          <w:r>
            <w:fldChar w:fldCharType="begin"/>
          </w:r>
          <w:r>
            <w:instrText xml:space="preserve"> PAGEREF _Toc23034 </w:instrText>
          </w:r>
          <w:r>
            <w:fldChar w:fldCharType="separate"/>
          </w:r>
          <w:r>
            <w:t>9</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_Toc5792 </w:instrText>
          </w:r>
          <w:r>
            <w:rPr>
              <w:rFonts w:hint="eastAsia" w:ascii="宋体" w:hAnsi="宋体" w:eastAsia="宋体" w:cs="宋体"/>
              <w:szCs w:val="24"/>
            </w:rPr>
            <w:fldChar w:fldCharType="separate"/>
          </w:r>
          <w:r>
            <w:rPr>
              <w:rFonts w:hint="eastAsia" w:ascii="宋体" w:hAnsi="宋体" w:eastAsia="宋体" w:cs="宋体"/>
              <w:bCs/>
              <w:lang w:val="en-US" w:eastAsia="zh-CN"/>
            </w:rPr>
            <w:t>3.3.1 环境风险物质识别</w:t>
          </w:r>
          <w:r>
            <w:tab/>
          </w:r>
          <w:r>
            <w:fldChar w:fldCharType="begin"/>
          </w:r>
          <w:r>
            <w:instrText xml:space="preserve"> PAGEREF _Toc5792 </w:instrText>
          </w:r>
          <w:r>
            <w:fldChar w:fldCharType="separate"/>
          </w:r>
          <w:r>
            <w:t>10</w:t>
          </w:r>
          <w:r>
            <w:fldChar w:fldCharType="end"/>
          </w:r>
          <w:r>
            <w:rPr>
              <w:rFonts w:hint="eastAsia" w:ascii="宋体" w:hAnsi="宋体" w:eastAsia="宋体" w:cs="宋体"/>
              <w:szCs w:val="24"/>
            </w:rPr>
            <w:fldChar w:fldCharType="end"/>
          </w:r>
        </w:p>
        <w:p>
          <w:pPr>
            <w:pStyle w:val="14"/>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_Toc25537 </w:instrText>
          </w:r>
          <w:r>
            <w:rPr>
              <w:rFonts w:hint="eastAsia" w:ascii="宋体" w:hAnsi="宋体" w:eastAsia="宋体" w:cs="宋体"/>
              <w:szCs w:val="24"/>
            </w:rPr>
            <w:fldChar w:fldCharType="separate"/>
          </w:r>
          <w:r>
            <w:rPr>
              <w:rFonts w:hint="eastAsia"/>
            </w:rPr>
            <w:t>3.4 生产工艺</w:t>
          </w:r>
          <w:r>
            <w:tab/>
          </w:r>
          <w:r>
            <w:fldChar w:fldCharType="begin"/>
          </w:r>
          <w:r>
            <w:instrText xml:space="preserve"> PAGEREF _Toc25537 </w:instrText>
          </w:r>
          <w:r>
            <w:fldChar w:fldCharType="separate"/>
          </w:r>
          <w:r>
            <w:t>18</w:t>
          </w:r>
          <w:r>
            <w:fldChar w:fldCharType="end"/>
          </w:r>
          <w:r>
            <w:rPr>
              <w:rFonts w:hint="eastAsia" w:ascii="宋体" w:hAnsi="宋体" w:eastAsia="宋体" w:cs="宋体"/>
              <w:szCs w:val="24"/>
            </w:rPr>
            <w:fldChar w:fldCharType="end"/>
          </w:r>
        </w:p>
        <w:p>
          <w:pPr>
            <w:pStyle w:val="14"/>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_Toc1109 </w:instrText>
          </w:r>
          <w:r>
            <w:rPr>
              <w:rFonts w:hint="eastAsia" w:ascii="宋体" w:hAnsi="宋体" w:eastAsia="宋体" w:cs="宋体"/>
              <w:szCs w:val="24"/>
            </w:rPr>
            <w:fldChar w:fldCharType="separate"/>
          </w:r>
          <w:r>
            <w:rPr>
              <w:rFonts w:hint="eastAsia"/>
              <w:lang w:val="en-US" w:eastAsia="zh-CN"/>
            </w:rPr>
            <w:t>3.5安全生产管理</w:t>
          </w:r>
          <w:r>
            <w:tab/>
          </w:r>
          <w:r>
            <w:fldChar w:fldCharType="begin"/>
          </w:r>
          <w:r>
            <w:instrText xml:space="preserve"> PAGEREF _Toc1109 </w:instrText>
          </w:r>
          <w:r>
            <w:fldChar w:fldCharType="separate"/>
          </w:r>
          <w:r>
            <w:t>19</w:t>
          </w:r>
          <w:r>
            <w:fldChar w:fldCharType="end"/>
          </w:r>
          <w:r>
            <w:rPr>
              <w:rFonts w:hint="eastAsia" w:ascii="宋体" w:hAnsi="宋体" w:eastAsia="宋体" w:cs="宋体"/>
              <w:szCs w:val="24"/>
            </w:rPr>
            <w:fldChar w:fldCharType="end"/>
          </w:r>
        </w:p>
        <w:p>
          <w:pPr>
            <w:pStyle w:val="14"/>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_Toc5921 </w:instrText>
          </w:r>
          <w:r>
            <w:rPr>
              <w:rFonts w:hint="eastAsia" w:ascii="宋体" w:hAnsi="宋体" w:eastAsia="宋体" w:cs="宋体"/>
              <w:szCs w:val="24"/>
            </w:rPr>
            <w:fldChar w:fldCharType="separate"/>
          </w:r>
          <w:r>
            <w:rPr>
              <w:rFonts w:hint="eastAsia"/>
            </w:rPr>
            <w:t>3.6 现有环境风险防控与应急措施情况</w:t>
          </w:r>
          <w:r>
            <w:tab/>
          </w:r>
          <w:r>
            <w:fldChar w:fldCharType="begin"/>
          </w:r>
          <w:r>
            <w:instrText xml:space="preserve"> PAGEREF _Toc5921 </w:instrText>
          </w:r>
          <w:r>
            <w:fldChar w:fldCharType="separate"/>
          </w:r>
          <w:r>
            <w:t>19</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_Toc7129 </w:instrText>
          </w:r>
          <w:r>
            <w:rPr>
              <w:rFonts w:hint="eastAsia" w:ascii="宋体" w:hAnsi="宋体" w:eastAsia="宋体" w:cs="宋体"/>
              <w:szCs w:val="24"/>
            </w:rPr>
            <w:fldChar w:fldCharType="separate"/>
          </w:r>
          <w:r>
            <w:rPr>
              <w:rFonts w:hint="eastAsia"/>
              <w:lang w:val="en-US" w:eastAsia="zh-CN"/>
            </w:rPr>
            <w:t>3.6.1</w:t>
          </w:r>
          <w:r>
            <w:rPr>
              <w:rFonts w:hint="eastAsia"/>
            </w:rPr>
            <w:t>环境风险管理</w:t>
          </w:r>
          <w:r>
            <w:tab/>
          </w:r>
          <w:r>
            <w:fldChar w:fldCharType="begin"/>
          </w:r>
          <w:r>
            <w:instrText xml:space="preserve"> PAGEREF _Toc7129 </w:instrText>
          </w:r>
          <w:r>
            <w:fldChar w:fldCharType="separate"/>
          </w:r>
          <w:r>
            <w:t>19</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_Toc17999 </w:instrText>
          </w:r>
          <w:r>
            <w:rPr>
              <w:rFonts w:hint="eastAsia" w:ascii="宋体" w:hAnsi="宋体" w:eastAsia="宋体" w:cs="宋体"/>
              <w:szCs w:val="24"/>
            </w:rPr>
            <w:fldChar w:fldCharType="separate"/>
          </w:r>
          <w:r>
            <w:rPr>
              <w:rFonts w:hint="eastAsia"/>
              <w:lang w:val="en-US" w:eastAsia="zh-CN"/>
            </w:rPr>
            <w:t>3.6.2</w:t>
          </w:r>
          <w:r>
            <w:rPr>
              <w:rFonts w:hint="eastAsia"/>
            </w:rPr>
            <w:t>环评及批复的环境风险防控和应急措施落实情况</w:t>
          </w:r>
          <w:r>
            <w:tab/>
          </w:r>
          <w:r>
            <w:fldChar w:fldCharType="begin"/>
          </w:r>
          <w:r>
            <w:instrText xml:space="preserve"> PAGEREF _Toc17999 </w:instrText>
          </w:r>
          <w:r>
            <w:fldChar w:fldCharType="separate"/>
          </w:r>
          <w:r>
            <w:t>19</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_Toc3394 </w:instrText>
          </w:r>
          <w:r>
            <w:rPr>
              <w:rFonts w:hint="eastAsia" w:ascii="宋体" w:hAnsi="宋体" w:eastAsia="宋体" w:cs="宋体"/>
              <w:szCs w:val="24"/>
            </w:rPr>
            <w:fldChar w:fldCharType="separate"/>
          </w:r>
          <w:r>
            <w:rPr>
              <w:rFonts w:hint="eastAsia"/>
              <w:lang w:val="en-US" w:eastAsia="zh-CN"/>
            </w:rPr>
            <w:t>3.6.3</w:t>
          </w:r>
          <w:r>
            <w:rPr>
              <w:rFonts w:hint="eastAsia"/>
            </w:rPr>
            <w:t>环境风险防范措施</w:t>
          </w:r>
          <w:r>
            <w:tab/>
          </w:r>
          <w:r>
            <w:fldChar w:fldCharType="begin"/>
          </w:r>
          <w:r>
            <w:instrText xml:space="preserve"> PAGEREF _Toc3394 </w:instrText>
          </w:r>
          <w:r>
            <w:fldChar w:fldCharType="separate"/>
          </w:r>
          <w:r>
            <w:t>19</w:t>
          </w:r>
          <w:r>
            <w:fldChar w:fldCharType="end"/>
          </w:r>
          <w:r>
            <w:rPr>
              <w:rFonts w:hint="eastAsia" w:ascii="宋体" w:hAnsi="宋体" w:eastAsia="宋体" w:cs="宋体"/>
              <w:szCs w:val="24"/>
            </w:rPr>
            <w:fldChar w:fldCharType="end"/>
          </w:r>
        </w:p>
        <w:p>
          <w:pPr>
            <w:pStyle w:val="14"/>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_Toc21721 </w:instrText>
          </w:r>
          <w:r>
            <w:rPr>
              <w:rFonts w:hint="eastAsia" w:ascii="宋体" w:hAnsi="宋体" w:eastAsia="宋体" w:cs="宋体"/>
              <w:szCs w:val="24"/>
            </w:rPr>
            <w:fldChar w:fldCharType="separate"/>
          </w:r>
          <w:r>
            <w:rPr>
              <w:rFonts w:hint="eastAsia"/>
            </w:rPr>
            <w:t>3.7 现有应急物资与装备、救援队伍情况</w:t>
          </w:r>
          <w:r>
            <w:tab/>
          </w:r>
          <w:r>
            <w:fldChar w:fldCharType="begin"/>
          </w:r>
          <w:r>
            <w:instrText xml:space="preserve"> PAGEREF _Toc21721 </w:instrText>
          </w:r>
          <w:r>
            <w:fldChar w:fldCharType="separate"/>
          </w:r>
          <w:r>
            <w:t>22</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_Toc6769 </w:instrText>
          </w:r>
          <w:r>
            <w:rPr>
              <w:rFonts w:hint="eastAsia" w:ascii="宋体" w:hAnsi="宋体" w:eastAsia="宋体" w:cs="宋体"/>
              <w:szCs w:val="24"/>
            </w:rPr>
            <w:fldChar w:fldCharType="separate"/>
          </w:r>
          <w:r>
            <w:rPr>
              <w:rFonts w:hint="eastAsia"/>
            </w:rPr>
            <w:t>3.7.1 现有应急物资与装备</w:t>
          </w:r>
          <w:r>
            <w:tab/>
          </w:r>
          <w:r>
            <w:fldChar w:fldCharType="begin"/>
          </w:r>
          <w:r>
            <w:instrText xml:space="preserve"> PAGEREF _Toc6769 </w:instrText>
          </w:r>
          <w:r>
            <w:fldChar w:fldCharType="separate"/>
          </w:r>
          <w:r>
            <w:t>22</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_Toc24446 </w:instrText>
          </w:r>
          <w:r>
            <w:rPr>
              <w:rFonts w:hint="eastAsia" w:ascii="宋体" w:hAnsi="宋体" w:eastAsia="宋体" w:cs="宋体"/>
              <w:szCs w:val="24"/>
            </w:rPr>
            <w:fldChar w:fldCharType="separate"/>
          </w:r>
          <w:r>
            <w:rPr>
              <w:rFonts w:hint="eastAsia"/>
              <w:lang w:val="en-US" w:eastAsia="zh-CN"/>
            </w:rPr>
            <w:t>3.7.2</w:t>
          </w:r>
          <w:r>
            <w:t>内部救援队伍</w:t>
          </w:r>
          <w:r>
            <w:tab/>
          </w:r>
          <w:r>
            <w:fldChar w:fldCharType="begin"/>
          </w:r>
          <w:r>
            <w:instrText xml:space="preserve"> PAGEREF _Toc24446 </w:instrText>
          </w:r>
          <w:r>
            <w:fldChar w:fldCharType="separate"/>
          </w:r>
          <w:r>
            <w:t>23</w:t>
          </w:r>
          <w:r>
            <w:fldChar w:fldCharType="end"/>
          </w:r>
          <w:r>
            <w:rPr>
              <w:rFonts w:hint="eastAsia" w:ascii="宋体" w:hAnsi="宋体" w:eastAsia="宋体" w:cs="宋体"/>
              <w:szCs w:val="24"/>
            </w:rPr>
            <w:fldChar w:fldCharType="end"/>
          </w:r>
        </w:p>
        <w:p>
          <w:pPr>
            <w:pStyle w:val="13"/>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_Toc19974 </w:instrText>
          </w:r>
          <w:r>
            <w:rPr>
              <w:rFonts w:hint="eastAsia" w:ascii="宋体" w:hAnsi="宋体" w:eastAsia="宋体" w:cs="宋体"/>
              <w:szCs w:val="24"/>
            </w:rPr>
            <w:fldChar w:fldCharType="separate"/>
          </w:r>
          <w:r>
            <w:rPr>
              <w:rFonts w:hint="eastAsia"/>
            </w:rPr>
            <w:t>4 突发环境事件及后果分析</w:t>
          </w:r>
          <w:r>
            <w:tab/>
          </w:r>
          <w:r>
            <w:fldChar w:fldCharType="begin"/>
          </w:r>
          <w:r>
            <w:instrText xml:space="preserve"> PAGEREF _Toc19974 </w:instrText>
          </w:r>
          <w:r>
            <w:fldChar w:fldCharType="separate"/>
          </w:r>
          <w:r>
            <w:t>24</w:t>
          </w:r>
          <w:r>
            <w:fldChar w:fldCharType="end"/>
          </w:r>
          <w:r>
            <w:rPr>
              <w:rFonts w:hint="eastAsia" w:ascii="宋体" w:hAnsi="宋体" w:eastAsia="宋体" w:cs="宋体"/>
              <w:szCs w:val="24"/>
            </w:rPr>
            <w:fldChar w:fldCharType="end"/>
          </w:r>
        </w:p>
        <w:p>
          <w:pPr>
            <w:pStyle w:val="14"/>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_Toc3028 </w:instrText>
          </w:r>
          <w:r>
            <w:rPr>
              <w:rFonts w:hint="eastAsia" w:ascii="宋体" w:hAnsi="宋体" w:eastAsia="宋体" w:cs="宋体"/>
              <w:szCs w:val="24"/>
            </w:rPr>
            <w:fldChar w:fldCharType="separate"/>
          </w:r>
          <w:r>
            <w:rPr>
              <w:rFonts w:hint="eastAsia" w:ascii="宋体" w:hAnsi="宋体" w:eastAsia="宋体" w:cs="宋体"/>
            </w:rPr>
            <w:t>4.</w:t>
          </w:r>
          <w:r>
            <w:rPr>
              <w:rFonts w:hint="eastAsia" w:ascii="宋体" w:hAnsi="宋体" w:eastAsia="宋体" w:cs="宋体"/>
              <w:lang w:val="en-US" w:eastAsia="zh-CN"/>
            </w:rPr>
            <w:t>1</w:t>
          </w:r>
          <w:r>
            <w:rPr>
              <w:rFonts w:hint="eastAsia" w:ascii="宋体" w:hAnsi="宋体" w:eastAsia="宋体" w:cs="宋体"/>
            </w:rPr>
            <w:t xml:space="preserve"> 突发环境事件情景分析</w:t>
          </w:r>
          <w:r>
            <w:tab/>
          </w:r>
          <w:r>
            <w:fldChar w:fldCharType="begin"/>
          </w:r>
          <w:r>
            <w:instrText xml:space="preserve"> PAGEREF _Toc3028 </w:instrText>
          </w:r>
          <w:r>
            <w:fldChar w:fldCharType="separate"/>
          </w:r>
          <w:r>
            <w:t>24</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_Toc12009 </w:instrText>
          </w:r>
          <w:r>
            <w:rPr>
              <w:rFonts w:hint="eastAsia" w:ascii="宋体" w:hAnsi="宋体" w:eastAsia="宋体" w:cs="宋体"/>
              <w:szCs w:val="24"/>
            </w:rPr>
            <w:fldChar w:fldCharType="separate"/>
          </w:r>
          <w:r>
            <w:rPr>
              <w:rFonts w:hint="eastAsia"/>
            </w:rPr>
            <w:t>4.1.1国内外同类企业突发环境事件案例</w:t>
          </w:r>
          <w:r>
            <w:tab/>
          </w:r>
          <w:r>
            <w:fldChar w:fldCharType="begin"/>
          </w:r>
          <w:r>
            <w:instrText xml:space="preserve"> PAGEREF _Toc12009 </w:instrText>
          </w:r>
          <w:r>
            <w:fldChar w:fldCharType="separate"/>
          </w:r>
          <w:r>
            <w:t>24</w:t>
          </w:r>
          <w:r>
            <w:fldChar w:fldCharType="end"/>
          </w:r>
          <w:r>
            <w:rPr>
              <w:rFonts w:hint="eastAsia" w:ascii="宋体" w:hAnsi="宋体" w:eastAsia="宋体" w:cs="宋体"/>
              <w:szCs w:val="24"/>
            </w:rPr>
            <w:fldChar w:fldCharType="end"/>
          </w:r>
        </w:p>
        <w:p>
          <w:pPr>
            <w:pStyle w:val="14"/>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_Toc1571 </w:instrText>
          </w:r>
          <w:r>
            <w:rPr>
              <w:rFonts w:hint="eastAsia" w:ascii="宋体" w:hAnsi="宋体" w:eastAsia="宋体" w:cs="宋体"/>
              <w:szCs w:val="24"/>
            </w:rPr>
            <w:fldChar w:fldCharType="separate"/>
          </w:r>
          <w:r>
            <w:rPr>
              <w:rFonts w:hint="eastAsia" w:ascii="宋体" w:hAnsi="宋体" w:eastAsia="宋体" w:cs="宋体"/>
              <w:shd w:val="clear" w:color="auto" w:fill="auto"/>
            </w:rPr>
            <w:t>4.</w:t>
          </w:r>
          <w:r>
            <w:rPr>
              <w:rFonts w:hint="eastAsia" w:ascii="宋体" w:hAnsi="宋体" w:eastAsia="宋体" w:cs="宋体"/>
              <w:shd w:val="clear" w:color="auto" w:fill="auto"/>
              <w:lang w:val="en-US" w:eastAsia="zh-CN"/>
            </w:rPr>
            <w:t>2</w:t>
          </w:r>
          <w:r>
            <w:rPr>
              <w:rFonts w:hint="eastAsia" w:ascii="宋体" w:hAnsi="宋体" w:eastAsia="宋体" w:cs="宋体"/>
              <w:shd w:val="clear" w:color="auto" w:fill="auto"/>
            </w:rPr>
            <w:t xml:space="preserve"> 突发环境事件源强分析</w:t>
          </w:r>
          <w:r>
            <w:tab/>
          </w:r>
          <w:r>
            <w:fldChar w:fldCharType="begin"/>
          </w:r>
          <w:r>
            <w:instrText xml:space="preserve"> PAGEREF _Toc1571 </w:instrText>
          </w:r>
          <w:r>
            <w:fldChar w:fldCharType="separate"/>
          </w:r>
          <w:r>
            <w:t>25</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_Toc32056 </w:instrText>
          </w:r>
          <w:r>
            <w:rPr>
              <w:rFonts w:hint="eastAsia" w:ascii="宋体" w:hAnsi="宋体" w:eastAsia="宋体" w:cs="宋体"/>
              <w:szCs w:val="24"/>
            </w:rPr>
            <w:fldChar w:fldCharType="separate"/>
          </w:r>
          <w:r>
            <w:rPr>
              <w:rFonts w:hint="eastAsia"/>
              <w:lang w:val="en-US" w:eastAsia="zh-CN"/>
            </w:rPr>
            <w:t>4.2.1</w:t>
          </w:r>
          <w:r>
            <w:t>企业相关物料的理化性质</w:t>
          </w:r>
          <w:r>
            <w:tab/>
          </w:r>
          <w:r>
            <w:fldChar w:fldCharType="begin"/>
          </w:r>
          <w:r>
            <w:instrText xml:space="preserve"> PAGEREF _Toc32056 </w:instrText>
          </w:r>
          <w:r>
            <w:fldChar w:fldCharType="separate"/>
          </w:r>
          <w:r>
            <w:t>25</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_Toc10016 </w:instrText>
          </w:r>
          <w:r>
            <w:rPr>
              <w:rFonts w:hint="eastAsia" w:ascii="宋体" w:hAnsi="宋体" w:eastAsia="宋体" w:cs="宋体"/>
              <w:szCs w:val="24"/>
            </w:rPr>
            <w:fldChar w:fldCharType="separate"/>
          </w:r>
          <w:r>
            <w:rPr>
              <w:rFonts w:hint="eastAsia"/>
              <w:lang w:val="en-US" w:eastAsia="zh-CN"/>
            </w:rPr>
            <w:t>4.2.2</w:t>
          </w:r>
          <w:r>
            <w:t>风险类型</w:t>
          </w:r>
          <w:r>
            <w:tab/>
          </w:r>
          <w:r>
            <w:fldChar w:fldCharType="begin"/>
          </w:r>
          <w:r>
            <w:instrText xml:space="preserve"> PAGEREF _Toc10016 </w:instrText>
          </w:r>
          <w:r>
            <w:fldChar w:fldCharType="separate"/>
          </w:r>
          <w:r>
            <w:t>25</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_Toc11168 </w:instrText>
          </w:r>
          <w:r>
            <w:rPr>
              <w:rFonts w:hint="eastAsia" w:ascii="宋体" w:hAnsi="宋体" w:eastAsia="宋体" w:cs="宋体"/>
              <w:szCs w:val="24"/>
            </w:rPr>
            <w:fldChar w:fldCharType="separate"/>
          </w:r>
          <w:r>
            <w:rPr>
              <w:rFonts w:hint="eastAsia" w:ascii="宋体" w:hAnsi="宋体" w:eastAsia="宋体" w:cs="宋体"/>
            </w:rPr>
            <w:t>4.</w:t>
          </w:r>
          <w:r>
            <w:rPr>
              <w:rFonts w:hint="eastAsia" w:ascii="宋体" w:hAnsi="宋体" w:eastAsia="宋体" w:cs="宋体"/>
              <w:lang w:val="en-US" w:eastAsia="zh-CN"/>
            </w:rPr>
            <w:t>2</w:t>
          </w:r>
          <w:r>
            <w:rPr>
              <w:rFonts w:hint="eastAsia" w:ascii="宋体" w:hAnsi="宋体" w:eastAsia="宋体" w:cs="宋体"/>
            </w:rPr>
            <w:t>.</w:t>
          </w:r>
          <w:r>
            <w:rPr>
              <w:rFonts w:hint="eastAsia" w:ascii="宋体" w:hAnsi="宋体" w:cs="宋体"/>
              <w:lang w:val="en-US" w:eastAsia="zh-CN"/>
            </w:rPr>
            <w:t>3</w:t>
          </w:r>
          <w:r>
            <w:rPr>
              <w:rFonts w:hint="eastAsia" w:ascii="宋体" w:hAnsi="宋体" w:eastAsia="宋体" w:cs="宋体"/>
            </w:rPr>
            <w:t xml:space="preserve"> 环境风险环节分析</w:t>
          </w:r>
          <w:r>
            <w:tab/>
          </w:r>
          <w:r>
            <w:fldChar w:fldCharType="begin"/>
          </w:r>
          <w:r>
            <w:instrText xml:space="preserve"> PAGEREF _Toc11168 </w:instrText>
          </w:r>
          <w:r>
            <w:fldChar w:fldCharType="separate"/>
          </w:r>
          <w:r>
            <w:t>25</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_Toc18537 </w:instrText>
          </w:r>
          <w:r>
            <w:rPr>
              <w:rFonts w:hint="eastAsia" w:ascii="宋体" w:hAnsi="宋体" w:eastAsia="宋体" w:cs="宋体"/>
              <w:szCs w:val="24"/>
            </w:rPr>
            <w:fldChar w:fldCharType="separate"/>
          </w:r>
          <w:r>
            <w:rPr>
              <w:rFonts w:hint="eastAsia"/>
              <w:lang w:val="en-US" w:eastAsia="zh-CN"/>
            </w:rPr>
            <w:t>4.2.4</w:t>
          </w:r>
          <w:r>
            <w:t>最大可信事故</w:t>
          </w:r>
          <w:r>
            <w:tab/>
          </w:r>
          <w:r>
            <w:fldChar w:fldCharType="begin"/>
          </w:r>
          <w:r>
            <w:instrText xml:space="preserve"> PAGEREF _Toc18537 </w:instrText>
          </w:r>
          <w:r>
            <w:fldChar w:fldCharType="separate"/>
          </w:r>
          <w:r>
            <w:t>26</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_Toc8288 </w:instrText>
          </w:r>
          <w:r>
            <w:rPr>
              <w:rFonts w:hint="eastAsia" w:ascii="宋体" w:hAnsi="宋体" w:eastAsia="宋体" w:cs="宋体"/>
              <w:szCs w:val="24"/>
            </w:rPr>
            <w:fldChar w:fldCharType="separate"/>
          </w:r>
          <w:r>
            <w:rPr>
              <w:rFonts w:hint="eastAsia"/>
            </w:rPr>
            <w:t>4.2.</w:t>
          </w:r>
          <w:r>
            <w:rPr>
              <w:rFonts w:hint="eastAsia"/>
              <w:lang w:val="en-US" w:eastAsia="zh-CN"/>
            </w:rPr>
            <w:t>5</w:t>
          </w:r>
          <w:r>
            <w:rPr>
              <w:rFonts w:hint="eastAsia"/>
            </w:rPr>
            <w:t>泄漏事故引发的水污染源强</w:t>
          </w:r>
          <w:r>
            <w:tab/>
          </w:r>
          <w:r>
            <w:fldChar w:fldCharType="begin"/>
          </w:r>
          <w:r>
            <w:instrText xml:space="preserve"> PAGEREF _Toc8288 </w:instrText>
          </w:r>
          <w:r>
            <w:fldChar w:fldCharType="separate"/>
          </w:r>
          <w:r>
            <w:t>28</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_Toc17905 </w:instrText>
          </w:r>
          <w:r>
            <w:rPr>
              <w:rFonts w:hint="eastAsia" w:ascii="宋体" w:hAnsi="宋体" w:eastAsia="宋体" w:cs="宋体"/>
              <w:szCs w:val="24"/>
            </w:rPr>
            <w:fldChar w:fldCharType="separate"/>
          </w:r>
          <w:r>
            <w:rPr>
              <w:rFonts w:hint="eastAsia"/>
            </w:rPr>
            <w:t>4.2.</w:t>
          </w:r>
          <w:r>
            <w:rPr>
              <w:rFonts w:hint="eastAsia"/>
              <w:lang w:val="en-US" w:eastAsia="zh-CN"/>
            </w:rPr>
            <w:t>6</w:t>
          </w:r>
          <w:r>
            <w:rPr>
              <w:rFonts w:hint="eastAsia"/>
            </w:rPr>
            <w:t>污染治理设施异常的源强分析</w:t>
          </w:r>
          <w:r>
            <w:tab/>
          </w:r>
          <w:r>
            <w:fldChar w:fldCharType="begin"/>
          </w:r>
          <w:r>
            <w:instrText xml:space="preserve"> PAGEREF _Toc17905 </w:instrText>
          </w:r>
          <w:r>
            <w:fldChar w:fldCharType="separate"/>
          </w:r>
          <w:r>
            <w:t>29</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_Toc25486 </w:instrText>
          </w:r>
          <w:r>
            <w:rPr>
              <w:rFonts w:hint="eastAsia" w:ascii="宋体" w:hAnsi="宋体" w:eastAsia="宋体" w:cs="宋体"/>
              <w:szCs w:val="24"/>
            </w:rPr>
            <w:fldChar w:fldCharType="separate"/>
          </w:r>
          <w:r>
            <w:rPr>
              <w:rFonts w:hint="eastAsia"/>
            </w:rPr>
            <w:t>4.2.</w:t>
          </w:r>
          <w:r>
            <w:rPr>
              <w:rFonts w:hint="eastAsia"/>
              <w:lang w:val="en-US" w:eastAsia="zh-CN"/>
            </w:rPr>
            <w:t>7</w:t>
          </w:r>
          <w:r>
            <w:rPr>
              <w:rFonts w:hint="eastAsia"/>
            </w:rPr>
            <w:t>企业违法排污的污染源强分析</w:t>
          </w:r>
          <w:r>
            <w:tab/>
          </w:r>
          <w:r>
            <w:fldChar w:fldCharType="begin"/>
          </w:r>
          <w:r>
            <w:instrText xml:space="preserve"> PAGEREF _Toc25486 </w:instrText>
          </w:r>
          <w:r>
            <w:fldChar w:fldCharType="separate"/>
          </w:r>
          <w:r>
            <w:t>30</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_Toc23484 </w:instrText>
          </w:r>
          <w:r>
            <w:rPr>
              <w:rFonts w:hint="eastAsia" w:ascii="宋体" w:hAnsi="宋体" w:eastAsia="宋体" w:cs="宋体"/>
              <w:szCs w:val="24"/>
            </w:rPr>
            <w:fldChar w:fldCharType="separate"/>
          </w:r>
          <w:r>
            <w:rPr>
              <w:rFonts w:hint="eastAsia"/>
            </w:rPr>
            <w:t>4.2.</w:t>
          </w:r>
          <w:r>
            <w:rPr>
              <w:rFonts w:hint="eastAsia"/>
              <w:lang w:val="en-US" w:eastAsia="zh-CN"/>
            </w:rPr>
            <w:t>8</w:t>
          </w:r>
          <w:r>
            <w:rPr>
              <w:rFonts w:hint="eastAsia"/>
            </w:rPr>
            <w:t>通讯或运输系统故障事故的污染源强分析</w:t>
          </w:r>
          <w:r>
            <w:tab/>
          </w:r>
          <w:r>
            <w:fldChar w:fldCharType="begin"/>
          </w:r>
          <w:r>
            <w:instrText xml:space="preserve"> PAGEREF _Toc23484 </w:instrText>
          </w:r>
          <w:r>
            <w:fldChar w:fldCharType="separate"/>
          </w:r>
          <w:r>
            <w:t>30</w:t>
          </w:r>
          <w:r>
            <w:fldChar w:fldCharType="end"/>
          </w:r>
          <w:r>
            <w:rPr>
              <w:rFonts w:hint="eastAsia" w:ascii="宋体" w:hAnsi="宋体" w:eastAsia="宋体" w:cs="宋体"/>
              <w:szCs w:val="24"/>
            </w:rPr>
            <w:fldChar w:fldCharType="end"/>
          </w:r>
        </w:p>
        <w:p>
          <w:pPr>
            <w:pStyle w:val="14"/>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_Toc19538 </w:instrText>
          </w:r>
          <w:r>
            <w:rPr>
              <w:rFonts w:hint="eastAsia" w:ascii="宋体" w:hAnsi="宋体" w:eastAsia="宋体" w:cs="宋体"/>
              <w:szCs w:val="24"/>
            </w:rPr>
            <w:fldChar w:fldCharType="separate"/>
          </w:r>
          <w:r>
            <w:rPr>
              <w:rFonts w:hint="eastAsia" w:ascii="宋体" w:hAnsi="宋体" w:eastAsia="宋体" w:cs="宋体"/>
            </w:rPr>
            <w:t>4.</w:t>
          </w:r>
          <w:r>
            <w:rPr>
              <w:rFonts w:hint="eastAsia" w:ascii="宋体" w:hAnsi="宋体" w:cs="宋体"/>
              <w:lang w:val="en-US" w:eastAsia="zh-CN"/>
            </w:rPr>
            <w:t>3</w:t>
          </w:r>
          <w:r>
            <w:rPr>
              <w:rFonts w:hint="eastAsia" w:ascii="宋体" w:hAnsi="宋体" w:eastAsia="宋体" w:cs="宋体"/>
            </w:rPr>
            <w:t xml:space="preserve"> 释放环境风险物质的扩散途径、涉及环境风险防控与应急措施、应急资源情况分析</w:t>
          </w:r>
          <w:r>
            <w:tab/>
          </w:r>
          <w:r>
            <w:fldChar w:fldCharType="begin"/>
          </w:r>
          <w:r>
            <w:instrText xml:space="preserve"> PAGEREF _Toc19538 </w:instrText>
          </w:r>
          <w:r>
            <w:fldChar w:fldCharType="separate"/>
          </w:r>
          <w:r>
            <w:t>30</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_Toc19105 </w:instrText>
          </w:r>
          <w:r>
            <w:rPr>
              <w:rFonts w:hint="eastAsia" w:ascii="宋体" w:hAnsi="宋体" w:eastAsia="宋体" w:cs="宋体"/>
              <w:szCs w:val="24"/>
            </w:rPr>
            <w:fldChar w:fldCharType="separate"/>
          </w:r>
          <w:r>
            <w:rPr>
              <w:rFonts w:hint="eastAsia" w:ascii="宋体" w:hAnsi="宋体" w:eastAsia="宋体" w:cs="宋体"/>
            </w:rPr>
            <w:t>4.</w:t>
          </w:r>
          <w:r>
            <w:rPr>
              <w:rFonts w:hint="eastAsia" w:ascii="宋体" w:hAnsi="宋体" w:cs="宋体"/>
              <w:lang w:val="en-US" w:eastAsia="zh-CN"/>
            </w:rPr>
            <w:t>3</w:t>
          </w:r>
          <w:r>
            <w:rPr>
              <w:rFonts w:hint="eastAsia" w:ascii="宋体" w:hAnsi="宋体" w:eastAsia="宋体" w:cs="宋体"/>
            </w:rPr>
            <w:t>.1 环境风险物质的释放途径</w:t>
          </w:r>
          <w:r>
            <w:tab/>
          </w:r>
          <w:r>
            <w:fldChar w:fldCharType="begin"/>
          </w:r>
          <w:r>
            <w:instrText xml:space="preserve"> PAGEREF _Toc19105 </w:instrText>
          </w:r>
          <w:r>
            <w:fldChar w:fldCharType="separate"/>
          </w:r>
          <w:r>
            <w:t>30</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_Toc3380 </w:instrText>
          </w:r>
          <w:r>
            <w:rPr>
              <w:rFonts w:hint="eastAsia" w:ascii="宋体" w:hAnsi="宋体" w:eastAsia="宋体" w:cs="宋体"/>
              <w:szCs w:val="24"/>
            </w:rPr>
            <w:fldChar w:fldCharType="separate"/>
          </w:r>
          <w:r>
            <w:rPr>
              <w:rFonts w:hint="eastAsia" w:ascii="宋体" w:hAnsi="宋体" w:eastAsia="宋体" w:cs="宋体"/>
            </w:rPr>
            <w:t>4.</w:t>
          </w:r>
          <w:r>
            <w:rPr>
              <w:rFonts w:hint="eastAsia" w:ascii="宋体" w:hAnsi="宋体" w:cs="宋体"/>
              <w:lang w:val="en-US" w:eastAsia="zh-CN"/>
            </w:rPr>
            <w:t>3</w:t>
          </w:r>
          <w:r>
            <w:rPr>
              <w:rFonts w:hint="eastAsia" w:ascii="宋体" w:hAnsi="宋体" w:eastAsia="宋体" w:cs="宋体"/>
            </w:rPr>
            <w:t>.2 风险防控与应急措施</w:t>
          </w:r>
          <w:r>
            <w:tab/>
          </w:r>
          <w:r>
            <w:fldChar w:fldCharType="begin"/>
          </w:r>
          <w:r>
            <w:instrText xml:space="preserve"> PAGEREF _Toc3380 </w:instrText>
          </w:r>
          <w:r>
            <w:fldChar w:fldCharType="separate"/>
          </w:r>
          <w:r>
            <w:t>31</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_Toc17382 </w:instrText>
          </w:r>
          <w:r>
            <w:rPr>
              <w:rFonts w:hint="eastAsia" w:ascii="宋体" w:hAnsi="宋体" w:eastAsia="宋体" w:cs="宋体"/>
              <w:szCs w:val="24"/>
            </w:rPr>
            <w:fldChar w:fldCharType="separate"/>
          </w:r>
          <w:r>
            <w:rPr>
              <w:rFonts w:hint="eastAsia" w:ascii="宋体" w:hAnsi="宋体" w:eastAsia="宋体" w:cs="宋体"/>
            </w:rPr>
            <w:t>4.</w:t>
          </w:r>
          <w:r>
            <w:rPr>
              <w:rFonts w:hint="eastAsia" w:ascii="宋体" w:hAnsi="宋体" w:cs="宋体"/>
              <w:lang w:val="en-US" w:eastAsia="zh-CN"/>
            </w:rPr>
            <w:t>3</w:t>
          </w:r>
          <w:r>
            <w:rPr>
              <w:rFonts w:hint="eastAsia" w:ascii="宋体" w:hAnsi="宋体" w:eastAsia="宋体" w:cs="宋体"/>
            </w:rPr>
            <w:t>.3 应急资源准备</w:t>
          </w:r>
          <w:r>
            <w:tab/>
          </w:r>
          <w:r>
            <w:fldChar w:fldCharType="begin"/>
          </w:r>
          <w:r>
            <w:instrText xml:space="preserve"> PAGEREF _Toc17382 </w:instrText>
          </w:r>
          <w:r>
            <w:fldChar w:fldCharType="separate"/>
          </w:r>
          <w:r>
            <w:t>33</w:t>
          </w:r>
          <w:r>
            <w:fldChar w:fldCharType="end"/>
          </w:r>
          <w:r>
            <w:rPr>
              <w:rFonts w:hint="eastAsia" w:ascii="宋体" w:hAnsi="宋体" w:eastAsia="宋体" w:cs="宋体"/>
              <w:szCs w:val="24"/>
            </w:rPr>
            <w:fldChar w:fldCharType="end"/>
          </w:r>
        </w:p>
        <w:p>
          <w:pPr>
            <w:pStyle w:val="14"/>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_Toc16314 </w:instrText>
          </w:r>
          <w:r>
            <w:rPr>
              <w:rFonts w:hint="eastAsia" w:ascii="宋体" w:hAnsi="宋体" w:eastAsia="宋体" w:cs="宋体"/>
              <w:szCs w:val="24"/>
            </w:rPr>
            <w:fldChar w:fldCharType="separate"/>
          </w:r>
          <w:r>
            <w:rPr>
              <w:rFonts w:hint="eastAsia"/>
            </w:rPr>
            <w:t>4.4突发环境事件危害后果分析</w:t>
          </w:r>
          <w:r>
            <w:tab/>
          </w:r>
          <w:r>
            <w:fldChar w:fldCharType="begin"/>
          </w:r>
          <w:r>
            <w:instrText xml:space="preserve"> PAGEREF _Toc16314 </w:instrText>
          </w:r>
          <w:r>
            <w:fldChar w:fldCharType="separate"/>
          </w:r>
          <w:r>
            <w:t>33</w:t>
          </w:r>
          <w:r>
            <w:fldChar w:fldCharType="end"/>
          </w:r>
          <w:r>
            <w:rPr>
              <w:rFonts w:hint="eastAsia" w:ascii="宋体" w:hAnsi="宋体" w:eastAsia="宋体" w:cs="宋体"/>
              <w:szCs w:val="24"/>
            </w:rPr>
            <w:fldChar w:fldCharType="end"/>
          </w:r>
        </w:p>
        <w:p>
          <w:pPr>
            <w:pStyle w:val="13"/>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_Toc23285 </w:instrText>
          </w:r>
          <w:r>
            <w:rPr>
              <w:rFonts w:hint="eastAsia" w:ascii="宋体" w:hAnsi="宋体" w:eastAsia="宋体" w:cs="宋体"/>
              <w:szCs w:val="24"/>
            </w:rPr>
            <w:fldChar w:fldCharType="separate"/>
          </w:r>
          <w:r>
            <w:t xml:space="preserve">5 </w:t>
          </w:r>
          <w:r>
            <w:rPr>
              <w:rFonts w:hint="eastAsia"/>
              <w:lang w:eastAsia="zh-CN"/>
            </w:rPr>
            <w:t>、</w:t>
          </w:r>
          <w:r>
            <w:t>现有环境风险防控和应急措施差距分析</w:t>
          </w:r>
          <w:r>
            <w:tab/>
          </w:r>
          <w:r>
            <w:fldChar w:fldCharType="begin"/>
          </w:r>
          <w:r>
            <w:instrText xml:space="preserve"> PAGEREF _Toc23285 </w:instrText>
          </w:r>
          <w:r>
            <w:fldChar w:fldCharType="separate"/>
          </w:r>
          <w:r>
            <w:t>35</w:t>
          </w:r>
          <w:r>
            <w:fldChar w:fldCharType="end"/>
          </w:r>
          <w:r>
            <w:rPr>
              <w:rFonts w:hint="eastAsia" w:ascii="宋体" w:hAnsi="宋体" w:eastAsia="宋体" w:cs="宋体"/>
              <w:szCs w:val="24"/>
            </w:rPr>
            <w:fldChar w:fldCharType="end"/>
          </w:r>
        </w:p>
        <w:p>
          <w:pPr>
            <w:pStyle w:val="14"/>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_Toc20947 </w:instrText>
          </w:r>
          <w:r>
            <w:rPr>
              <w:rFonts w:hint="eastAsia" w:ascii="宋体" w:hAnsi="宋体" w:eastAsia="宋体" w:cs="宋体"/>
              <w:szCs w:val="24"/>
            </w:rPr>
            <w:fldChar w:fldCharType="separate"/>
          </w:r>
          <w:r>
            <w:rPr>
              <w:rFonts w:hint="eastAsia" w:ascii="宋体" w:hAnsi="宋体" w:eastAsia="宋体" w:cs="宋体"/>
            </w:rPr>
            <w:t>5.1 环境风险管理制度</w:t>
          </w:r>
          <w:r>
            <w:tab/>
          </w:r>
          <w:r>
            <w:fldChar w:fldCharType="begin"/>
          </w:r>
          <w:r>
            <w:instrText xml:space="preserve"> PAGEREF _Toc20947 </w:instrText>
          </w:r>
          <w:r>
            <w:fldChar w:fldCharType="separate"/>
          </w:r>
          <w:r>
            <w:t>35</w:t>
          </w:r>
          <w:r>
            <w:fldChar w:fldCharType="end"/>
          </w:r>
          <w:r>
            <w:rPr>
              <w:rFonts w:hint="eastAsia" w:ascii="宋体" w:hAnsi="宋体" w:eastAsia="宋体" w:cs="宋体"/>
              <w:szCs w:val="24"/>
            </w:rPr>
            <w:fldChar w:fldCharType="end"/>
          </w:r>
        </w:p>
        <w:p>
          <w:pPr>
            <w:pStyle w:val="14"/>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_Toc30072 </w:instrText>
          </w:r>
          <w:r>
            <w:rPr>
              <w:rFonts w:hint="eastAsia" w:ascii="宋体" w:hAnsi="宋体" w:eastAsia="宋体" w:cs="宋体"/>
              <w:szCs w:val="24"/>
            </w:rPr>
            <w:fldChar w:fldCharType="separate"/>
          </w:r>
          <w:r>
            <w:rPr>
              <w:rFonts w:hint="eastAsia" w:ascii="宋体" w:hAnsi="宋体" w:eastAsia="宋体" w:cs="宋体"/>
            </w:rPr>
            <w:t>5.2 环境风险防控与应急措施</w:t>
          </w:r>
          <w:r>
            <w:tab/>
          </w:r>
          <w:r>
            <w:fldChar w:fldCharType="begin"/>
          </w:r>
          <w:r>
            <w:instrText xml:space="preserve"> PAGEREF _Toc30072 </w:instrText>
          </w:r>
          <w:r>
            <w:fldChar w:fldCharType="separate"/>
          </w:r>
          <w:r>
            <w:t>35</w:t>
          </w:r>
          <w:r>
            <w:fldChar w:fldCharType="end"/>
          </w:r>
          <w:r>
            <w:rPr>
              <w:rFonts w:hint="eastAsia" w:ascii="宋体" w:hAnsi="宋体" w:eastAsia="宋体" w:cs="宋体"/>
              <w:szCs w:val="24"/>
            </w:rPr>
            <w:fldChar w:fldCharType="end"/>
          </w:r>
        </w:p>
        <w:p>
          <w:pPr>
            <w:pStyle w:val="14"/>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_Toc3063 </w:instrText>
          </w:r>
          <w:r>
            <w:rPr>
              <w:rFonts w:hint="eastAsia" w:ascii="宋体" w:hAnsi="宋体" w:eastAsia="宋体" w:cs="宋体"/>
              <w:szCs w:val="24"/>
            </w:rPr>
            <w:fldChar w:fldCharType="separate"/>
          </w:r>
          <w:r>
            <w:rPr>
              <w:rFonts w:hint="eastAsia" w:ascii="宋体" w:hAnsi="宋体" w:eastAsia="宋体" w:cs="宋体"/>
            </w:rPr>
            <w:t>5.3 环境应急资源</w:t>
          </w:r>
          <w:r>
            <w:tab/>
          </w:r>
          <w:r>
            <w:fldChar w:fldCharType="begin"/>
          </w:r>
          <w:r>
            <w:instrText xml:space="preserve"> PAGEREF _Toc3063 </w:instrText>
          </w:r>
          <w:r>
            <w:fldChar w:fldCharType="separate"/>
          </w:r>
          <w:r>
            <w:t>36</w:t>
          </w:r>
          <w:r>
            <w:fldChar w:fldCharType="end"/>
          </w:r>
          <w:r>
            <w:rPr>
              <w:rFonts w:hint="eastAsia" w:ascii="宋体" w:hAnsi="宋体" w:eastAsia="宋体" w:cs="宋体"/>
              <w:szCs w:val="24"/>
            </w:rPr>
            <w:fldChar w:fldCharType="end"/>
          </w:r>
        </w:p>
        <w:p>
          <w:pPr>
            <w:pStyle w:val="14"/>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_Toc13730 </w:instrText>
          </w:r>
          <w:r>
            <w:rPr>
              <w:rFonts w:hint="eastAsia" w:ascii="宋体" w:hAnsi="宋体" w:eastAsia="宋体" w:cs="宋体"/>
              <w:szCs w:val="24"/>
            </w:rPr>
            <w:fldChar w:fldCharType="separate"/>
          </w:r>
          <w:r>
            <w:rPr>
              <w:rFonts w:hint="eastAsia" w:ascii="宋体" w:hAnsi="宋体" w:eastAsia="宋体" w:cs="宋体"/>
            </w:rPr>
            <w:t>5.4 历史经验总结教训</w:t>
          </w:r>
          <w:r>
            <w:tab/>
          </w:r>
          <w:r>
            <w:fldChar w:fldCharType="begin"/>
          </w:r>
          <w:r>
            <w:instrText xml:space="preserve"> PAGEREF _Toc13730 </w:instrText>
          </w:r>
          <w:r>
            <w:fldChar w:fldCharType="separate"/>
          </w:r>
          <w:r>
            <w:t>36</w:t>
          </w:r>
          <w:r>
            <w:fldChar w:fldCharType="end"/>
          </w:r>
          <w:r>
            <w:rPr>
              <w:rFonts w:hint="eastAsia" w:ascii="宋体" w:hAnsi="宋体" w:eastAsia="宋体" w:cs="宋体"/>
              <w:szCs w:val="24"/>
            </w:rPr>
            <w:fldChar w:fldCharType="end"/>
          </w:r>
        </w:p>
        <w:p>
          <w:pPr>
            <w:pStyle w:val="14"/>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_Toc23773 </w:instrText>
          </w:r>
          <w:r>
            <w:rPr>
              <w:rFonts w:hint="eastAsia" w:ascii="宋体" w:hAnsi="宋体" w:eastAsia="宋体" w:cs="宋体"/>
              <w:szCs w:val="24"/>
            </w:rPr>
            <w:fldChar w:fldCharType="separate"/>
          </w:r>
          <w:r>
            <w:rPr>
              <w:rFonts w:hint="eastAsia" w:ascii="宋体" w:hAnsi="宋体" w:eastAsia="宋体" w:cs="宋体"/>
            </w:rPr>
            <w:t>5.5 需要整改的短期、中期和长期项目内容</w:t>
          </w:r>
          <w:r>
            <w:tab/>
          </w:r>
          <w:r>
            <w:fldChar w:fldCharType="begin"/>
          </w:r>
          <w:r>
            <w:instrText xml:space="preserve"> PAGEREF _Toc23773 </w:instrText>
          </w:r>
          <w:r>
            <w:fldChar w:fldCharType="separate"/>
          </w:r>
          <w:r>
            <w:t>37</w:t>
          </w:r>
          <w:r>
            <w:fldChar w:fldCharType="end"/>
          </w:r>
          <w:r>
            <w:rPr>
              <w:rFonts w:hint="eastAsia" w:ascii="宋体" w:hAnsi="宋体" w:eastAsia="宋体" w:cs="宋体"/>
              <w:szCs w:val="24"/>
            </w:rPr>
            <w:fldChar w:fldCharType="end"/>
          </w:r>
        </w:p>
        <w:p>
          <w:pPr>
            <w:pStyle w:val="13"/>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_Toc30572 </w:instrText>
          </w:r>
          <w:r>
            <w:rPr>
              <w:rFonts w:hint="eastAsia" w:ascii="宋体" w:hAnsi="宋体" w:eastAsia="宋体" w:cs="宋体"/>
              <w:szCs w:val="24"/>
            </w:rPr>
            <w:fldChar w:fldCharType="separate"/>
          </w:r>
          <w:r>
            <w:rPr>
              <w:rFonts w:hint="eastAsia" w:ascii="宋体" w:hAnsi="宋体" w:eastAsia="宋体" w:cs="宋体"/>
            </w:rPr>
            <w:t xml:space="preserve">6 </w:t>
          </w:r>
          <w:r>
            <w:rPr>
              <w:rFonts w:hint="eastAsia" w:ascii="宋体" w:hAnsi="宋体" w:cs="宋体"/>
              <w:lang w:eastAsia="zh-CN"/>
            </w:rPr>
            <w:t>、</w:t>
          </w:r>
          <w:r>
            <w:rPr>
              <w:rFonts w:hint="eastAsia" w:ascii="宋体" w:hAnsi="宋体" w:eastAsia="宋体" w:cs="宋体"/>
            </w:rPr>
            <w:t>完善环境风险防控和应急措施的实施计划</w:t>
          </w:r>
          <w:r>
            <w:tab/>
          </w:r>
          <w:r>
            <w:fldChar w:fldCharType="begin"/>
          </w:r>
          <w:r>
            <w:instrText xml:space="preserve"> PAGEREF _Toc30572 </w:instrText>
          </w:r>
          <w:r>
            <w:fldChar w:fldCharType="separate"/>
          </w:r>
          <w:r>
            <w:t>39</w:t>
          </w:r>
          <w:r>
            <w:fldChar w:fldCharType="end"/>
          </w:r>
          <w:r>
            <w:rPr>
              <w:rFonts w:hint="eastAsia" w:ascii="宋体" w:hAnsi="宋体" w:eastAsia="宋体" w:cs="宋体"/>
              <w:szCs w:val="24"/>
            </w:rPr>
            <w:fldChar w:fldCharType="end"/>
          </w:r>
        </w:p>
        <w:p>
          <w:pPr>
            <w:pStyle w:val="13"/>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_Toc16429 </w:instrText>
          </w:r>
          <w:r>
            <w:rPr>
              <w:rFonts w:hint="eastAsia" w:ascii="宋体" w:hAnsi="宋体" w:eastAsia="宋体" w:cs="宋体"/>
              <w:szCs w:val="24"/>
            </w:rPr>
            <w:fldChar w:fldCharType="separate"/>
          </w:r>
          <w:r>
            <w:rPr>
              <w:rFonts w:hint="eastAsia"/>
              <w:lang w:val="en-US" w:eastAsia="zh-CN"/>
            </w:rPr>
            <w:t>7、</w:t>
          </w:r>
          <w:r>
            <w:rPr>
              <w:rFonts w:hint="eastAsia"/>
            </w:rPr>
            <w:t>企业突发环境事件风险等级</w:t>
          </w:r>
          <w:r>
            <w:tab/>
          </w:r>
          <w:r>
            <w:fldChar w:fldCharType="begin"/>
          </w:r>
          <w:r>
            <w:instrText xml:space="preserve"> PAGEREF _Toc16429 </w:instrText>
          </w:r>
          <w:r>
            <w:fldChar w:fldCharType="separate"/>
          </w:r>
          <w:r>
            <w:t>41</w:t>
          </w:r>
          <w:r>
            <w:fldChar w:fldCharType="end"/>
          </w:r>
          <w:r>
            <w:rPr>
              <w:rFonts w:hint="eastAsia" w:ascii="宋体" w:hAnsi="宋体" w:eastAsia="宋体" w:cs="宋体"/>
              <w:szCs w:val="24"/>
            </w:rPr>
            <w:fldChar w:fldCharType="end"/>
          </w:r>
        </w:p>
        <w:p>
          <w:pPr>
            <w:pStyle w:val="14"/>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_Toc271 </w:instrText>
          </w:r>
          <w:r>
            <w:rPr>
              <w:rFonts w:hint="eastAsia" w:ascii="宋体" w:hAnsi="宋体" w:eastAsia="宋体" w:cs="宋体"/>
              <w:szCs w:val="24"/>
            </w:rPr>
            <w:fldChar w:fldCharType="separate"/>
          </w:r>
          <w:r>
            <w:rPr>
              <w:rFonts w:hint="eastAsia"/>
              <w:lang w:val="en-US" w:eastAsia="zh-CN"/>
            </w:rPr>
            <w:t>7.1</w:t>
          </w:r>
          <w:r>
            <w:rPr>
              <w:rFonts w:hint="eastAsia"/>
              <w:lang w:eastAsia="zh-CN"/>
            </w:rPr>
            <w:t>分级程序</w:t>
          </w:r>
          <w:r>
            <w:tab/>
          </w:r>
          <w:r>
            <w:fldChar w:fldCharType="begin"/>
          </w:r>
          <w:r>
            <w:instrText xml:space="preserve"> PAGEREF _Toc271 </w:instrText>
          </w:r>
          <w:r>
            <w:fldChar w:fldCharType="separate"/>
          </w:r>
          <w:r>
            <w:t>41</w:t>
          </w:r>
          <w:r>
            <w:fldChar w:fldCharType="end"/>
          </w:r>
          <w:r>
            <w:rPr>
              <w:rFonts w:hint="eastAsia" w:ascii="宋体" w:hAnsi="宋体" w:eastAsia="宋体" w:cs="宋体"/>
              <w:szCs w:val="24"/>
            </w:rPr>
            <w:fldChar w:fldCharType="end"/>
          </w:r>
        </w:p>
        <w:p>
          <w:pPr>
            <w:pStyle w:val="14"/>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_Toc32681 </w:instrText>
          </w:r>
          <w:r>
            <w:rPr>
              <w:rFonts w:hint="eastAsia" w:ascii="宋体" w:hAnsi="宋体" w:eastAsia="宋体" w:cs="宋体"/>
              <w:szCs w:val="24"/>
            </w:rPr>
            <w:fldChar w:fldCharType="separate"/>
          </w:r>
          <w:r>
            <w:rPr>
              <w:rFonts w:hint="eastAsia"/>
              <w:lang w:val="en-US" w:eastAsia="zh-CN"/>
            </w:rPr>
            <w:t>7.2</w:t>
          </w:r>
          <w:r>
            <w:rPr>
              <w:rFonts w:hint="eastAsia"/>
            </w:rPr>
            <w:t>突发大气环境事件风险分级</w:t>
          </w:r>
          <w:r>
            <w:tab/>
          </w:r>
          <w:r>
            <w:fldChar w:fldCharType="begin"/>
          </w:r>
          <w:r>
            <w:instrText xml:space="preserve"> PAGEREF _Toc32681 </w:instrText>
          </w:r>
          <w:r>
            <w:fldChar w:fldCharType="separate"/>
          </w:r>
          <w:r>
            <w:t>41</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_Toc18440 </w:instrText>
          </w:r>
          <w:r>
            <w:rPr>
              <w:rFonts w:hint="eastAsia" w:ascii="宋体" w:hAnsi="宋体" w:eastAsia="宋体" w:cs="宋体"/>
              <w:szCs w:val="24"/>
            </w:rPr>
            <w:fldChar w:fldCharType="separate"/>
          </w:r>
          <w:r>
            <w:rPr>
              <w:rFonts w:hint="eastAsia"/>
              <w:lang w:val="en-US" w:eastAsia="zh-CN"/>
            </w:rPr>
            <w:t>7.2.1</w:t>
          </w:r>
          <w:r>
            <w:rPr>
              <w:rFonts w:hint="eastAsia"/>
            </w:rPr>
            <w:t xml:space="preserve"> 计算涉气风险物质数量与临界量比值（Q）</w:t>
          </w:r>
          <w:r>
            <w:tab/>
          </w:r>
          <w:r>
            <w:fldChar w:fldCharType="begin"/>
          </w:r>
          <w:r>
            <w:instrText xml:space="preserve"> PAGEREF _Toc18440 </w:instrText>
          </w:r>
          <w:r>
            <w:fldChar w:fldCharType="separate"/>
          </w:r>
          <w:r>
            <w:t>41</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_Toc19093 </w:instrText>
          </w:r>
          <w:r>
            <w:rPr>
              <w:rFonts w:hint="eastAsia" w:ascii="宋体" w:hAnsi="宋体" w:eastAsia="宋体" w:cs="宋体"/>
              <w:szCs w:val="24"/>
            </w:rPr>
            <w:fldChar w:fldCharType="separate"/>
          </w:r>
          <w:r>
            <w:rPr>
              <w:rFonts w:hint="eastAsia"/>
              <w:lang w:val="en-US" w:eastAsia="zh-CN"/>
            </w:rPr>
            <w:t>7</w:t>
          </w:r>
          <w:r>
            <w:rPr>
              <w:rFonts w:hint="eastAsia"/>
            </w:rPr>
            <w:t>.2</w:t>
          </w:r>
          <w:r>
            <w:rPr>
              <w:rFonts w:hint="eastAsia"/>
              <w:lang w:val="en-US" w:eastAsia="zh-CN"/>
            </w:rPr>
            <w:t>.2</w:t>
          </w:r>
          <w:r>
            <w:rPr>
              <w:rFonts w:hint="eastAsia"/>
            </w:rPr>
            <w:t>生产工艺过程与大气环境风险控制水平（M）评估</w:t>
          </w:r>
          <w:r>
            <w:tab/>
          </w:r>
          <w:r>
            <w:fldChar w:fldCharType="begin"/>
          </w:r>
          <w:r>
            <w:instrText xml:space="preserve"> PAGEREF _Toc19093 </w:instrText>
          </w:r>
          <w:r>
            <w:fldChar w:fldCharType="separate"/>
          </w:r>
          <w:r>
            <w:t>42</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_Toc30557 </w:instrText>
          </w:r>
          <w:r>
            <w:rPr>
              <w:rFonts w:hint="eastAsia" w:ascii="宋体" w:hAnsi="宋体" w:eastAsia="宋体" w:cs="宋体"/>
              <w:szCs w:val="24"/>
            </w:rPr>
            <w:fldChar w:fldCharType="separate"/>
          </w:r>
          <w:r>
            <w:rPr>
              <w:rFonts w:hint="eastAsia"/>
              <w:lang w:val="en-US" w:eastAsia="zh-CN"/>
            </w:rPr>
            <w:t>7</w:t>
          </w:r>
          <w:r>
            <w:rPr>
              <w:rFonts w:hint="eastAsia"/>
            </w:rPr>
            <w:t>.2.</w:t>
          </w:r>
          <w:r>
            <w:rPr>
              <w:rFonts w:hint="eastAsia"/>
              <w:lang w:val="en-US" w:eastAsia="zh-CN"/>
            </w:rPr>
            <w:t>3</w:t>
          </w:r>
          <w:r>
            <w:rPr>
              <w:rFonts w:hint="eastAsia"/>
            </w:rPr>
            <w:t xml:space="preserve"> 生产工艺过程含有风险工艺和设备情况</w:t>
          </w:r>
          <w:r>
            <w:tab/>
          </w:r>
          <w:r>
            <w:fldChar w:fldCharType="begin"/>
          </w:r>
          <w:r>
            <w:instrText xml:space="preserve"> PAGEREF _Toc30557 </w:instrText>
          </w:r>
          <w:r>
            <w:fldChar w:fldCharType="separate"/>
          </w:r>
          <w:r>
            <w:t>42</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_Toc15722 </w:instrText>
          </w:r>
          <w:r>
            <w:rPr>
              <w:rFonts w:hint="eastAsia" w:ascii="宋体" w:hAnsi="宋体" w:eastAsia="宋体" w:cs="宋体"/>
              <w:szCs w:val="24"/>
            </w:rPr>
            <w:fldChar w:fldCharType="separate"/>
          </w:r>
          <w:r>
            <w:rPr>
              <w:rFonts w:hint="eastAsia"/>
              <w:lang w:val="en-US" w:eastAsia="zh-CN"/>
            </w:rPr>
            <w:t>7</w:t>
          </w:r>
          <w:r>
            <w:rPr>
              <w:rFonts w:hint="eastAsia"/>
            </w:rPr>
            <w:t>.2.</w:t>
          </w:r>
          <w:r>
            <w:rPr>
              <w:rFonts w:hint="eastAsia"/>
              <w:lang w:val="en-US" w:eastAsia="zh-CN"/>
            </w:rPr>
            <w:t>4</w:t>
          </w:r>
          <w:r>
            <w:rPr>
              <w:rFonts w:hint="eastAsia"/>
            </w:rPr>
            <w:t xml:space="preserve"> 大气环境风险防控措施及突发大气环境事件发生情况</w:t>
          </w:r>
          <w:r>
            <w:tab/>
          </w:r>
          <w:r>
            <w:fldChar w:fldCharType="begin"/>
          </w:r>
          <w:r>
            <w:instrText xml:space="preserve"> PAGEREF _Toc15722 </w:instrText>
          </w:r>
          <w:r>
            <w:fldChar w:fldCharType="separate"/>
          </w:r>
          <w:r>
            <w:t>43</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_Toc2310 </w:instrText>
          </w:r>
          <w:r>
            <w:rPr>
              <w:rFonts w:hint="eastAsia" w:ascii="宋体" w:hAnsi="宋体" w:eastAsia="宋体" w:cs="宋体"/>
              <w:szCs w:val="24"/>
            </w:rPr>
            <w:fldChar w:fldCharType="separate"/>
          </w:r>
          <w:r>
            <w:rPr>
              <w:rFonts w:hint="eastAsia" w:ascii="宋体" w:hAnsi="宋体" w:eastAsia="宋体" w:cs="宋体"/>
              <w:szCs w:val="24"/>
              <w:lang w:val="en-US" w:eastAsia="zh-CN"/>
            </w:rPr>
            <w:t>7</w:t>
          </w:r>
          <w:r>
            <w:rPr>
              <w:rFonts w:hint="eastAsia" w:ascii="宋体" w:hAnsi="宋体" w:eastAsia="宋体" w:cs="宋体"/>
              <w:szCs w:val="24"/>
              <w:lang w:eastAsia="zh-CN"/>
            </w:rPr>
            <w:t>.2.</w:t>
          </w:r>
          <w:r>
            <w:rPr>
              <w:rFonts w:hint="eastAsia" w:ascii="宋体" w:hAnsi="宋体" w:eastAsia="宋体" w:cs="宋体"/>
              <w:szCs w:val="24"/>
              <w:lang w:val="en-US" w:eastAsia="zh-CN"/>
            </w:rPr>
            <w:t>5</w:t>
          </w:r>
          <w:r>
            <w:rPr>
              <w:rFonts w:hint="eastAsia" w:ascii="宋体" w:hAnsi="宋体" w:eastAsia="宋体" w:cs="宋体"/>
              <w:szCs w:val="24"/>
              <w:lang w:eastAsia="zh-CN"/>
            </w:rPr>
            <w:t>企业生产工艺过程与大气环境风险控制水平</w:t>
          </w:r>
          <w:r>
            <w:tab/>
          </w:r>
          <w:r>
            <w:fldChar w:fldCharType="begin"/>
          </w:r>
          <w:r>
            <w:instrText xml:space="preserve"> PAGEREF _Toc2310 </w:instrText>
          </w:r>
          <w:r>
            <w:fldChar w:fldCharType="separate"/>
          </w:r>
          <w:r>
            <w:t>43</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_Toc1048 </w:instrText>
          </w:r>
          <w:r>
            <w:rPr>
              <w:rFonts w:hint="eastAsia" w:ascii="宋体" w:hAnsi="宋体" w:eastAsia="宋体" w:cs="宋体"/>
              <w:szCs w:val="24"/>
            </w:rPr>
            <w:fldChar w:fldCharType="separate"/>
          </w:r>
          <w:r>
            <w:rPr>
              <w:rFonts w:hint="eastAsia" w:ascii="宋体" w:hAnsi="宋体" w:eastAsia="宋体" w:cs="宋体"/>
              <w:szCs w:val="24"/>
              <w:lang w:val="en-US" w:eastAsia="zh-CN"/>
            </w:rPr>
            <w:t>7.2.7</w:t>
          </w:r>
          <w:r>
            <w:rPr>
              <w:rFonts w:hint="eastAsia" w:ascii="宋体" w:hAnsi="宋体" w:eastAsia="宋体" w:cs="宋体"/>
              <w:szCs w:val="24"/>
            </w:rPr>
            <w:t>突发大气环境事件风险等级确定</w:t>
          </w:r>
          <w:r>
            <w:tab/>
          </w:r>
          <w:r>
            <w:fldChar w:fldCharType="begin"/>
          </w:r>
          <w:r>
            <w:instrText xml:space="preserve"> PAGEREF _Toc1048 </w:instrText>
          </w:r>
          <w:r>
            <w:fldChar w:fldCharType="separate"/>
          </w:r>
          <w:r>
            <w:t>44</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_Toc5029 </w:instrText>
          </w:r>
          <w:r>
            <w:rPr>
              <w:rFonts w:hint="eastAsia" w:ascii="宋体" w:hAnsi="宋体" w:eastAsia="宋体" w:cs="宋体"/>
              <w:szCs w:val="24"/>
            </w:rPr>
            <w:fldChar w:fldCharType="separate"/>
          </w:r>
          <w:r>
            <w:rPr>
              <w:rFonts w:hint="eastAsia"/>
              <w:lang w:val="en-US" w:eastAsia="zh-CN"/>
            </w:rPr>
            <w:t>7.2.8</w:t>
          </w:r>
          <w:r>
            <w:t>大气环境事件风险表征</w:t>
          </w:r>
          <w:r>
            <w:tab/>
          </w:r>
          <w:r>
            <w:fldChar w:fldCharType="begin"/>
          </w:r>
          <w:r>
            <w:instrText xml:space="preserve"> PAGEREF _Toc5029 </w:instrText>
          </w:r>
          <w:r>
            <w:fldChar w:fldCharType="separate"/>
          </w:r>
          <w:r>
            <w:t>44</w:t>
          </w:r>
          <w:r>
            <w:fldChar w:fldCharType="end"/>
          </w:r>
          <w:r>
            <w:rPr>
              <w:rFonts w:hint="eastAsia" w:ascii="宋体" w:hAnsi="宋体" w:eastAsia="宋体" w:cs="宋体"/>
              <w:szCs w:val="24"/>
            </w:rPr>
            <w:fldChar w:fldCharType="end"/>
          </w:r>
        </w:p>
        <w:p>
          <w:pPr>
            <w:pStyle w:val="14"/>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_Toc21346 </w:instrText>
          </w:r>
          <w:r>
            <w:rPr>
              <w:rFonts w:hint="eastAsia" w:ascii="宋体" w:hAnsi="宋体" w:eastAsia="宋体" w:cs="宋体"/>
              <w:szCs w:val="24"/>
            </w:rPr>
            <w:fldChar w:fldCharType="separate"/>
          </w:r>
          <w:r>
            <w:rPr>
              <w:rFonts w:hint="eastAsia"/>
              <w:lang w:val="en-US" w:eastAsia="zh-CN"/>
            </w:rPr>
            <w:t>7.3</w:t>
          </w:r>
          <w:r>
            <w:rPr>
              <w:rFonts w:hint="eastAsia"/>
            </w:rPr>
            <w:t>突发水环境事件风险分级</w:t>
          </w:r>
          <w:r>
            <w:tab/>
          </w:r>
          <w:r>
            <w:fldChar w:fldCharType="begin"/>
          </w:r>
          <w:r>
            <w:instrText xml:space="preserve"> PAGEREF _Toc21346 </w:instrText>
          </w:r>
          <w:r>
            <w:fldChar w:fldCharType="separate"/>
          </w:r>
          <w:r>
            <w:t>45</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_Toc14065 </w:instrText>
          </w:r>
          <w:r>
            <w:rPr>
              <w:rFonts w:hint="eastAsia" w:ascii="宋体" w:hAnsi="宋体" w:eastAsia="宋体" w:cs="宋体"/>
              <w:szCs w:val="24"/>
            </w:rPr>
            <w:fldChar w:fldCharType="separate"/>
          </w:r>
          <w:r>
            <w:rPr>
              <w:rFonts w:hint="eastAsia"/>
            </w:rPr>
            <w:t>7.</w:t>
          </w:r>
          <w:r>
            <w:rPr>
              <w:rFonts w:hint="eastAsia"/>
              <w:lang w:val="en-US" w:eastAsia="zh-CN"/>
            </w:rPr>
            <w:t>3.</w:t>
          </w:r>
          <w:r>
            <w:rPr>
              <w:rFonts w:hint="eastAsia"/>
            </w:rPr>
            <w:t>1 计算涉水风险物质数量与临界量比值（Q）</w:t>
          </w:r>
          <w:r>
            <w:tab/>
          </w:r>
          <w:r>
            <w:fldChar w:fldCharType="begin"/>
          </w:r>
          <w:r>
            <w:instrText xml:space="preserve"> PAGEREF _Toc14065 </w:instrText>
          </w:r>
          <w:r>
            <w:fldChar w:fldCharType="separate"/>
          </w:r>
          <w:r>
            <w:t>45</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_Toc6685 </w:instrText>
          </w:r>
          <w:r>
            <w:rPr>
              <w:rFonts w:hint="eastAsia" w:ascii="宋体" w:hAnsi="宋体" w:eastAsia="宋体" w:cs="宋体"/>
              <w:szCs w:val="24"/>
            </w:rPr>
            <w:fldChar w:fldCharType="separate"/>
          </w:r>
          <w:r>
            <w:rPr>
              <w:rFonts w:hint="eastAsia"/>
            </w:rPr>
            <w:t>7.</w:t>
          </w:r>
          <w:r>
            <w:rPr>
              <w:rFonts w:hint="eastAsia"/>
              <w:lang w:val="en-US" w:eastAsia="zh-CN"/>
            </w:rPr>
            <w:t>3.2</w:t>
          </w:r>
          <w:r>
            <w:rPr>
              <w:rFonts w:hint="eastAsia"/>
            </w:rPr>
            <w:t xml:space="preserve"> 生产工艺过程与水环境风险控制水平（M）评估</w:t>
          </w:r>
          <w:r>
            <w:tab/>
          </w:r>
          <w:r>
            <w:fldChar w:fldCharType="begin"/>
          </w:r>
          <w:r>
            <w:instrText xml:space="preserve"> PAGEREF _Toc6685 </w:instrText>
          </w:r>
          <w:r>
            <w:fldChar w:fldCharType="separate"/>
          </w:r>
          <w:r>
            <w:t>45</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_Toc9344 </w:instrText>
          </w:r>
          <w:r>
            <w:rPr>
              <w:rFonts w:hint="eastAsia" w:ascii="宋体" w:hAnsi="宋体" w:eastAsia="宋体" w:cs="宋体"/>
              <w:szCs w:val="24"/>
            </w:rPr>
            <w:fldChar w:fldCharType="separate"/>
          </w:r>
          <w:r>
            <w:rPr>
              <w:rFonts w:hint="eastAsia"/>
            </w:rPr>
            <w:t>7.</w:t>
          </w:r>
          <w:r>
            <w:rPr>
              <w:rFonts w:hint="eastAsia"/>
              <w:lang w:val="en-US" w:eastAsia="zh-CN"/>
            </w:rPr>
            <w:t>3.4</w:t>
          </w:r>
          <w:r>
            <w:rPr>
              <w:rFonts w:hint="eastAsia"/>
            </w:rPr>
            <w:t xml:space="preserve"> 水环境风险防控措施及突发水环境事件发生情况</w:t>
          </w:r>
          <w:r>
            <w:tab/>
          </w:r>
          <w:r>
            <w:fldChar w:fldCharType="begin"/>
          </w:r>
          <w:r>
            <w:instrText xml:space="preserve"> PAGEREF _Toc9344 </w:instrText>
          </w:r>
          <w:r>
            <w:fldChar w:fldCharType="separate"/>
          </w:r>
          <w:r>
            <w:t>45</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_Toc4435 </w:instrText>
          </w:r>
          <w:r>
            <w:rPr>
              <w:rFonts w:hint="eastAsia" w:ascii="宋体" w:hAnsi="宋体" w:eastAsia="宋体" w:cs="宋体"/>
              <w:szCs w:val="24"/>
            </w:rPr>
            <w:fldChar w:fldCharType="separate"/>
          </w:r>
          <w:r>
            <w:rPr>
              <w:rFonts w:hint="eastAsia"/>
            </w:rPr>
            <w:t>7.</w:t>
          </w:r>
          <w:r>
            <w:rPr>
              <w:rFonts w:hint="eastAsia"/>
              <w:lang w:val="en-US" w:eastAsia="zh-CN"/>
            </w:rPr>
            <w:t>3</w:t>
          </w:r>
          <w:r>
            <w:rPr>
              <w:rFonts w:hint="eastAsia"/>
            </w:rPr>
            <w:t>.</w:t>
          </w:r>
          <w:r>
            <w:rPr>
              <w:rFonts w:hint="eastAsia"/>
              <w:lang w:val="en-US" w:eastAsia="zh-CN"/>
            </w:rPr>
            <w:t>5</w:t>
          </w:r>
          <w:r>
            <w:rPr>
              <w:rFonts w:hint="eastAsia"/>
            </w:rPr>
            <w:t xml:space="preserve"> 企业生产工艺过程与水环境风险控制水平</w:t>
          </w:r>
          <w:r>
            <w:tab/>
          </w:r>
          <w:r>
            <w:fldChar w:fldCharType="begin"/>
          </w:r>
          <w:r>
            <w:instrText xml:space="preserve"> PAGEREF _Toc4435 </w:instrText>
          </w:r>
          <w:r>
            <w:fldChar w:fldCharType="separate"/>
          </w:r>
          <w:r>
            <w:t>50</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_Toc28626 </w:instrText>
          </w:r>
          <w:r>
            <w:rPr>
              <w:rFonts w:hint="eastAsia" w:ascii="宋体" w:hAnsi="宋体" w:eastAsia="宋体" w:cs="宋体"/>
              <w:szCs w:val="24"/>
            </w:rPr>
            <w:fldChar w:fldCharType="separate"/>
          </w:r>
          <w:r>
            <w:rPr>
              <w:rFonts w:hint="eastAsia"/>
            </w:rPr>
            <w:t>7.3</w:t>
          </w:r>
          <w:r>
            <w:rPr>
              <w:rFonts w:hint="eastAsia"/>
              <w:lang w:val="en-US" w:eastAsia="zh-CN"/>
            </w:rPr>
            <w:t>.6</w:t>
          </w:r>
          <w:r>
            <w:rPr>
              <w:rFonts w:hint="eastAsia"/>
            </w:rPr>
            <w:t xml:space="preserve"> 水环境风险受体敏感程度（E）评估</w:t>
          </w:r>
          <w:r>
            <w:tab/>
          </w:r>
          <w:r>
            <w:fldChar w:fldCharType="begin"/>
          </w:r>
          <w:r>
            <w:instrText xml:space="preserve"> PAGEREF _Toc28626 </w:instrText>
          </w:r>
          <w:r>
            <w:fldChar w:fldCharType="separate"/>
          </w:r>
          <w:r>
            <w:t>50</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_Toc19103 </w:instrText>
          </w:r>
          <w:r>
            <w:rPr>
              <w:rFonts w:hint="eastAsia" w:ascii="宋体" w:hAnsi="宋体" w:eastAsia="宋体" w:cs="宋体"/>
              <w:szCs w:val="24"/>
            </w:rPr>
            <w:fldChar w:fldCharType="separate"/>
          </w:r>
          <w:r>
            <w:rPr>
              <w:rFonts w:hint="eastAsia"/>
            </w:rPr>
            <w:t>7.</w:t>
          </w:r>
          <w:r>
            <w:rPr>
              <w:rFonts w:hint="eastAsia"/>
              <w:lang w:val="en-US" w:eastAsia="zh-CN"/>
            </w:rPr>
            <w:t>3.7</w:t>
          </w:r>
          <w:r>
            <w:rPr>
              <w:rFonts w:hint="eastAsia"/>
            </w:rPr>
            <w:t>突发水环境事件风险等级确定</w:t>
          </w:r>
          <w:r>
            <w:tab/>
          </w:r>
          <w:r>
            <w:fldChar w:fldCharType="begin"/>
          </w:r>
          <w:r>
            <w:instrText xml:space="preserve"> PAGEREF _Toc19103 </w:instrText>
          </w:r>
          <w:r>
            <w:fldChar w:fldCharType="separate"/>
          </w:r>
          <w:r>
            <w:t>51</w:t>
          </w:r>
          <w:r>
            <w:fldChar w:fldCharType="end"/>
          </w:r>
          <w:r>
            <w:rPr>
              <w:rFonts w:hint="eastAsia" w:ascii="宋体" w:hAnsi="宋体" w:eastAsia="宋体" w:cs="宋体"/>
              <w:szCs w:val="24"/>
            </w:rPr>
            <w:fldChar w:fldCharType="end"/>
          </w:r>
        </w:p>
        <w:p>
          <w:pPr>
            <w:pStyle w:val="9"/>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_Toc26573 </w:instrText>
          </w:r>
          <w:r>
            <w:rPr>
              <w:rFonts w:hint="eastAsia" w:ascii="宋体" w:hAnsi="宋体" w:eastAsia="宋体" w:cs="宋体"/>
              <w:szCs w:val="24"/>
            </w:rPr>
            <w:fldChar w:fldCharType="separate"/>
          </w:r>
          <w:r>
            <w:rPr>
              <w:rFonts w:hint="eastAsia"/>
            </w:rPr>
            <w:t>7.</w:t>
          </w:r>
          <w:r>
            <w:rPr>
              <w:rFonts w:hint="eastAsia"/>
              <w:lang w:val="en-US" w:eastAsia="zh-CN"/>
            </w:rPr>
            <w:t>3.8</w:t>
          </w:r>
          <w:r>
            <w:rPr>
              <w:rFonts w:hint="eastAsia"/>
            </w:rPr>
            <w:t xml:space="preserve"> 突发水环境事件风险等级表征</w:t>
          </w:r>
          <w:r>
            <w:tab/>
          </w:r>
          <w:r>
            <w:fldChar w:fldCharType="begin"/>
          </w:r>
          <w:r>
            <w:instrText xml:space="preserve"> PAGEREF _Toc26573 </w:instrText>
          </w:r>
          <w:r>
            <w:fldChar w:fldCharType="separate"/>
          </w:r>
          <w:r>
            <w:t>51</w:t>
          </w:r>
          <w:r>
            <w:fldChar w:fldCharType="end"/>
          </w:r>
          <w:r>
            <w:rPr>
              <w:rFonts w:hint="eastAsia" w:ascii="宋体" w:hAnsi="宋体" w:eastAsia="宋体" w:cs="宋体"/>
              <w:szCs w:val="24"/>
            </w:rPr>
            <w:fldChar w:fldCharType="end"/>
          </w:r>
        </w:p>
        <w:p>
          <w:pPr>
            <w:pStyle w:val="14"/>
            <w:tabs>
              <w:tab w:val="right" w:leader="dot" w:pos="9690"/>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_Toc5687 </w:instrText>
          </w:r>
          <w:r>
            <w:rPr>
              <w:rFonts w:hint="eastAsia" w:ascii="宋体" w:hAnsi="宋体" w:eastAsia="宋体" w:cs="宋体"/>
              <w:szCs w:val="24"/>
            </w:rPr>
            <w:fldChar w:fldCharType="separate"/>
          </w:r>
          <w:r>
            <w:rPr>
              <w:rFonts w:hint="eastAsia"/>
              <w:lang w:val="en-US" w:eastAsia="zh-CN"/>
            </w:rPr>
            <w:t>7.4</w:t>
          </w:r>
          <w:r>
            <w:t xml:space="preserve"> </w:t>
          </w:r>
          <w:r>
            <w:rPr>
              <w:rFonts w:hint="eastAsia"/>
            </w:rPr>
            <w:t>风险等级表征</w:t>
          </w:r>
          <w:r>
            <w:tab/>
          </w:r>
          <w:r>
            <w:fldChar w:fldCharType="begin"/>
          </w:r>
          <w:r>
            <w:instrText xml:space="preserve"> PAGEREF _Toc5687 </w:instrText>
          </w:r>
          <w:r>
            <w:fldChar w:fldCharType="separate"/>
          </w:r>
          <w:r>
            <w:t>51</w:t>
          </w:r>
          <w:r>
            <w:fldChar w:fldCharType="end"/>
          </w:r>
          <w:r>
            <w:rPr>
              <w:rFonts w:hint="eastAsia" w:ascii="宋体" w:hAnsi="宋体" w:eastAsia="宋体" w:cs="宋体"/>
              <w:szCs w:val="24"/>
            </w:rPr>
            <w:fldChar w:fldCharType="end"/>
          </w:r>
        </w:p>
        <w:p>
          <w:pPr>
            <w:keepNext w:val="0"/>
            <w:keepLines w:val="0"/>
            <w:pageBreakBefore w:val="0"/>
            <w:widowControl w:val="0"/>
            <w:kinsoku/>
            <w:wordWrap/>
            <w:overflowPunct/>
            <w:topLinePunct w:val="0"/>
            <w:autoSpaceDE w:val="0"/>
            <w:autoSpaceDN w:val="0"/>
            <w:bidi w:val="0"/>
            <w:adjustRightInd/>
            <w:snapToGrid/>
            <w:spacing w:after="0" w:line="360" w:lineRule="auto"/>
            <w:ind w:firstLine="480" w:firstLineChars="200"/>
            <w:jc w:val="left"/>
            <w:textAlignment w:val="auto"/>
            <w:outlineLvl w:val="9"/>
            <w:rPr>
              <w:rFonts w:hint="eastAsia" w:ascii="宋体" w:hAnsi="宋体" w:eastAsia="宋体" w:cs="宋体"/>
              <w:sz w:val="24"/>
              <w:szCs w:val="24"/>
            </w:rPr>
            <w:sectPr>
              <w:pgSz w:w="11910" w:h="16850"/>
              <w:pgMar w:top="1380" w:right="1020" w:bottom="1240" w:left="1200" w:header="0" w:footer="1060" w:gutter="0"/>
              <w:pgNumType w:fmt="decimal"/>
              <w:cols w:equalWidth="0" w:num="1">
                <w:col w:w="9690"/>
              </w:cols>
            </w:sectPr>
          </w:pPr>
          <w:r>
            <w:rPr>
              <w:rFonts w:hint="eastAsia" w:ascii="宋体" w:hAnsi="宋体" w:eastAsia="宋体" w:cs="宋体"/>
              <w:szCs w:val="24"/>
            </w:rPr>
            <w:fldChar w:fldCharType="end"/>
          </w:r>
        </w:p>
      </w:sdtContent>
    </w:sdt>
    <w:p>
      <w:pPr>
        <w:pStyle w:val="2"/>
        <w:ind w:left="0" w:leftChars="0" w:firstLine="0" w:firstLineChars="0"/>
        <w:rPr>
          <w:rFonts w:hint="eastAsia"/>
        </w:rPr>
      </w:pPr>
      <w:bookmarkStart w:id="0" w:name="_Toc30319"/>
      <w:r>
        <w:rPr>
          <w:rFonts w:hint="eastAsia"/>
          <w:lang w:val="en-US" w:eastAsia="zh-CN"/>
        </w:rPr>
        <w:t>1、</w:t>
      </w:r>
      <w:r>
        <w:rPr>
          <w:rFonts w:hint="eastAsia"/>
          <w:lang w:eastAsia="zh-CN"/>
        </w:rPr>
        <w:t>前言</w:t>
      </w:r>
      <w:bookmarkEnd w:id="0"/>
    </w:p>
    <w:p>
      <w:pPr>
        <w:spacing w:line="360" w:lineRule="auto"/>
        <w:ind w:firstLine="480" w:firstLineChars="200"/>
        <w:rPr>
          <w:rFonts w:hint="eastAsia" w:ascii="宋体" w:hAnsi="宋体" w:eastAsia="宋体" w:cs="宋体"/>
          <w:iCs/>
          <w:color w:val="auto"/>
          <w:sz w:val="24"/>
        </w:rPr>
      </w:pPr>
      <w:r>
        <w:rPr>
          <w:rFonts w:hint="eastAsia" w:ascii="宋体" w:hAnsi="宋体" w:eastAsia="宋体" w:cs="宋体"/>
          <w:iCs/>
          <w:color w:val="auto"/>
          <w:sz w:val="24"/>
        </w:rPr>
        <w:t>当前，我国已进入突发环境事件多发期和矛盾凸显期，环境问题日益成为威胁人体健康、公共安全和社会稳定的重要原因。为贯彻落实环境风险防控任务，保障人民群众的身体健康和环境安全，规范企业突发环境事件风险评估行为，为企业提高环境风险防控能力提供切实指导，环保部先后出台了《关于印发&lt;企业突发环境事件风险评估指南(试行)&gt;的通知》(环办[2014]34号)、《突发环境事件调查处理办法》（环保部令 第32号）、《突发环境事件应急管理办法》（环保部令 第34号）、《关于印发企业事业单位突发环境事件应急预案备案管理办法（试行）的通知》（环发[2015]4号）等一系列部门规章。</w:t>
      </w:r>
    </w:p>
    <w:p>
      <w:pPr>
        <w:spacing w:line="360" w:lineRule="auto"/>
        <w:ind w:firstLine="448" w:firstLineChars="200"/>
        <w:rPr>
          <w:rFonts w:hint="eastAsia" w:ascii="宋体" w:hAnsi="宋体" w:eastAsia="宋体" w:cs="宋体"/>
          <w:iCs/>
          <w:color w:val="auto"/>
          <w:sz w:val="24"/>
          <w:szCs w:val="24"/>
        </w:rPr>
      </w:pPr>
      <w:r>
        <w:rPr>
          <w:rFonts w:hint="eastAsia" w:ascii="宋体" w:hAnsi="宋体" w:eastAsia="宋体" w:cs="宋体"/>
          <w:color w:val="auto"/>
          <w:spacing w:val="-8"/>
          <w:sz w:val="24"/>
          <w:szCs w:val="24"/>
        </w:rPr>
        <w:t>乔旭（九江）企业有限公司</w:t>
      </w:r>
      <w:r>
        <w:rPr>
          <w:rFonts w:hint="eastAsia" w:ascii="宋体" w:hAnsi="宋体" w:eastAsia="宋体" w:cs="宋体"/>
          <w:iCs/>
          <w:color w:val="auto"/>
          <w:sz w:val="24"/>
          <w:szCs w:val="24"/>
        </w:rPr>
        <w:t>为认真做好环境安全风险防控工作，编制</w:t>
      </w:r>
      <w:r>
        <w:rPr>
          <w:rFonts w:hint="eastAsia" w:ascii="宋体" w:hAnsi="宋体" w:eastAsia="宋体" w:cs="宋体"/>
          <w:iCs/>
          <w:color w:val="auto"/>
          <w:sz w:val="24"/>
          <w:szCs w:val="24"/>
          <w:lang w:eastAsia="zh-CN"/>
        </w:rPr>
        <w:t>完成</w:t>
      </w:r>
      <w:r>
        <w:rPr>
          <w:rFonts w:hint="eastAsia" w:ascii="宋体" w:hAnsi="宋体" w:eastAsia="宋体" w:cs="宋体"/>
          <w:iCs/>
          <w:color w:val="auto"/>
          <w:sz w:val="24"/>
          <w:szCs w:val="24"/>
        </w:rPr>
        <w:t>了《</w:t>
      </w:r>
      <w:r>
        <w:rPr>
          <w:rFonts w:hint="eastAsia" w:ascii="宋体" w:hAnsi="宋体" w:eastAsia="宋体" w:cs="宋体"/>
          <w:color w:val="auto"/>
          <w:spacing w:val="-8"/>
          <w:sz w:val="24"/>
          <w:szCs w:val="24"/>
        </w:rPr>
        <w:t>乔旭（九江）企业有限公司</w:t>
      </w:r>
      <w:r>
        <w:rPr>
          <w:rFonts w:hint="eastAsia" w:ascii="宋体" w:hAnsi="宋体" w:eastAsia="宋体" w:cs="宋体"/>
          <w:iCs/>
          <w:color w:val="auto"/>
          <w:sz w:val="24"/>
          <w:szCs w:val="24"/>
        </w:rPr>
        <w:t>突发环境事件风险评估报告》。通过开展突发环境事件风险评估，企业可以掌握自身环境风险状况，明确环境风险防控措施，为日常环境风险监管奠定基础，最终达到有效防范突发环境事件发生的目标，同时有利于各级环保部门对该企业开展针对性的监督管理，提高管理效率，降低管理成本。</w:t>
      </w:r>
    </w:p>
    <w:p>
      <w:pPr>
        <w:rPr>
          <w:rFonts w:hint="eastAsia" w:ascii="宋体" w:hAnsi="宋体" w:eastAsia="宋体" w:cs="宋体"/>
        </w:rPr>
      </w:pPr>
      <w:r>
        <w:rPr>
          <w:rFonts w:hint="eastAsia" w:ascii="宋体" w:hAnsi="宋体" w:eastAsia="宋体" w:cs="宋体"/>
          <w:iCs/>
          <w:color w:val="FF0000"/>
          <w:sz w:val="24"/>
        </w:rPr>
        <w:br w:type="page"/>
      </w:r>
    </w:p>
    <w:p>
      <w:pPr>
        <w:pStyle w:val="2"/>
        <w:ind w:left="0" w:leftChars="0" w:firstLine="0" w:firstLineChars="0"/>
        <w:rPr>
          <w:rFonts w:hint="eastAsia"/>
        </w:rPr>
      </w:pPr>
      <w:bookmarkStart w:id="1" w:name="_Toc24863"/>
      <w:r>
        <w:rPr>
          <w:rFonts w:hint="eastAsia"/>
          <w:lang w:val="en-US" w:eastAsia="zh-CN"/>
        </w:rPr>
        <w:t>2、</w:t>
      </w:r>
      <w:r>
        <w:rPr>
          <w:rFonts w:hint="eastAsia"/>
          <w:lang w:eastAsia="zh-CN"/>
        </w:rPr>
        <w:t>总则</w:t>
      </w:r>
      <w:bookmarkEnd w:id="1"/>
    </w:p>
    <w:p>
      <w:pPr>
        <w:pStyle w:val="3"/>
        <w:rPr>
          <w:rFonts w:hint="eastAsia"/>
        </w:rPr>
      </w:pPr>
      <w:bookmarkStart w:id="2" w:name="_Toc19370"/>
      <w:r>
        <w:rPr>
          <w:rFonts w:hint="eastAsia"/>
          <w:lang w:val="en-US" w:eastAsia="zh-CN"/>
        </w:rPr>
        <w:t>2.1</w:t>
      </w:r>
      <w:r>
        <w:rPr>
          <w:rFonts w:hint="eastAsia"/>
          <w:lang w:eastAsia="zh-CN"/>
        </w:rPr>
        <w:t>编制原则</w:t>
      </w:r>
      <w:bookmarkEnd w:id="2"/>
    </w:p>
    <w:p>
      <w:pPr>
        <w:spacing w:line="360" w:lineRule="auto"/>
        <w:ind w:firstLine="480" w:firstLineChars="200"/>
        <w:rPr>
          <w:rFonts w:hint="eastAsia" w:ascii="宋体" w:hAnsi="宋体" w:eastAsia="宋体" w:cs="宋体"/>
          <w:iCs/>
          <w:color w:val="auto"/>
          <w:sz w:val="24"/>
          <w:szCs w:val="24"/>
        </w:rPr>
      </w:pPr>
      <w:r>
        <w:rPr>
          <w:rFonts w:hint="eastAsia" w:ascii="宋体" w:hAnsi="宋体" w:eastAsia="宋体" w:cs="宋体"/>
          <w:iCs/>
          <w:color w:val="auto"/>
          <w:sz w:val="24"/>
          <w:szCs w:val="24"/>
        </w:rPr>
        <w:t>按照“以人为本”的宗旨，合理保障人民群众的身体健康和环境安全，严格规范企业突发环境事件风险评估行为，提高突发环境事件防控能力，全面落实企业环境风险防控主体，并遵循以下原则开展环境风险评估工作：</w:t>
      </w:r>
    </w:p>
    <w:p>
      <w:pPr>
        <w:spacing w:line="360" w:lineRule="auto"/>
        <w:ind w:firstLine="480" w:firstLineChars="200"/>
        <w:rPr>
          <w:rFonts w:hint="eastAsia" w:ascii="宋体" w:hAnsi="宋体" w:eastAsia="宋体" w:cs="宋体"/>
          <w:iCs/>
          <w:color w:val="auto"/>
          <w:sz w:val="24"/>
          <w:szCs w:val="24"/>
        </w:rPr>
      </w:pPr>
      <w:r>
        <w:rPr>
          <w:rFonts w:hint="eastAsia" w:ascii="宋体" w:hAnsi="宋体" w:eastAsia="宋体" w:cs="宋体"/>
          <w:iCs/>
          <w:color w:val="auto"/>
          <w:sz w:val="24"/>
          <w:szCs w:val="24"/>
        </w:rPr>
        <w:t>（1）全面、细致地进行现状调查；</w:t>
      </w:r>
    </w:p>
    <w:p>
      <w:pPr>
        <w:spacing w:line="360" w:lineRule="auto"/>
        <w:ind w:firstLine="480" w:firstLineChars="200"/>
        <w:rPr>
          <w:rFonts w:hint="eastAsia" w:ascii="宋体" w:hAnsi="宋体" w:eastAsia="宋体" w:cs="宋体"/>
          <w:iCs/>
          <w:color w:val="auto"/>
          <w:sz w:val="24"/>
          <w:szCs w:val="24"/>
        </w:rPr>
      </w:pPr>
      <w:r>
        <w:rPr>
          <w:rFonts w:hint="eastAsia" w:ascii="宋体" w:hAnsi="宋体" w:eastAsia="宋体" w:cs="宋体"/>
          <w:iCs/>
          <w:color w:val="auto"/>
          <w:sz w:val="24"/>
          <w:szCs w:val="24"/>
        </w:rPr>
        <w:t>（2）科学、客观地进行评估，如实反映企业的环境风险水平；</w:t>
      </w:r>
    </w:p>
    <w:p>
      <w:pPr>
        <w:spacing w:line="360" w:lineRule="auto"/>
        <w:ind w:firstLine="480" w:firstLineChars="200"/>
        <w:rPr>
          <w:rFonts w:hint="eastAsia" w:ascii="宋体" w:hAnsi="宋体" w:eastAsia="宋体" w:cs="宋体"/>
          <w:iCs/>
          <w:color w:val="auto"/>
          <w:sz w:val="24"/>
          <w:szCs w:val="24"/>
        </w:rPr>
      </w:pPr>
      <w:r>
        <w:rPr>
          <w:rFonts w:hint="eastAsia" w:ascii="宋体" w:hAnsi="宋体" w:eastAsia="宋体" w:cs="宋体"/>
          <w:iCs/>
          <w:color w:val="auto"/>
          <w:sz w:val="24"/>
          <w:szCs w:val="24"/>
        </w:rPr>
        <w:t>（3）认真排查企业存在的环境风险，</w:t>
      </w:r>
      <w:r>
        <w:rPr>
          <w:rFonts w:hint="eastAsia" w:ascii="宋体" w:hAnsi="宋体" w:eastAsia="宋体" w:cs="宋体"/>
          <w:iCs/>
          <w:color w:val="auto"/>
          <w:sz w:val="24"/>
          <w:szCs w:val="24"/>
          <w:lang w:eastAsia="zh-CN"/>
        </w:rPr>
        <w:t>参照</w:t>
      </w:r>
      <w:r>
        <w:rPr>
          <w:rFonts w:hint="eastAsia" w:ascii="宋体" w:hAnsi="宋体" w:eastAsia="宋体" w:cs="宋体"/>
          <w:iCs/>
          <w:color w:val="auto"/>
          <w:sz w:val="24"/>
          <w:szCs w:val="24"/>
        </w:rPr>
        <w:t>《企业突发环境事件风险评估指南(试行)》等各级环保部门关于环境安全管理的一系列文件要求，进行评估；</w:t>
      </w:r>
    </w:p>
    <w:p>
      <w:pPr>
        <w:spacing w:line="360" w:lineRule="auto"/>
        <w:ind w:firstLine="480" w:firstLineChars="200"/>
        <w:rPr>
          <w:rFonts w:hint="eastAsia" w:ascii="宋体" w:hAnsi="宋体" w:eastAsia="宋体" w:cs="宋体"/>
          <w:iCs/>
          <w:color w:val="auto"/>
          <w:sz w:val="24"/>
          <w:szCs w:val="24"/>
        </w:rPr>
      </w:pPr>
      <w:r>
        <w:rPr>
          <w:rFonts w:hint="eastAsia" w:ascii="宋体" w:hAnsi="宋体" w:eastAsia="宋体" w:cs="宋体"/>
          <w:iCs/>
          <w:color w:val="auto"/>
          <w:sz w:val="24"/>
          <w:szCs w:val="24"/>
        </w:rPr>
        <w:t>（4）评估报告的内容和格式</w:t>
      </w:r>
      <w:r>
        <w:rPr>
          <w:rFonts w:hint="eastAsia" w:ascii="宋体" w:hAnsi="宋体" w:eastAsia="宋体" w:cs="宋体"/>
          <w:b w:val="0"/>
          <w:bCs w:val="0"/>
          <w:iCs/>
          <w:color w:val="auto"/>
          <w:sz w:val="24"/>
          <w:szCs w:val="24"/>
          <w:lang w:eastAsia="zh-CN"/>
        </w:rPr>
        <w:t>参照</w:t>
      </w:r>
      <w:r>
        <w:rPr>
          <w:rFonts w:hint="eastAsia" w:ascii="宋体" w:hAnsi="宋体" w:eastAsia="宋体" w:cs="宋体"/>
          <w:iCs/>
          <w:color w:val="auto"/>
          <w:sz w:val="24"/>
          <w:szCs w:val="24"/>
        </w:rPr>
        <w:t>《企业突发环境事件风险评估指南(试行)》的要求。</w:t>
      </w:r>
    </w:p>
    <w:p>
      <w:pPr>
        <w:pStyle w:val="3"/>
        <w:rPr>
          <w:rFonts w:hint="eastAsia"/>
        </w:rPr>
      </w:pPr>
      <w:bookmarkStart w:id="3" w:name="_Toc421817086"/>
      <w:bookmarkStart w:id="4" w:name="_Toc421483850"/>
      <w:bookmarkStart w:id="5" w:name="_Toc421483189"/>
      <w:bookmarkStart w:id="6" w:name="_Toc421487083"/>
      <w:bookmarkStart w:id="7" w:name="_Toc30522"/>
      <w:bookmarkStart w:id="8" w:name="_Toc12669"/>
      <w:bookmarkStart w:id="9" w:name="_Toc421487008"/>
      <w:bookmarkStart w:id="10" w:name="_Toc357"/>
      <w:r>
        <w:rPr>
          <w:rFonts w:hint="eastAsia"/>
        </w:rPr>
        <w:t>2.2 编制依据</w:t>
      </w:r>
      <w:bookmarkEnd w:id="3"/>
      <w:bookmarkEnd w:id="4"/>
      <w:bookmarkEnd w:id="5"/>
      <w:bookmarkEnd w:id="6"/>
      <w:bookmarkEnd w:id="7"/>
      <w:bookmarkEnd w:id="8"/>
      <w:bookmarkEnd w:id="9"/>
      <w:bookmarkEnd w:id="10"/>
    </w:p>
    <w:p>
      <w:pPr>
        <w:pStyle w:val="4"/>
        <w:ind w:firstLine="240" w:firstLineChars="100"/>
        <w:rPr>
          <w:rFonts w:hint="eastAsia" w:ascii="宋体" w:hAnsi="宋体" w:eastAsia="宋体" w:cs="宋体"/>
        </w:rPr>
      </w:pPr>
      <w:bookmarkStart w:id="11" w:name="_Toc13984"/>
      <w:bookmarkStart w:id="12" w:name="_Toc24717"/>
      <w:r>
        <w:rPr>
          <w:rFonts w:hint="eastAsia" w:ascii="宋体" w:hAnsi="宋体" w:eastAsia="宋体" w:cs="宋体"/>
          <w:color w:val="auto"/>
        </w:rPr>
        <w:t>2.2.1 法律法规、规章、指导性文件</w:t>
      </w:r>
      <w:bookmarkEnd w:id="11"/>
      <w:bookmarkEnd w:id="12"/>
    </w:p>
    <w:p>
      <w:pPr>
        <w:pStyle w:val="20"/>
        <w:numPr>
          <w:ilvl w:val="0"/>
          <w:numId w:val="0"/>
        </w:numPr>
        <w:tabs>
          <w:tab w:val="left" w:pos="1096"/>
        </w:tabs>
        <w:spacing w:before="201" w:after="0" w:line="240" w:lineRule="auto"/>
        <w:ind w:right="0" w:rightChars="0"/>
        <w:jc w:val="left"/>
        <w:rPr>
          <w:rFonts w:hint="eastAsia" w:ascii="宋体" w:hAnsi="宋体" w:eastAsia="宋体" w:cs="宋体"/>
          <w:sz w:val="24"/>
          <w:szCs w:val="24"/>
        </w:rPr>
      </w:pPr>
      <w:bookmarkStart w:id="13" w:name="_Toc401654903"/>
      <w:bookmarkStart w:id="14" w:name="_Toc32407"/>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1</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rPr>
        <w:t>《中华人民共和国突发事件应对法》</w:t>
      </w:r>
      <w:r>
        <w:rPr>
          <w:rFonts w:hint="eastAsia" w:ascii="宋体" w:hAnsi="宋体" w:eastAsia="宋体" w:cs="宋体"/>
          <w:sz w:val="24"/>
          <w:szCs w:val="24"/>
        </w:rPr>
        <w:t>（2007.</w:t>
      </w:r>
      <w:r>
        <w:rPr>
          <w:rFonts w:hint="eastAsia" w:ascii="宋体" w:hAnsi="宋体" w:eastAsia="宋体" w:cs="宋体"/>
          <w:spacing w:val="-8"/>
          <w:sz w:val="24"/>
          <w:szCs w:val="24"/>
        </w:rPr>
        <w:t>1</w:t>
      </w:r>
      <w:r>
        <w:rPr>
          <w:rFonts w:hint="eastAsia" w:ascii="宋体" w:hAnsi="宋体" w:eastAsia="宋体" w:cs="宋体"/>
          <w:spacing w:val="-3"/>
          <w:sz w:val="24"/>
          <w:szCs w:val="24"/>
        </w:rPr>
        <w:t>1</w:t>
      </w:r>
      <w:r>
        <w:rPr>
          <w:rFonts w:hint="eastAsia" w:ascii="宋体" w:hAnsi="宋体" w:eastAsia="宋体" w:cs="宋体"/>
          <w:sz w:val="24"/>
          <w:szCs w:val="24"/>
        </w:rPr>
        <w:t>.1</w:t>
      </w:r>
      <w:r>
        <w:rPr>
          <w:rFonts w:hint="eastAsia" w:ascii="宋体" w:hAnsi="宋体" w:eastAsia="宋体" w:cs="宋体"/>
          <w:spacing w:val="-120"/>
          <w:sz w:val="24"/>
          <w:szCs w:val="24"/>
        </w:rPr>
        <w:t>）</w:t>
      </w:r>
      <w:r>
        <w:rPr>
          <w:rFonts w:hint="eastAsia" w:ascii="宋体" w:hAnsi="宋体" w:eastAsia="宋体" w:cs="宋体"/>
          <w:sz w:val="24"/>
          <w:szCs w:val="24"/>
        </w:rPr>
        <w:t>；</w:t>
      </w:r>
    </w:p>
    <w:p>
      <w:pPr>
        <w:pStyle w:val="20"/>
        <w:numPr>
          <w:ilvl w:val="0"/>
          <w:numId w:val="0"/>
        </w:numPr>
        <w:tabs>
          <w:tab w:val="left" w:pos="1096"/>
        </w:tabs>
        <w:spacing w:before="192" w:after="0" w:line="240" w:lineRule="auto"/>
        <w:ind w:right="0" w:rightChars="0"/>
        <w:jc w:val="left"/>
        <w:rPr>
          <w:rFonts w:hint="eastAsia" w:ascii="宋体" w:hAnsi="宋体" w:eastAsia="宋体" w:cs="宋体"/>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2</w:t>
      </w:r>
      <w:r>
        <w:rPr>
          <w:rFonts w:hint="eastAsia" w:ascii="宋体" w:hAnsi="宋体" w:eastAsia="宋体" w:cs="宋体"/>
          <w:spacing w:val="-8"/>
          <w:sz w:val="24"/>
          <w:szCs w:val="24"/>
          <w:lang w:eastAsia="zh-CN"/>
        </w:rPr>
        <w:t>）</w:t>
      </w:r>
      <w:r>
        <w:rPr>
          <w:rFonts w:hint="eastAsia" w:ascii="宋体" w:hAnsi="宋体" w:eastAsia="宋体" w:cs="宋体"/>
          <w:spacing w:val="-9"/>
          <w:sz w:val="24"/>
          <w:szCs w:val="24"/>
        </w:rPr>
        <w:t>《中华人民共和国环境保护法》</w:t>
      </w:r>
      <w:r>
        <w:rPr>
          <w:rFonts w:hint="eastAsia" w:ascii="宋体" w:hAnsi="宋体" w:eastAsia="宋体" w:cs="宋体"/>
          <w:sz w:val="24"/>
          <w:szCs w:val="24"/>
        </w:rPr>
        <w:t>（2015.1.1</w:t>
      </w:r>
      <w:r>
        <w:rPr>
          <w:rFonts w:hint="eastAsia" w:ascii="宋体" w:hAnsi="宋体" w:eastAsia="宋体" w:cs="宋体"/>
          <w:spacing w:val="-120"/>
          <w:sz w:val="24"/>
          <w:szCs w:val="24"/>
        </w:rPr>
        <w:t>）</w:t>
      </w:r>
      <w:r>
        <w:rPr>
          <w:rFonts w:hint="eastAsia" w:ascii="宋体" w:hAnsi="宋体" w:eastAsia="宋体" w:cs="宋体"/>
          <w:sz w:val="24"/>
          <w:szCs w:val="24"/>
        </w:rPr>
        <w:t>；</w:t>
      </w:r>
    </w:p>
    <w:p>
      <w:pPr>
        <w:pStyle w:val="20"/>
        <w:numPr>
          <w:ilvl w:val="0"/>
          <w:numId w:val="0"/>
        </w:numPr>
        <w:tabs>
          <w:tab w:val="left" w:pos="1096"/>
        </w:tabs>
        <w:spacing w:before="191" w:after="0" w:line="240" w:lineRule="auto"/>
        <w:ind w:right="0" w:rightChars="0"/>
        <w:jc w:val="left"/>
        <w:rPr>
          <w:rFonts w:hint="eastAsia" w:ascii="宋体" w:hAnsi="宋体" w:eastAsia="宋体" w:cs="宋体"/>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3</w:t>
      </w:r>
      <w:r>
        <w:rPr>
          <w:rFonts w:hint="eastAsia" w:ascii="宋体" w:hAnsi="宋体" w:eastAsia="宋体" w:cs="宋体"/>
          <w:spacing w:val="-8"/>
          <w:sz w:val="24"/>
          <w:szCs w:val="24"/>
          <w:lang w:eastAsia="zh-CN"/>
        </w:rPr>
        <w:t>）</w:t>
      </w:r>
      <w:r>
        <w:rPr>
          <w:rFonts w:hint="eastAsia" w:ascii="宋体" w:hAnsi="宋体" w:eastAsia="宋体" w:cs="宋体"/>
          <w:spacing w:val="-9"/>
          <w:sz w:val="24"/>
          <w:szCs w:val="24"/>
        </w:rPr>
        <w:t>《中华人民共和国安全生产法》</w:t>
      </w:r>
      <w:r>
        <w:rPr>
          <w:rFonts w:hint="eastAsia" w:ascii="宋体" w:hAnsi="宋体" w:eastAsia="宋体" w:cs="宋体"/>
          <w:sz w:val="24"/>
          <w:szCs w:val="24"/>
        </w:rPr>
        <w:t>（2014.12.1</w:t>
      </w:r>
      <w:r>
        <w:rPr>
          <w:rFonts w:hint="eastAsia" w:ascii="宋体" w:hAnsi="宋体" w:eastAsia="宋体" w:cs="宋体"/>
          <w:spacing w:val="-120"/>
          <w:sz w:val="24"/>
          <w:szCs w:val="24"/>
        </w:rPr>
        <w:t>）</w:t>
      </w:r>
      <w:r>
        <w:rPr>
          <w:rFonts w:hint="eastAsia" w:ascii="宋体" w:hAnsi="宋体" w:eastAsia="宋体" w:cs="宋体"/>
          <w:sz w:val="24"/>
          <w:szCs w:val="24"/>
        </w:rPr>
        <w:t>；</w:t>
      </w:r>
    </w:p>
    <w:p>
      <w:pPr>
        <w:pStyle w:val="20"/>
        <w:numPr>
          <w:ilvl w:val="0"/>
          <w:numId w:val="0"/>
        </w:numPr>
        <w:tabs>
          <w:tab w:val="left" w:pos="1096"/>
        </w:tabs>
        <w:spacing w:before="195" w:after="0" w:line="240" w:lineRule="auto"/>
        <w:ind w:right="0" w:rightChars="0"/>
        <w:jc w:val="left"/>
        <w:rPr>
          <w:rFonts w:hint="eastAsia" w:ascii="宋体" w:hAnsi="宋体" w:eastAsia="宋体" w:cs="宋体"/>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4</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rPr>
        <w:t>《中华人民共和国水污染防治法》</w:t>
      </w:r>
      <w:r>
        <w:rPr>
          <w:rFonts w:hint="eastAsia" w:ascii="宋体" w:hAnsi="宋体" w:eastAsia="宋体" w:cs="宋体"/>
          <w:sz w:val="24"/>
          <w:szCs w:val="24"/>
        </w:rPr>
        <w:t>（2008.6.1</w:t>
      </w:r>
      <w:r>
        <w:rPr>
          <w:rFonts w:hint="eastAsia" w:ascii="宋体" w:hAnsi="宋体" w:eastAsia="宋体" w:cs="宋体"/>
          <w:spacing w:val="-120"/>
          <w:sz w:val="24"/>
          <w:szCs w:val="24"/>
        </w:rPr>
        <w:t>）</w:t>
      </w:r>
      <w:r>
        <w:rPr>
          <w:rFonts w:hint="eastAsia" w:ascii="宋体" w:hAnsi="宋体" w:eastAsia="宋体" w:cs="宋体"/>
          <w:sz w:val="24"/>
          <w:szCs w:val="24"/>
        </w:rPr>
        <w:t>；</w:t>
      </w:r>
    </w:p>
    <w:p>
      <w:pPr>
        <w:pStyle w:val="20"/>
        <w:numPr>
          <w:ilvl w:val="0"/>
          <w:numId w:val="0"/>
        </w:numPr>
        <w:tabs>
          <w:tab w:val="left" w:pos="1096"/>
        </w:tabs>
        <w:spacing w:before="191" w:after="0" w:line="240" w:lineRule="auto"/>
        <w:ind w:right="0" w:rightChars="0"/>
        <w:jc w:val="left"/>
        <w:rPr>
          <w:rFonts w:hint="eastAsia" w:ascii="宋体" w:hAnsi="宋体" w:eastAsia="宋体" w:cs="宋体"/>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5</w:t>
      </w:r>
      <w:r>
        <w:rPr>
          <w:rFonts w:hint="eastAsia" w:ascii="宋体" w:hAnsi="宋体" w:eastAsia="宋体" w:cs="宋体"/>
          <w:spacing w:val="-8"/>
          <w:sz w:val="24"/>
          <w:szCs w:val="24"/>
          <w:lang w:eastAsia="zh-CN"/>
        </w:rPr>
        <w:t>）</w:t>
      </w:r>
      <w:r>
        <w:rPr>
          <w:rFonts w:hint="eastAsia" w:ascii="宋体" w:hAnsi="宋体" w:eastAsia="宋体" w:cs="宋体"/>
          <w:spacing w:val="-10"/>
          <w:sz w:val="24"/>
          <w:szCs w:val="24"/>
        </w:rPr>
        <w:t>《危险化学品安全管理条例》</w:t>
      </w:r>
      <w:r>
        <w:rPr>
          <w:rFonts w:hint="eastAsia" w:ascii="宋体" w:hAnsi="宋体" w:eastAsia="宋体" w:cs="宋体"/>
          <w:sz w:val="24"/>
          <w:szCs w:val="24"/>
        </w:rPr>
        <w:t>（20</w:t>
      </w:r>
      <w:r>
        <w:rPr>
          <w:rFonts w:hint="eastAsia" w:ascii="宋体" w:hAnsi="宋体" w:eastAsia="宋体" w:cs="宋体"/>
          <w:spacing w:val="-8"/>
          <w:sz w:val="24"/>
          <w:szCs w:val="24"/>
        </w:rPr>
        <w:t>1</w:t>
      </w:r>
      <w:r>
        <w:rPr>
          <w:rFonts w:hint="eastAsia" w:ascii="宋体" w:hAnsi="宋体" w:eastAsia="宋体" w:cs="宋体"/>
          <w:spacing w:val="-3"/>
          <w:sz w:val="24"/>
          <w:szCs w:val="24"/>
        </w:rPr>
        <w:t>1</w:t>
      </w:r>
      <w:r>
        <w:rPr>
          <w:rFonts w:hint="eastAsia" w:ascii="宋体" w:hAnsi="宋体" w:eastAsia="宋体" w:cs="宋体"/>
          <w:sz w:val="24"/>
          <w:szCs w:val="24"/>
        </w:rPr>
        <w:t>.12.1</w:t>
      </w:r>
      <w:r>
        <w:rPr>
          <w:rFonts w:hint="eastAsia" w:ascii="宋体" w:hAnsi="宋体" w:eastAsia="宋体" w:cs="宋体"/>
          <w:spacing w:val="-120"/>
          <w:sz w:val="24"/>
          <w:szCs w:val="24"/>
        </w:rPr>
        <w:t>）</w:t>
      </w:r>
      <w:r>
        <w:rPr>
          <w:rFonts w:hint="eastAsia" w:ascii="宋体" w:hAnsi="宋体" w:eastAsia="宋体" w:cs="宋体"/>
          <w:sz w:val="24"/>
          <w:szCs w:val="24"/>
        </w:rPr>
        <w:t>；</w:t>
      </w:r>
    </w:p>
    <w:p>
      <w:pPr>
        <w:pStyle w:val="20"/>
        <w:numPr>
          <w:ilvl w:val="0"/>
          <w:numId w:val="0"/>
        </w:numPr>
        <w:tabs>
          <w:tab w:val="left" w:pos="1096"/>
        </w:tabs>
        <w:spacing w:before="192" w:after="0" w:line="240" w:lineRule="auto"/>
        <w:ind w:right="0" w:rightChars="0"/>
        <w:jc w:val="left"/>
        <w:rPr>
          <w:rFonts w:hint="eastAsia" w:ascii="宋体" w:hAnsi="宋体" w:eastAsia="宋体" w:cs="宋体"/>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6</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rPr>
        <w:t>《中华人民共和国大气污染防治法》</w:t>
      </w:r>
      <w:r>
        <w:rPr>
          <w:rFonts w:hint="eastAsia" w:ascii="宋体" w:hAnsi="宋体" w:eastAsia="宋体" w:cs="宋体"/>
          <w:sz w:val="24"/>
          <w:szCs w:val="24"/>
        </w:rPr>
        <w:t>（2016.1.1</w:t>
      </w:r>
      <w:r>
        <w:rPr>
          <w:rFonts w:hint="eastAsia" w:ascii="宋体" w:hAnsi="宋体" w:eastAsia="宋体" w:cs="宋体"/>
          <w:spacing w:val="-120"/>
          <w:sz w:val="24"/>
          <w:szCs w:val="24"/>
        </w:rPr>
        <w:t>）</w:t>
      </w:r>
      <w:r>
        <w:rPr>
          <w:rFonts w:hint="eastAsia" w:ascii="宋体" w:hAnsi="宋体" w:eastAsia="宋体" w:cs="宋体"/>
          <w:sz w:val="24"/>
          <w:szCs w:val="24"/>
        </w:rPr>
        <w:t>；</w:t>
      </w:r>
    </w:p>
    <w:p>
      <w:pPr>
        <w:pStyle w:val="20"/>
        <w:numPr>
          <w:ilvl w:val="0"/>
          <w:numId w:val="0"/>
        </w:numPr>
        <w:tabs>
          <w:tab w:val="left" w:pos="1096"/>
        </w:tabs>
        <w:spacing w:before="194" w:after="0" w:line="240" w:lineRule="auto"/>
        <w:ind w:right="0" w:rightChars="0"/>
        <w:jc w:val="left"/>
        <w:rPr>
          <w:rFonts w:hint="eastAsia" w:ascii="宋体" w:hAnsi="宋体" w:eastAsia="宋体" w:cs="宋体"/>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7</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rPr>
        <w:t>《中华人民共和国噪声污染防治法》</w:t>
      </w:r>
      <w:r>
        <w:rPr>
          <w:rFonts w:hint="eastAsia" w:ascii="宋体" w:hAnsi="宋体" w:eastAsia="宋体" w:cs="宋体"/>
          <w:sz w:val="24"/>
          <w:szCs w:val="24"/>
        </w:rPr>
        <w:t>（1997.3.1</w:t>
      </w:r>
      <w:r>
        <w:rPr>
          <w:rFonts w:hint="eastAsia" w:ascii="宋体" w:hAnsi="宋体" w:eastAsia="宋体" w:cs="宋体"/>
          <w:spacing w:val="-120"/>
          <w:sz w:val="24"/>
          <w:szCs w:val="24"/>
        </w:rPr>
        <w:t>）</w:t>
      </w:r>
      <w:r>
        <w:rPr>
          <w:rFonts w:hint="eastAsia" w:ascii="宋体" w:hAnsi="宋体" w:eastAsia="宋体" w:cs="宋体"/>
          <w:sz w:val="24"/>
          <w:szCs w:val="24"/>
        </w:rPr>
        <w:t>；</w:t>
      </w:r>
    </w:p>
    <w:p>
      <w:pPr>
        <w:pStyle w:val="20"/>
        <w:numPr>
          <w:ilvl w:val="0"/>
          <w:numId w:val="0"/>
        </w:numPr>
        <w:tabs>
          <w:tab w:val="left" w:pos="1096"/>
        </w:tabs>
        <w:spacing w:before="192" w:after="0" w:line="240" w:lineRule="auto"/>
        <w:ind w:right="0" w:rightChars="0"/>
        <w:jc w:val="left"/>
        <w:rPr>
          <w:rFonts w:hint="eastAsia" w:ascii="宋体" w:hAnsi="宋体" w:eastAsia="宋体" w:cs="宋体"/>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8</w:t>
      </w:r>
      <w:r>
        <w:rPr>
          <w:rFonts w:hint="eastAsia" w:ascii="宋体" w:hAnsi="宋体" w:eastAsia="宋体" w:cs="宋体"/>
          <w:spacing w:val="-8"/>
          <w:sz w:val="24"/>
          <w:szCs w:val="24"/>
          <w:lang w:eastAsia="zh-CN"/>
        </w:rPr>
        <w:t>）</w:t>
      </w:r>
      <w:r>
        <w:rPr>
          <w:rFonts w:hint="eastAsia" w:ascii="宋体" w:hAnsi="宋体" w:eastAsia="宋体" w:cs="宋体"/>
          <w:spacing w:val="-10"/>
          <w:sz w:val="24"/>
          <w:szCs w:val="24"/>
        </w:rPr>
        <w:t>《中华人民共和国消防法》，</w:t>
      </w:r>
      <w:r>
        <w:rPr>
          <w:rFonts w:hint="eastAsia" w:ascii="宋体" w:hAnsi="宋体" w:eastAsia="宋体" w:cs="宋体"/>
          <w:sz w:val="24"/>
          <w:szCs w:val="24"/>
        </w:rPr>
        <w:t xml:space="preserve">2008 </w:t>
      </w:r>
      <w:r>
        <w:rPr>
          <w:rFonts w:hint="eastAsia" w:ascii="宋体" w:hAnsi="宋体" w:eastAsia="宋体" w:cs="宋体"/>
          <w:spacing w:val="-30"/>
          <w:sz w:val="24"/>
          <w:szCs w:val="24"/>
        </w:rPr>
        <w:t xml:space="preserve">年 </w:t>
      </w:r>
      <w:r>
        <w:rPr>
          <w:rFonts w:hint="eastAsia" w:ascii="宋体" w:hAnsi="宋体" w:eastAsia="宋体" w:cs="宋体"/>
          <w:sz w:val="24"/>
          <w:szCs w:val="24"/>
        </w:rPr>
        <w:t xml:space="preserve">10 </w:t>
      </w:r>
      <w:r>
        <w:rPr>
          <w:rFonts w:hint="eastAsia" w:ascii="宋体" w:hAnsi="宋体" w:eastAsia="宋体" w:cs="宋体"/>
          <w:spacing w:val="-30"/>
          <w:sz w:val="24"/>
          <w:szCs w:val="24"/>
        </w:rPr>
        <w:t xml:space="preserve">月 </w:t>
      </w:r>
      <w:r>
        <w:rPr>
          <w:rFonts w:hint="eastAsia" w:ascii="宋体" w:hAnsi="宋体" w:eastAsia="宋体" w:cs="宋体"/>
          <w:sz w:val="24"/>
          <w:szCs w:val="24"/>
        </w:rPr>
        <w:t>28 日；</w:t>
      </w:r>
    </w:p>
    <w:p>
      <w:pPr>
        <w:pStyle w:val="20"/>
        <w:numPr>
          <w:ilvl w:val="0"/>
          <w:numId w:val="0"/>
        </w:numPr>
        <w:tabs>
          <w:tab w:val="left" w:pos="1096"/>
        </w:tabs>
        <w:spacing w:before="191" w:after="0" w:line="391" w:lineRule="auto"/>
        <w:ind w:right="1027" w:rightChars="0"/>
        <w:jc w:val="left"/>
        <w:rPr>
          <w:rFonts w:hint="eastAsia" w:ascii="宋体" w:hAnsi="宋体" w:eastAsia="宋体" w:cs="宋体"/>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9</w:t>
      </w:r>
      <w:r>
        <w:rPr>
          <w:rFonts w:hint="eastAsia" w:ascii="宋体" w:hAnsi="宋体" w:eastAsia="宋体" w:cs="宋体"/>
          <w:spacing w:val="-8"/>
          <w:sz w:val="24"/>
          <w:szCs w:val="24"/>
          <w:lang w:eastAsia="zh-CN"/>
        </w:rPr>
        <w:t>）</w:t>
      </w:r>
      <w:r>
        <w:rPr>
          <w:rFonts w:hint="eastAsia" w:ascii="宋体" w:hAnsi="宋体" w:eastAsia="宋体" w:cs="宋体"/>
          <w:spacing w:val="-7"/>
          <w:sz w:val="24"/>
          <w:szCs w:val="24"/>
        </w:rPr>
        <w:t>《国务院关于加强环境保护重点工作的意见》</w:t>
      </w:r>
      <w:r>
        <w:rPr>
          <w:rFonts w:hint="eastAsia" w:ascii="宋体" w:hAnsi="宋体" w:eastAsia="宋体" w:cs="宋体"/>
          <w:sz w:val="24"/>
          <w:szCs w:val="24"/>
        </w:rPr>
        <w:t>（国发〔</w:t>
      </w:r>
      <w:r>
        <w:rPr>
          <w:rFonts w:hint="eastAsia" w:ascii="宋体" w:hAnsi="宋体" w:eastAsia="宋体" w:cs="宋体"/>
          <w:spacing w:val="-3"/>
          <w:sz w:val="24"/>
          <w:szCs w:val="24"/>
        </w:rPr>
        <w:t>2011</w:t>
      </w:r>
      <w:r>
        <w:rPr>
          <w:rFonts w:hint="eastAsia" w:ascii="宋体" w:hAnsi="宋体" w:eastAsia="宋体" w:cs="宋体"/>
          <w:sz w:val="24"/>
          <w:szCs w:val="24"/>
        </w:rPr>
        <w:t>〕35</w:t>
      </w:r>
      <w:r>
        <w:rPr>
          <w:rFonts w:hint="eastAsia" w:ascii="宋体" w:hAnsi="宋体" w:eastAsia="宋体" w:cs="宋体"/>
          <w:spacing w:val="11"/>
          <w:sz w:val="24"/>
          <w:szCs w:val="24"/>
        </w:rPr>
        <w:t xml:space="preserve"> </w:t>
      </w:r>
      <w:r>
        <w:rPr>
          <w:rFonts w:hint="eastAsia" w:ascii="宋体" w:hAnsi="宋体" w:eastAsia="宋体" w:cs="宋体"/>
          <w:sz w:val="24"/>
          <w:szCs w:val="24"/>
        </w:rPr>
        <w:t>号</w:t>
      </w:r>
      <w:r>
        <w:rPr>
          <w:rFonts w:hint="eastAsia" w:ascii="宋体" w:hAnsi="宋体" w:eastAsia="宋体" w:cs="宋体"/>
          <w:spacing w:val="-6"/>
          <w:sz w:val="24"/>
          <w:szCs w:val="24"/>
        </w:rPr>
        <w:t>）2011</w:t>
      </w:r>
      <w:r>
        <w:rPr>
          <w:rFonts w:hint="eastAsia" w:ascii="宋体" w:hAnsi="宋体" w:eastAsia="宋体" w:cs="宋体"/>
          <w:spacing w:val="-30"/>
          <w:sz w:val="24"/>
          <w:szCs w:val="24"/>
        </w:rPr>
        <w:t xml:space="preserve">年 </w:t>
      </w:r>
      <w:r>
        <w:rPr>
          <w:rFonts w:hint="eastAsia" w:ascii="宋体" w:hAnsi="宋体" w:eastAsia="宋体" w:cs="宋体"/>
          <w:sz w:val="24"/>
          <w:szCs w:val="24"/>
        </w:rPr>
        <w:t xml:space="preserve">10 </w:t>
      </w:r>
      <w:r>
        <w:rPr>
          <w:rFonts w:hint="eastAsia" w:ascii="宋体" w:hAnsi="宋体" w:eastAsia="宋体" w:cs="宋体"/>
          <w:spacing w:val="-30"/>
          <w:sz w:val="24"/>
          <w:szCs w:val="24"/>
        </w:rPr>
        <w:t xml:space="preserve">月 </w:t>
      </w:r>
      <w:r>
        <w:rPr>
          <w:rFonts w:hint="eastAsia" w:ascii="宋体" w:hAnsi="宋体" w:eastAsia="宋体" w:cs="宋体"/>
          <w:sz w:val="24"/>
          <w:szCs w:val="24"/>
        </w:rPr>
        <w:t>17 日；</w:t>
      </w:r>
    </w:p>
    <w:p>
      <w:pPr>
        <w:pStyle w:val="6"/>
        <w:spacing w:line="307" w:lineRule="exact"/>
        <w:rPr>
          <w:rFonts w:hint="eastAsia" w:ascii="宋体" w:hAnsi="宋体" w:eastAsia="宋体" w:cs="宋体"/>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10</w:t>
      </w:r>
      <w:r>
        <w:rPr>
          <w:rFonts w:hint="eastAsia" w:ascii="宋体" w:hAnsi="宋体" w:eastAsia="宋体" w:cs="宋体"/>
          <w:spacing w:val="-8"/>
          <w:sz w:val="24"/>
          <w:szCs w:val="24"/>
          <w:lang w:eastAsia="zh-CN"/>
        </w:rPr>
        <w:t>）</w:t>
      </w:r>
      <w:r>
        <w:rPr>
          <w:rFonts w:hint="eastAsia" w:ascii="宋体" w:hAnsi="宋体" w:eastAsia="宋体" w:cs="宋体"/>
          <w:spacing w:val="-1"/>
          <w:sz w:val="24"/>
          <w:szCs w:val="24"/>
          <w:lang w:eastAsia="zh-CN"/>
        </w:rPr>
        <w:t>《</w:t>
      </w:r>
      <w:r>
        <w:rPr>
          <w:rFonts w:hint="eastAsia" w:ascii="宋体" w:hAnsi="宋体" w:eastAsia="宋体" w:cs="宋体"/>
          <w:spacing w:val="-15"/>
          <w:sz w:val="24"/>
          <w:szCs w:val="24"/>
        </w:rPr>
        <w:t>危险化学品名录</w:t>
      </w:r>
      <w:r>
        <w:rPr>
          <w:rFonts w:hint="eastAsia" w:ascii="宋体" w:hAnsi="宋体" w:eastAsia="宋体" w:cs="宋体"/>
          <w:sz w:val="24"/>
          <w:szCs w:val="24"/>
        </w:rPr>
        <w:t>（2015版</w:t>
      </w:r>
      <w:r>
        <w:rPr>
          <w:rFonts w:hint="eastAsia" w:ascii="宋体" w:hAnsi="宋体" w:eastAsia="宋体" w:cs="宋体"/>
          <w:sz w:val="24"/>
          <w:szCs w:val="24"/>
          <w:lang w:val="en-US" w:eastAsia="zh-CN"/>
        </w:rPr>
        <w:t>）》（</w:t>
      </w:r>
      <w:r>
        <w:rPr>
          <w:rFonts w:hint="eastAsia" w:ascii="宋体" w:hAnsi="宋体" w:eastAsia="宋体" w:cs="宋体"/>
          <w:sz w:val="24"/>
          <w:szCs w:val="24"/>
        </w:rPr>
        <w:t>国家安全生产监督管理局公告</w:t>
      </w:r>
      <w:r>
        <w:rPr>
          <w:rFonts w:hint="eastAsia" w:ascii="宋体" w:hAnsi="宋体" w:eastAsia="宋体" w:cs="宋体"/>
          <w:spacing w:val="-1"/>
          <w:sz w:val="24"/>
          <w:szCs w:val="24"/>
        </w:rPr>
        <w:t>[</w:t>
      </w:r>
      <w:r>
        <w:rPr>
          <w:rFonts w:hint="eastAsia" w:ascii="宋体" w:hAnsi="宋体" w:eastAsia="宋体" w:cs="宋体"/>
          <w:sz w:val="24"/>
          <w:szCs w:val="24"/>
        </w:rPr>
        <w:t>2015</w:t>
      </w:r>
      <w:r>
        <w:rPr>
          <w:rFonts w:hint="eastAsia" w:ascii="宋体" w:hAnsi="宋体" w:eastAsia="宋体" w:cs="宋体"/>
          <w:spacing w:val="1"/>
          <w:sz w:val="24"/>
          <w:szCs w:val="24"/>
        </w:rPr>
        <w:t>]</w:t>
      </w:r>
      <w:r>
        <w:rPr>
          <w:rFonts w:hint="eastAsia" w:ascii="宋体" w:hAnsi="宋体" w:eastAsia="宋体" w:cs="宋体"/>
          <w:sz w:val="24"/>
          <w:szCs w:val="24"/>
        </w:rPr>
        <w:t>5</w:t>
      </w:r>
      <w:r>
        <w:rPr>
          <w:rFonts w:hint="eastAsia" w:ascii="宋体" w:hAnsi="宋体" w:eastAsia="宋体" w:cs="宋体"/>
          <w:spacing w:val="-3"/>
          <w:sz w:val="24"/>
          <w:szCs w:val="24"/>
        </w:rPr>
        <w:t xml:space="preserve"> </w:t>
      </w:r>
      <w:r>
        <w:rPr>
          <w:rFonts w:hint="eastAsia" w:ascii="宋体" w:hAnsi="宋体" w:eastAsia="宋体" w:cs="宋体"/>
          <w:sz w:val="24"/>
          <w:szCs w:val="24"/>
        </w:rPr>
        <w:t>号</w:t>
      </w:r>
      <w:r>
        <w:rPr>
          <w:rFonts w:hint="eastAsia" w:ascii="宋体" w:hAnsi="宋体" w:eastAsia="宋体" w:cs="宋体"/>
          <w:spacing w:val="-120"/>
          <w:sz w:val="24"/>
          <w:szCs w:val="24"/>
        </w:rPr>
        <w:t>）</w:t>
      </w:r>
    </w:p>
    <w:p>
      <w:pPr>
        <w:pStyle w:val="6"/>
        <w:spacing w:before="74"/>
        <w:rPr>
          <w:rFonts w:hint="eastAsia" w:ascii="宋体" w:hAnsi="宋体" w:eastAsia="宋体" w:cs="宋体"/>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11</w:t>
      </w:r>
      <w:r>
        <w:rPr>
          <w:rFonts w:hint="eastAsia" w:ascii="宋体" w:hAnsi="宋体" w:eastAsia="宋体" w:cs="宋体"/>
          <w:spacing w:val="-8"/>
          <w:sz w:val="24"/>
          <w:szCs w:val="24"/>
          <w:lang w:eastAsia="zh-CN"/>
        </w:rPr>
        <w:t>）</w:t>
      </w:r>
      <w:r>
        <w:rPr>
          <w:rFonts w:hint="eastAsia" w:ascii="宋体" w:hAnsi="宋体" w:eastAsia="宋体" w:cs="宋体"/>
          <w:spacing w:val="-11"/>
          <w:sz w:val="24"/>
          <w:szCs w:val="24"/>
        </w:rPr>
        <w:t>《突发事件应急预案管理办法》</w:t>
      </w:r>
      <w:r>
        <w:rPr>
          <w:rFonts w:hint="eastAsia" w:ascii="宋体" w:hAnsi="宋体" w:eastAsia="宋体" w:cs="宋体"/>
          <w:sz w:val="24"/>
          <w:szCs w:val="24"/>
        </w:rPr>
        <w:t>（</w:t>
      </w:r>
      <w:r>
        <w:rPr>
          <w:rFonts w:hint="eastAsia" w:ascii="宋体" w:hAnsi="宋体" w:eastAsia="宋体" w:cs="宋体"/>
          <w:spacing w:val="-2"/>
          <w:sz w:val="24"/>
          <w:szCs w:val="24"/>
        </w:rPr>
        <w:t>国办发〔</w:t>
      </w:r>
      <w:r>
        <w:rPr>
          <w:rFonts w:hint="eastAsia" w:ascii="宋体" w:hAnsi="宋体" w:eastAsia="宋体" w:cs="宋体"/>
          <w:sz w:val="24"/>
          <w:szCs w:val="24"/>
        </w:rPr>
        <w:t>2013</w:t>
      </w:r>
      <w:r>
        <w:rPr>
          <w:rFonts w:hint="eastAsia" w:ascii="宋体" w:hAnsi="宋体" w:eastAsia="宋体" w:cs="宋体"/>
          <w:spacing w:val="-5"/>
          <w:sz w:val="24"/>
          <w:szCs w:val="24"/>
        </w:rPr>
        <w:t>〕</w:t>
      </w:r>
      <w:r>
        <w:rPr>
          <w:rFonts w:hint="eastAsia" w:ascii="宋体" w:hAnsi="宋体" w:eastAsia="宋体" w:cs="宋体"/>
          <w:sz w:val="24"/>
          <w:szCs w:val="24"/>
        </w:rPr>
        <w:t>101 号</w:t>
      </w:r>
      <w:r>
        <w:rPr>
          <w:rFonts w:hint="eastAsia" w:ascii="宋体" w:hAnsi="宋体" w:eastAsia="宋体" w:cs="宋体"/>
          <w:spacing w:val="-120"/>
          <w:sz w:val="24"/>
          <w:szCs w:val="24"/>
        </w:rPr>
        <w:t>）</w:t>
      </w:r>
      <w:r>
        <w:rPr>
          <w:rFonts w:hint="eastAsia" w:ascii="宋体" w:hAnsi="宋体" w:eastAsia="宋体" w:cs="宋体"/>
          <w:spacing w:val="-8"/>
          <w:sz w:val="24"/>
          <w:szCs w:val="24"/>
        </w:rPr>
        <w:t>，</w:t>
      </w:r>
      <w:r>
        <w:rPr>
          <w:rFonts w:hint="eastAsia" w:ascii="宋体" w:hAnsi="宋体" w:eastAsia="宋体" w:cs="宋体"/>
          <w:sz w:val="24"/>
          <w:szCs w:val="24"/>
        </w:rPr>
        <w:t xml:space="preserve">2013 </w:t>
      </w:r>
      <w:r>
        <w:rPr>
          <w:rFonts w:hint="eastAsia" w:ascii="宋体" w:hAnsi="宋体" w:eastAsia="宋体" w:cs="宋体"/>
          <w:spacing w:val="-30"/>
          <w:sz w:val="24"/>
          <w:szCs w:val="24"/>
        </w:rPr>
        <w:t xml:space="preserve">年 </w:t>
      </w:r>
      <w:r>
        <w:rPr>
          <w:rFonts w:hint="eastAsia" w:ascii="宋体" w:hAnsi="宋体" w:eastAsia="宋体" w:cs="宋体"/>
          <w:sz w:val="24"/>
          <w:szCs w:val="24"/>
        </w:rPr>
        <w:t>10</w:t>
      </w:r>
      <w:r>
        <w:rPr>
          <w:rFonts w:hint="eastAsia" w:ascii="宋体" w:hAnsi="宋体" w:eastAsia="宋体" w:cs="宋体"/>
          <w:spacing w:val="2"/>
          <w:sz w:val="24"/>
          <w:szCs w:val="24"/>
        </w:rPr>
        <w:t xml:space="preserve"> </w:t>
      </w:r>
      <w:r>
        <w:rPr>
          <w:rFonts w:hint="eastAsia" w:ascii="宋体" w:hAnsi="宋体" w:eastAsia="宋体" w:cs="宋体"/>
          <w:sz w:val="24"/>
          <w:szCs w:val="24"/>
        </w:rPr>
        <w:t>月25 日；</w:t>
      </w:r>
    </w:p>
    <w:p>
      <w:pPr>
        <w:pStyle w:val="20"/>
        <w:numPr>
          <w:ilvl w:val="0"/>
          <w:numId w:val="0"/>
        </w:numPr>
        <w:tabs>
          <w:tab w:val="left" w:pos="1202"/>
        </w:tabs>
        <w:spacing w:before="192" w:after="0" w:line="240" w:lineRule="auto"/>
        <w:ind w:right="0" w:rightChars="0"/>
        <w:jc w:val="left"/>
        <w:rPr>
          <w:rFonts w:hint="eastAsia" w:ascii="宋体" w:hAnsi="宋体" w:eastAsia="宋体" w:cs="宋体"/>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12</w:t>
      </w:r>
      <w:r>
        <w:rPr>
          <w:rFonts w:hint="eastAsia" w:ascii="宋体" w:hAnsi="宋体" w:eastAsia="宋体" w:cs="宋体"/>
          <w:spacing w:val="-8"/>
          <w:sz w:val="24"/>
          <w:szCs w:val="24"/>
          <w:lang w:eastAsia="zh-CN"/>
        </w:rPr>
        <w:t>）</w:t>
      </w:r>
      <w:r>
        <w:rPr>
          <w:rFonts w:hint="eastAsia" w:ascii="宋体" w:hAnsi="宋体" w:eastAsia="宋体" w:cs="宋体"/>
          <w:spacing w:val="-9"/>
          <w:sz w:val="24"/>
          <w:szCs w:val="24"/>
        </w:rPr>
        <w:t>《突发环境事件信息报告办法》</w:t>
      </w:r>
      <w:r>
        <w:rPr>
          <w:rFonts w:hint="eastAsia" w:ascii="宋体" w:hAnsi="宋体" w:eastAsia="宋体" w:cs="宋体"/>
          <w:sz w:val="24"/>
          <w:szCs w:val="24"/>
        </w:rPr>
        <w:t>（</w:t>
      </w:r>
      <w:r>
        <w:rPr>
          <w:rFonts w:hint="eastAsia" w:ascii="宋体" w:hAnsi="宋体" w:eastAsia="宋体" w:cs="宋体"/>
          <w:spacing w:val="-8"/>
          <w:sz w:val="24"/>
          <w:szCs w:val="24"/>
        </w:rPr>
        <w:t xml:space="preserve">环境保护部令第 </w:t>
      </w:r>
      <w:r>
        <w:rPr>
          <w:rFonts w:hint="eastAsia" w:ascii="宋体" w:hAnsi="宋体" w:eastAsia="宋体" w:cs="宋体"/>
          <w:sz w:val="24"/>
          <w:szCs w:val="24"/>
        </w:rPr>
        <w:t>17 号）;</w:t>
      </w:r>
    </w:p>
    <w:p>
      <w:pPr>
        <w:pStyle w:val="20"/>
        <w:numPr>
          <w:ilvl w:val="0"/>
          <w:numId w:val="0"/>
        </w:numPr>
        <w:tabs>
          <w:tab w:val="left" w:pos="1207"/>
        </w:tabs>
        <w:spacing w:before="192" w:after="0" w:line="240" w:lineRule="auto"/>
        <w:ind w:right="0" w:rightChars="0"/>
        <w:jc w:val="left"/>
        <w:rPr>
          <w:rFonts w:hint="eastAsia" w:ascii="宋体" w:hAnsi="宋体" w:eastAsia="宋体" w:cs="宋体"/>
          <w:sz w:val="24"/>
          <w:szCs w:val="24"/>
        </w:rPr>
      </w:pPr>
      <w:r>
        <w:rPr>
          <w:rFonts w:hint="eastAsia" w:ascii="宋体" w:hAnsi="宋体" w:eastAsia="宋体" w:cs="宋体"/>
          <w:spacing w:val="-9"/>
          <w:sz w:val="24"/>
          <w:szCs w:val="24"/>
          <w:lang w:eastAsia="zh-CN"/>
        </w:rPr>
        <w:t>（</w:t>
      </w:r>
      <w:r>
        <w:rPr>
          <w:rFonts w:hint="eastAsia" w:ascii="宋体" w:hAnsi="宋体" w:eastAsia="宋体" w:cs="宋体"/>
          <w:spacing w:val="-9"/>
          <w:sz w:val="24"/>
          <w:szCs w:val="24"/>
          <w:lang w:val="en-US" w:eastAsia="zh-CN"/>
        </w:rPr>
        <w:t>13</w:t>
      </w:r>
      <w:r>
        <w:rPr>
          <w:rFonts w:hint="eastAsia" w:ascii="宋体" w:hAnsi="宋体" w:eastAsia="宋体" w:cs="宋体"/>
          <w:spacing w:val="-9"/>
          <w:sz w:val="24"/>
          <w:szCs w:val="24"/>
          <w:lang w:eastAsia="zh-CN"/>
        </w:rPr>
        <w:t>）</w:t>
      </w:r>
      <w:r>
        <w:rPr>
          <w:rFonts w:hint="eastAsia" w:ascii="宋体" w:hAnsi="宋体" w:eastAsia="宋体" w:cs="宋体"/>
          <w:spacing w:val="-9"/>
          <w:sz w:val="24"/>
          <w:szCs w:val="24"/>
        </w:rPr>
        <w:t>《重点监管危险化工工艺目录》</w:t>
      </w:r>
      <w:r>
        <w:rPr>
          <w:rFonts w:hint="eastAsia" w:ascii="宋体" w:hAnsi="宋体" w:eastAsia="宋体" w:cs="宋体"/>
          <w:sz w:val="24"/>
          <w:szCs w:val="24"/>
        </w:rPr>
        <w:t>（2013 年完整版</w:t>
      </w:r>
      <w:r>
        <w:rPr>
          <w:rFonts w:hint="eastAsia" w:ascii="宋体" w:hAnsi="宋体" w:eastAsia="宋体" w:cs="宋体"/>
          <w:spacing w:val="-120"/>
          <w:sz w:val="24"/>
          <w:szCs w:val="24"/>
        </w:rPr>
        <w:t>）</w:t>
      </w:r>
    </w:p>
    <w:p>
      <w:pPr>
        <w:pStyle w:val="20"/>
        <w:numPr>
          <w:ilvl w:val="0"/>
          <w:numId w:val="0"/>
        </w:numPr>
        <w:tabs>
          <w:tab w:val="left" w:pos="1185"/>
        </w:tabs>
        <w:spacing w:before="77" w:after="0" w:line="240" w:lineRule="auto"/>
        <w:ind w:right="0" w:rightChars="0"/>
        <w:jc w:val="left"/>
        <w:rPr>
          <w:rFonts w:hint="eastAsia" w:ascii="宋体" w:hAnsi="宋体" w:eastAsia="宋体" w:cs="宋体"/>
          <w:sz w:val="24"/>
          <w:szCs w:val="24"/>
        </w:rPr>
      </w:pPr>
      <w:bookmarkStart w:id="15" w:name="2.2.2 技术指南、标准规范"/>
      <w:bookmarkEnd w:id="15"/>
      <w:bookmarkStart w:id="16" w:name="2.2.3 相关文件及资料"/>
      <w:bookmarkEnd w:id="16"/>
      <w:bookmarkStart w:id="17" w:name="2.2.3 相关文件及资料"/>
      <w:bookmarkEnd w:id="17"/>
      <w:r>
        <w:rPr>
          <w:rFonts w:hint="eastAsia" w:ascii="宋体" w:hAnsi="宋体" w:eastAsia="宋体" w:cs="宋体"/>
          <w:spacing w:val="-2"/>
          <w:sz w:val="24"/>
          <w:szCs w:val="24"/>
          <w:lang w:eastAsia="zh-CN"/>
        </w:rPr>
        <w:t>（</w:t>
      </w:r>
      <w:r>
        <w:rPr>
          <w:rFonts w:hint="eastAsia" w:ascii="宋体" w:hAnsi="宋体" w:eastAsia="宋体" w:cs="宋体"/>
          <w:spacing w:val="-2"/>
          <w:sz w:val="24"/>
          <w:szCs w:val="24"/>
          <w:lang w:val="en-US" w:eastAsia="zh-CN"/>
        </w:rPr>
        <w:t>14</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《危险化学品生产企业安全生产许可证实施办法</w:t>
      </w:r>
      <w:r>
        <w:rPr>
          <w:rFonts w:hint="eastAsia" w:ascii="宋体" w:hAnsi="宋体" w:eastAsia="宋体" w:cs="宋体"/>
          <w:spacing w:val="-168"/>
          <w:sz w:val="24"/>
          <w:szCs w:val="24"/>
        </w:rPr>
        <w:t>》</w:t>
      </w:r>
      <w:r>
        <w:rPr>
          <w:rFonts w:hint="eastAsia" w:ascii="宋体" w:hAnsi="宋体" w:eastAsia="宋体" w:cs="宋体"/>
          <w:sz w:val="24"/>
          <w:szCs w:val="24"/>
        </w:rPr>
        <w:t>（</w:t>
      </w:r>
      <w:r>
        <w:rPr>
          <w:rFonts w:hint="eastAsia" w:ascii="宋体" w:hAnsi="宋体" w:eastAsia="宋体" w:cs="宋体"/>
          <w:spacing w:val="-7"/>
          <w:sz w:val="24"/>
          <w:szCs w:val="24"/>
        </w:rPr>
        <w:t xml:space="preserve">安全监管总局令第 </w:t>
      </w:r>
      <w:r>
        <w:rPr>
          <w:rFonts w:hint="eastAsia" w:ascii="宋体" w:hAnsi="宋体" w:eastAsia="宋体" w:cs="宋体"/>
          <w:sz w:val="24"/>
          <w:szCs w:val="24"/>
        </w:rPr>
        <w:t>41号</w:t>
      </w:r>
      <w:r>
        <w:rPr>
          <w:rFonts w:hint="eastAsia" w:ascii="宋体" w:hAnsi="宋体" w:eastAsia="宋体" w:cs="宋体"/>
          <w:spacing w:val="-120"/>
          <w:sz w:val="24"/>
          <w:szCs w:val="24"/>
        </w:rPr>
        <w:t>）</w:t>
      </w:r>
      <w:r>
        <w:rPr>
          <w:rFonts w:hint="eastAsia" w:ascii="宋体" w:hAnsi="宋体" w:eastAsia="宋体" w:cs="宋体"/>
          <w:sz w:val="24"/>
          <w:szCs w:val="24"/>
        </w:rPr>
        <w:t>；</w:t>
      </w:r>
    </w:p>
    <w:p>
      <w:pPr>
        <w:pStyle w:val="20"/>
        <w:numPr>
          <w:ilvl w:val="0"/>
          <w:numId w:val="0"/>
        </w:numPr>
        <w:tabs>
          <w:tab w:val="left" w:pos="1190"/>
        </w:tabs>
        <w:spacing w:before="191" w:after="0" w:line="240" w:lineRule="auto"/>
        <w:ind w:right="0" w:rightChars="0"/>
        <w:jc w:val="left"/>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15</w:t>
      </w:r>
      <w:r>
        <w:rPr>
          <w:rFonts w:hint="eastAsia" w:ascii="宋体" w:hAnsi="宋体" w:eastAsia="宋体" w:cs="宋体"/>
          <w:sz w:val="24"/>
          <w:szCs w:val="24"/>
          <w:lang w:eastAsia="zh-CN"/>
        </w:rPr>
        <w:t>）</w:t>
      </w:r>
      <w:r>
        <w:rPr>
          <w:rFonts w:hint="eastAsia" w:ascii="宋体" w:hAnsi="宋体" w:eastAsia="宋体" w:cs="宋体"/>
          <w:sz w:val="24"/>
          <w:szCs w:val="24"/>
        </w:rPr>
        <w:t>《关于切实加强风险防范严格环境影响评价管理的通知》</w:t>
      </w:r>
      <w:r>
        <w:rPr>
          <w:rFonts w:hint="eastAsia" w:ascii="宋体" w:hAnsi="宋体" w:eastAsia="宋体" w:cs="宋体"/>
          <w:spacing w:val="4"/>
          <w:sz w:val="24"/>
          <w:szCs w:val="24"/>
        </w:rPr>
        <w:t>(</w:t>
      </w:r>
      <w:r>
        <w:rPr>
          <w:rFonts w:hint="eastAsia" w:ascii="宋体" w:hAnsi="宋体" w:eastAsia="宋体" w:cs="宋体"/>
          <w:sz w:val="24"/>
          <w:szCs w:val="24"/>
        </w:rPr>
        <w:t>环发[2012]第98 号)；</w:t>
      </w:r>
    </w:p>
    <w:p>
      <w:pPr>
        <w:pStyle w:val="20"/>
        <w:numPr>
          <w:ilvl w:val="0"/>
          <w:numId w:val="0"/>
        </w:numPr>
        <w:tabs>
          <w:tab w:val="left" w:pos="1185"/>
        </w:tabs>
        <w:spacing w:before="192" w:after="0" w:line="240" w:lineRule="auto"/>
        <w:ind w:right="0" w:rightChars="0"/>
        <w:jc w:val="left"/>
        <w:rPr>
          <w:rFonts w:hint="eastAsia" w:ascii="宋体" w:hAnsi="宋体" w:eastAsia="宋体" w:cs="宋体"/>
          <w:sz w:val="24"/>
          <w:szCs w:val="24"/>
        </w:rPr>
      </w:pPr>
      <w:r>
        <w:rPr>
          <w:rFonts w:hint="eastAsia" w:ascii="宋体" w:hAnsi="宋体" w:eastAsia="宋体" w:cs="宋体"/>
          <w:spacing w:val="-7"/>
          <w:sz w:val="24"/>
          <w:szCs w:val="24"/>
          <w:lang w:eastAsia="zh-CN"/>
        </w:rPr>
        <w:t>（</w:t>
      </w:r>
      <w:r>
        <w:rPr>
          <w:rFonts w:hint="eastAsia" w:ascii="宋体" w:hAnsi="宋体" w:eastAsia="宋体" w:cs="宋体"/>
          <w:spacing w:val="-7"/>
          <w:sz w:val="24"/>
          <w:szCs w:val="24"/>
          <w:lang w:val="en-US" w:eastAsia="zh-CN"/>
        </w:rPr>
        <w:t>16</w:t>
      </w:r>
      <w:r>
        <w:rPr>
          <w:rFonts w:hint="eastAsia" w:ascii="宋体" w:hAnsi="宋体" w:eastAsia="宋体" w:cs="宋体"/>
          <w:spacing w:val="-7"/>
          <w:sz w:val="24"/>
          <w:szCs w:val="24"/>
          <w:lang w:eastAsia="zh-CN"/>
        </w:rPr>
        <w:t>）</w:t>
      </w:r>
      <w:r>
        <w:rPr>
          <w:rFonts w:hint="eastAsia" w:ascii="宋体" w:hAnsi="宋体" w:eastAsia="宋体" w:cs="宋体"/>
          <w:spacing w:val="-7"/>
          <w:sz w:val="24"/>
          <w:szCs w:val="24"/>
        </w:rPr>
        <w:t>《危险化学品建设项目安全监督管理办法》</w:t>
      </w:r>
      <w:r>
        <w:rPr>
          <w:rFonts w:hint="eastAsia" w:ascii="宋体" w:hAnsi="宋体" w:eastAsia="宋体" w:cs="宋体"/>
          <w:sz w:val="24"/>
          <w:szCs w:val="24"/>
        </w:rPr>
        <w:t>（</w:t>
      </w:r>
      <w:r>
        <w:rPr>
          <w:rFonts w:hint="eastAsia" w:ascii="宋体" w:hAnsi="宋体" w:eastAsia="宋体" w:cs="宋体"/>
          <w:spacing w:val="-7"/>
          <w:sz w:val="24"/>
          <w:szCs w:val="24"/>
        </w:rPr>
        <w:t xml:space="preserve">安全监管总局令第 </w:t>
      </w:r>
      <w:r>
        <w:rPr>
          <w:rFonts w:hint="eastAsia" w:ascii="宋体" w:hAnsi="宋体" w:eastAsia="宋体" w:cs="宋体"/>
          <w:sz w:val="24"/>
          <w:szCs w:val="24"/>
        </w:rPr>
        <w:t>45 号</w:t>
      </w:r>
      <w:r>
        <w:rPr>
          <w:rFonts w:hint="eastAsia" w:ascii="宋体" w:hAnsi="宋体" w:eastAsia="宋体" w:cs="宋体"/>
          <w:spacing w:val="-120"/>
          <w:sz w:val="24"/>
          <w:szCs w:val="24"/>
        </w:rPr>
        <w:t>）</w:t>
      </w:r>
      <w:r>
        <w:rPr>
          <w:rFonts w:hint="eastAsia" w:ascii="宋体" w:hAnsi="宋体" w:eastAsia="宋体" w:cs="宋体"/>
          <w:sz w:val="24"/>
          <w:szCs w:val="24"/>
        </w:rPr>
        <w:t>；</w:t>
      </w:r>
    </w:p>
    <w:p>
      <w:pPr>
        <w:pStyle w:val="20"/>
        <w:numPr>
          <w:ilvl w:val="0"/>
          <w:numId w:val="0"/>
        </w:numPr>
        <w:tabs>
          <w:tab w:val="left" w:pos="1185"/>
        </w:tabs>
        <w:spacing w:before="192" w:after="0" w:line="240" w:lineRule="auto"/>
        <w:ind w:right="0" w:rightChars="0"/>
        <w:jc w:val="left"/>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17</w:t>
      </w:r>
      <w:r>
        <w:rPr>
          <w:rFonts w:hint="eastAsia" w:ascii="宋体" w:hAnsi="宋体" w:eastAsia="宋体" w:cs="宋体"/>
          <w:sz w:val="24"/>
          <w:szCs w:val="24"/>
          <w:lang w:eastAsia="zh-CN"/>
        </w:rPr>
        <w:t>）</w:t>
      </w:r>
      <w:r>
        <w:rPr>
          <w:rFonts w:hint="eastAsia" w:ascii="宋体" w:hAnsi="宋体" w:eastAsia="宋体" w:cs="宋体"/>
          <w:sz w:val="24"/>
          <w:szCs w:val="24"/>
        </w:rPr>
        <w:t>《企业突发环境事件风险评估指南（试行</w:t>
      </w:r>
      <w:r>
        <w:rPr>
          <w:rFonts w:hint="eastAsia" w:ascii="宋体" w:hAnsi="宋体" w:eastAsia="宋体" w:cs="宋体"/>
          <w:spacing w:val="-120"/>
          <w:sz w:val="24"/>
          <w:szCs w:val="24"/>
        </w:rPr>
        <w:t>）》</w:t>
      </w:r>
      <w:r>
        <w:rPr>
          <w:rFonts w:hint="eastAsia" w:ascii="宋体" w:hAnsi="宋体" w:eastAsia="宋体" w:cs="宋体"/>
          <w:sz w:val="24"/>
          <w:szCs w:val="24"/>
        </w:rPr>
        <w:t>（</w:t>
      </w:r>
      <w:r>
        <w:rPr>
          <w:rFonts w:hint="eastAsia" w:ascii="宋体" w:hAnsi="宋体" w:eastAsia="宋体" w:cs="宋体"/>
          <w:spacing w:val="-1"/>
          <w:sz w:val="24"/>
          <w:szCs w:val="24"/>
        </w:rPr>
        <w:t>环办</w:t>
      </w:r>
      <w:r>
        <w:rPr>
          <w:rFonts w:hint="eastAsia" w:ascii="宋体" w:hAnsi="宋体" w:eastAsia="宋体" w:cs="宋体"/>
          <w:spacing w:val="1"/>
          <w:sz w:val="24"/>
          <w:szCs w:val="24"/>
        </w:rPr>
        <w:t>[</w:t>
      </w:r>
      <w:r>
        <w:rPr>
          <w:rFonts w:hint="eastAsia" w:ascii="宋体" w:hAnsi="宋体" w:eastAsia="宋体" w:cs="宋体"/>
          <w:sz w:val="24"/>
          <w:szCs w:val="24"/>
        </w:rPr>
        <w:t>2014</w:t>
      </w:r>
      <w:r>
        <w:rPr>
          <w:rFonts w:hint="eastAsia" w:ascii="宋体" w:hAnsi="宋体" w:eastAsia="宋体" w:cs="宋体"/>
          <w:spacing w:val="-1"/>
          <w:sz w:val="24"/>
          <w:szCs w:val="24"/>
        </w:rPr>
        <w:t>]</w:t>
      </w:r>
      <w:r>
        <w:rPr>
          <w:rFonts w:hint="eastAsia" w:ascii="宋体" w:hAnsi="宋体" w:eastAsia="宋体" w:cs="宋体"/>
          <w:sz w:val="24"/>
          <w:szCs w:val="24"/>
        </w:rPr>
        <w:t>34 号</w:t>
      </w:r>
      <w:r>
        <w:rPr>
          <w:rFonts w:hint="eastAsia" w:ascii="宋体" w:hAnsi="宋体" w:eastAsia="宋体" w:cs="宋体"/>
          <w:spacing w:val="-120"/>
          <w:sz w:val="24"/>
          <w:szCs w:val="24"/>
        </w:rPr>
        <w:t>）</w:t>
      </w:r>
      <w:r>
        <w:rPr>
          <w:rFonts w:hint="eastAsia" w:ascii="宋体" w:hAnsi="宋体" w:eastAsia="宋体" w:cs="宋体"/>
          <w:sz w:val="24"/>
          <w:szCs w:val="24"/>
        </w:rPr>
        <w:t>；</w:t>
      </w:r>
    </w:p>
    <w:p>
      <w:pPr>
        <w:pStyle w:val="20"/>
        <w:numPr>
          <w:ilvl w:val="0"/>
          <w:numId w:val="0"/>
        </w:numPr>
        <w:tabs>
          <w:tab w:val="left" w:pos="1260"/>
        </w:tabs>
        <w:spacing w:before="194" w:after="0" w:line="240" w:lineRule="auto"/>
        <w:ind w:right="0" w:rightChars="0"/>
        <w:jc w:val="left"/>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18</w:t>
      </w:r>
      <w:r>
        <w:rPr>
          <w:rFonts w:hint="eastAsia" w:ascii="宋体" w:hAnsi="宋体" w:eastAsia="宋体" w:cs="宋体"/>
          <w:sz w:val="24"/>
          <w:szCs w:val="24"/>
          <w:lang w:eastAsia="zh-CN"/>
        </w:rPr>
        <w:t>）</w:t>
      </w:r>
      <w:r>
        <w:rPr>
          <w:rFonts w:hint="eastAsia" w:ascii="宋体" w:hAnsi="宋体" w:eastAsia="宋体" w:cs="宋体"/>
          <w:sz w:val="24"/>
          <w:szCs w:val="24"/>
        </w:rPr>
        <w:t>《化学品环境风险防控“</w:t>
      </w:r>
      <w:r>
        <w:rPr>
          <w:rFonts w:hint="eastAsia" w:ascii="宋体" w:hAnsi="宋体" w:eastAsia="宋体" w:cs="宋体"/>
          <w:spacing w:val="2"/>
          <w:sz w:val="24"/>
          <w:szCs w:val="24"/>
        </w:rPr>
        <w:t>十二五</w:t>
      </w:r>
      <w:r>
        <w:rPr>
          <w:rFonts w:hint="eastAsia" w:ascii="宋体" w:hAnsi="宋体" w:eastAsia="宋体" w:cs="宋体"/>
          <w:sz w:val="24"/>
          <w:szCs w:val="24"/>
        </w:rPr>
        <w:t>”</w:t>
      </w:r>
      <w:r>
        <w:rPr>
          <w:rFonts w:hint="eastAsia" w:ascii="宋体" w:hAnsi="宋体" w:eastAsia="宋体" w:cs="宋体"/>
          <w:spacing w:val="-38"/>
          <w:sz w:val="24"/>
          <w:szCs w:val="24"/>
        </w:rPr>
        <w:t>规划》</w:t>
      </w:r>
      <w:r>
        <w:rPr>
          <w:rFonts w:hint="eastAsia" w:ascii="宋体" w:hAnsi="宋体" w:eastAsia="宋体" w:cs="宋体"/>
          <w:sz w:val="24"/>
          <w:szCs w:val="24"/>
        </w:rPr>
        <w:t>（</w:t>
      </w:r>
      <w:r>
        <w:rPr>
          <w:rFonts w:hint="eastAsia" w:ascii="宋体" w:hAnsi="宋体" w:eastAsia="宋体" w:cs="宋体"/>
          <w:spacing w:val="1"/>
          <w:sz w:val="24"/>
          <w:szCs w:val="24"/>
        </w:rPr>
        <w:t>环发〔</w:t>
      </w:r>
      <w:r>
        <w:rPr>
          <w:rFonts w:hint="eastAsia" w:ascii="宋体" w:hAnsi="宋体" w:eastAsia="宋体" w:cs="宋体"/>
          <w:sz w:val="24"/>
          <w:szCs w:val="24"/>
        </w:rPr>
        <w:t>2013〕20</w:t>
      </w:r>
      <w:r>
        <w:rPr>
          <w:rFonts w:hint="eastAsia" w:ascii="宋体" w:hAnsi="宋体" w:eastAsia="宋体" w:cs="宋体"/>
          <w:spacing w:val="5"/>
          <w:sz w:val="24"/>
          <w:szCs w:val="24"/>
        </w:rPr>
        <w:t xml:space="preserve"> </w:t>
      </w:r>
      <w:r>
        <w:rPr>
          <w:rFonts w:hint="eastAsia" w:ascii="宋体" w:hAnsi="宋体" w:eastAsia="宋体" w:cs="宋体"/>
          <w:sz w:val="24"/>
          <w:szCs w:val="24"/>
        </w:rPr>
        <w:t>号）2013</w:t>
      </w:r>
      <w:r>
        <w:rPr>
          <w:rFonts w:hint="eastAsia" w:ascii="宋体" w:hAnsi="宋体" w:eastAsia="宋体" w:cs="宋体"/>
          <w:spacing w:val="4"/>
          <w:sz w:val="24"/>
          <w:szCs w:val="24"/>
        </w:rPr>
        <w:t xml:space="preserve"> </w:t>
      </w:r>
      <w:r>
        <w:rPr>
          <w:rFonts w:hint="eastAsia" w:ascii="宋体" w:hAnsi="宋体" w:eastAsia="宋体" w:cs="宋体"/>
          <w:spacing w:val="-28"/>
          <w:sz w:val="24"/>
          <w:szCs w:val="24"/>
        </w:rPr>
        <w:t xml:space="preserve">年 </w:t>
      </w:r>
      <w:r>
        <w:rPr>
          <w:rFonts w:hint="eastAsia" w:ascii="宋体" w:hAnsi="宋体" w:eastAsia="宋体" w:cs="宋体"/>
          <w:sz w:val="24"/>
          <w:szCs w:val="24"/>
        </w:rPr>
        <w:t>2</w:t>
      </w:r>
      <w:r>
        <w:rPr>
          <w:rFonts w:hint="eastAsia" w:ascii="宋体" w:hAnsi="宋体" w:eastAsia="宋体" w:cs="宋体"/>
          <w:spacing w:val="-30"/>
          <w:sz w:val="24"/>
          <w:szCs w:val="24"/>
        </w:rPr>
        <w:t xml:space="preserve">月 </w:t>
      </w:r>
      <w:r>
        <w:rPr>
          <w:rFonts w:hint="eastAsia" w:ascii="宋体" w:hAnsi="宋体" w:eastAsia="宋体" w:cs="宋体"/>
          <w:sz w:val="24"/>
          <w:szCs w:val="24"/>
        </w:rPr>
        <w:t>7 日；</w:t>
      </w:r>
    </w:p>
    <w:p>
      <w:pPr>
        <w:pStyle w:val="20"/>
        <w:numPr>
          <w:ilvl w:val="0"/>
          <w:numId w:val="0"/>
        </w:numPr>
        <w:tabs>
          <w:tab w:val="left" w:pos="1255"/>
        </w:tabs>
        <w:spacing w:before="191" w:after="0" w:line="391" w:lineRule="auto"/>
        <w:ind w:right="1026" w:rightChars="0"/>
        <w:jc w:val="left"/>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19</w:t>
      </w:r>
      <w:r>
        <w:rPr>
          <w:rFonts w:hint="eastAsia" w:ascii="宋体" w:hAnsi="宋体" w:eastAsia="宋体" w:cs="宋体"/>
          <w:sz w:val="24"/>
          <w:szCs w:val="24"/>
          <w:lang w:eastAsia="zh-CN"/>
        </w:rPr>
        <w:t>）</w:t>
      </w:r>
      <w:r>
        <w:rPr>
          <w:rFonts w:hint="eastAsia" w:ascii="宋体" w:hAnsi="宋体" w:eastAsia="宋体" w:cs="宋体"/>
          <w:sz w:val="24"/>
          <w:szCs w:val="24"/>
        </w:rPr>
        <w:t>《国务院关于印发水污染防治行动计划的通知》国发[2015]17</w:t>
      </w:r>
      <w:r>
        <w:rPr>
          <w:rFonts w:hint="eastAsia" w:ascii="宋体" w:hAnsi="宋体" w:eastAsia="宋体" w:cs="宋体"/>
          <w:spacing w:val="6"/>
          <w:sz w:val="24"/>
          <w:szCs w:val="24"/>
        </w:rPr>
        <w:t xml:space="preserve"> </w:t>
      </w:r>
      <w:r>
        <w:rPr>
          <w:rFonts w:hint="eastAsia" w:ascii="宋体" w:hAnsi="宋体" w:eastAsia="宋体" w:cs="宋体"/>
          <w:spacing w:val="-2"/>
          <w:sz w:val="24"/>
          <w:szCs w:val="24"/>
        </w:rPr>
        <w:t>号，</w:t>
      </w:r>
      <w:r>
        <w:rPr>
          <w:rFonts w:hint="eastAsia" w:ascii="宋体" w:hAnsi="宋体" w:eastAsia="宋体" w:cs="宋体"/>
          <w:spacing w:val="-4"/>
          <w:sz w:val="24"/>
          <w:szCs w:val="24"/>
        </w:rPr>
        <w:t xml:space="preserve">2015 </w:t>
      </w:r>
      <w:r>
        <w:rPr>
          <w:rFonts w:hint="eastAsia" w:ascii="宋体" w:hAnsi="宋体" w:eastAsia="宋体" w:cs="宋体"/>
          <w:spacing w:val="-30"/>
          <w:sz w:val="24"/>
          <w:szCs w:val="24"/>
        </w:rPr>
        <w:t xml:space="preserve">年 </w:t>
      </w:r>
      <w:r>
        <w:rPr>
          <w:rFonts w:hint="eastAsia" w:ascii="宋体" w:hAnsi="宋体" w:eastAsia="宋体" w:cs="宋体"/>
          <w:sz w:val="24"/>
          <w:szCs w:val="24"/>
        </w:rPr>
        <w:t>4</w:t>
      </w:r>
      <w:r>
        <w:rPr>
          <w:rFonts w:hint="eastAsia" w:ascii="宋体" w:hAnsi="宋体" w:eastAsia="宋体" w:cs="宋体"/>
          <w:sz w:val="24"/>
          <w:szCs w:val="24"/>
          <w:lang w:eastAsia="zh-CN"/>
        </w:rPr>
        <w:t>月</w:t>
      </w:r>
      <w:r>
        <w:rPr>
          <w:rFonts w:hint="eastAsia" w:ascii="宋体" w:hAnsi="宋体" w:eastAsia="宋体" w:cs="宋体"/>
          <w:sz w:val="24"/>
          <w:szCs w:val="24"/>
          <w:lang w:val="en-US" w:eastAsia="zh-CN"/>
        </w:rPr>
        <w:t>2日；</w:t>
      </w:r>
    </w:p>
    <w:p>
      <w:pPr>
        <w:pStyle w:val="20"/>
        <w:numPr>
          <w:ilvl w:val="0"/>
          <w:numId w:val="0"/>
        </w:numPr>
        <w:tabs>
          <w:tab w:val="left" w:pos="1255"/>
        </w:tabs>
        <w:spacing w:before="0" w:after="0" w:line="306" w:lineRule="exact"/>
        <w:ind w:right="0" w:rightChars="0"/>
        <w:jc w:val="left"/>
        <w:rPr>
          <w:rFonts w:hint="eastAsia" w:ascii="宋体" w:hAnsi="宋体" w:eastAsia="宋体" w:cs="宋体"/>
          <w:sz w:val="24"/>
          <w:szCs w:val="24"/>
        </w:rPr>
      </w:pPr>
      <w:r>
        <w:rPr>
          <w:rFonts w:hint="eastAsia" w:ascii="宋体" w:hAnsi="宋体" w:eastAsia="宋体" w:cs="宋体"/>
          <w:spacing w:val="-12"/>
          <w:sz w:val="24"/>
          <w:szCs w:val="24"/>
          <w:lang w:eastAsia="zh-CN"/>
        </w:rPr>
        <w:t>（</w:t>
      </w:r>
      <w:r>
        <w:rPr>
          <w:rFonts w:hint="eastAsia" w:ascii="宋体" w:hAnsi="宋体" w:eastAsia="宋体" w:cs="宋体"/>
          <w:spacing w:val="-12"/>
          <w:sz w:val="24"/>
          <w:szCs w:val="24"/>
          <w:lang w:val="en-US" w:eastAsia="zh-CN"/>
        </w:rPr>
        <w:t>20</w:t>
      </w:r>
      <w:r>
        <w:rPr>
          <w:rFonts w:hint="eastAsia" w:ascii="宋体" w:hAnsi="宋体" w:eastAsia="宋体" w:cs="宋体"/>
          <w:spacing w:val="-12"/>
          <w:sz w:val="24"/>
          <w:szCs w:val="24"/>
          <w:lang w:eastAsia="zh-CN"/>
        </w:rPr>
        <w:t>）</w:t>
      </w:r>
      <w:r>
        <w:rPr>
          <w:rFonts w:hint="eastAsia" w:ascii="宋体" w:hAnsi="宋体" w:eastAsia="宋体" w:cs="宋体"/>
          <w:spacing w:val="-12"/>
          <w:sz w:val="24"/>
          <w:szCs w:val="24"/>
        </w:rPr>
        <w:t xml:space="preserve">《突发环境事件应急管理办法》，环保部令 </w:t>
      </w:r>
      <w:r>
        <w:rPr>
          <w:rFonts w:hint="eastAsia" w:ascii="宋体" w:hAnsi="宋体" w:eastAsia="宋体" w:cs="宋体"/>
          <w:sz w:val="24"/>
          <w:szCs w:val="24"/>
        </w:rPr>
        <w:t xml:space="preserve">34 号，2015 </w:t>
      </w:r>
      <w:r>
        <w:rPr>
          <w:rFonts w:hint="eastAsia" w:ascii="宋体" w:hAnsi="宋体" w:eastAsia="宋体" w:cs="宋体"/>
          <w:spacing w:val="-30"/>
          <w:sz w:val="24"/>
          <w:szCs w:val="24"/>
        </w:rPr>
        <w:t xml:space="preserve">年 </w:t>
      </w:r>
      <w:r>
        <w:rPr>
          <w:rFonts w:hint="eastAsia" w:ascii="宋体" w:hAnsi="宋体" w:eastAsia="宋体" w:cs="宋体"/>
          <w:sz w:val="24"/>
          <w:szCs w:val="24"/>
        </w:rPr>
        <w:t xml:space="preserve">6 </w:t>
      </w:r>
      <w:r>
        <w:rPr>
          <w:rFonts w:hint="eastAsia" w:ascii="宋体" w:hAnsi="宋体" w:eastAsia="宋体" w:cs="宋体"/>
          <w:spacing w:val="-30"/>
          <w:sz w:val="24"/>
          <w:szCs w:val="24"/>
        </w:rPr>
        <w:t xml:space="preserve">月 </w:t>
      </w:r>
      <w:r>
        <w:rPr>
          <w:rFonts w:hint="eastAsia" w:ascii="宋体" w:hAnsi="宋体" w:eastAsia="宋体" w:cs="宋体"/>
          <w:sz w:val="24"/>
          <w:szCs w:val="24"/>
        </w:rPr>
        <w:t>5 日。</w:t>
      </w:r>
    </w:p>
    <w:p>
      <w:pPr>
        <w:pStyle w:val="4"/>
        <w:rPr>
          <w:rFonts w:hint="eastAsia"/>
        </w:rPr>
      </w:pPr>
      <w:bookmarkStart w:id="18" w:name="_Toc24764"/>
      <w:r>
        <w:rPr>
          <w:rFonts w:hint="eastAsia"/>
          <w:lang w:val="en-US" w:eastAsia="zh-CN"/>
        </w:rPr>
        <w:t>2</w:t>
      </w:r>
      <w:r>
        <w:rPr>
          <w:rFonts w:hint="eastAsia"/>
        </w:rPr>
        <w:t>.2.2 技术指南、标准规范</w:t>
      </w:r>
      <w:bookmarkEnd w:id="13"/>
      <w:bookmarkEnd w:id="14"/>
      <w:bookmarkEnd w:id="18"/>
    </w:p>
    <w:p>
      <w:pPr>
        <w:pStyle w:val="20"/>
        <w:numPr>
          <w:ilvl w:val="0"/>
          <w:numId w:val="1"/>
        </w:numPr>
        <w:tabs>
          <w:tab w:val="left" w:pos="1144"/>
        </w:tabs>
        <w:spacing w:before="194" w:after="0" w:line="240" w:lineRule="auto"/>
        <w:ind w:left="425" w:leftChars="0" w:right="0" w:hanging="425" w:firstLineChars="0"/>
        <w:jc w:val="left"/>
        <w:rPr>
          <w:rFonts w:hint="eastAsia" w:ascii="宋体" w:hAnsi="宋体" w:eastAsia="宋体" w:cs="宋体"/>
          <w:sz w:val="24"/>
          <w:szCs w:val="24"/>
        </w:rPr>
      </w:pPr>
      <w:r>
        <w:rPr>
          <w:rFonts w:hint="eastAsia" w:ascii="宋体" w:hAnsi="宋体" w:eastAsia="宋体" w:cs="宋体"/>
          <w:sz w:val="24"/>
          <w:szCs w:val="24"/>
        </w:rPr>
        <w:t>《企业突发环境事件风险评估指南（试行</w:t>
      </w:r>
      <w:r>
        <w:rPr>
          <w:rFonts w:hint="eastAsia" w:ascii="宋体" w:hAnsi="宋体" w:eastAsia="宋体" w:cs="宋体"/>
          <w:spacing w:val="-120"/>
          <w:sz w:val="24"/>
          <w:szCs w:val="24"/>
        </w:rPr>
        <w:t>）</w:t>
      </w:r>
      <w:r>
        <w:rPr>
          <w:rFonts w:hint="eastAsia" w:ascii="宋体" w:hAnsi="宋体" w:eastAsia="宋体" w:cs="宋体"/>
          <w:spacing w:val="-60"/>
          <w:sz w:val="24"/>
          <w:szCs w:val="24"/>
        </w:rPr>
        <w:t>》；</w:t>
      </w:r>
    </w:p>
    <w:p>
      <w:pPr>
        <w:pStyle w:val="20"/>
        <w:numPr>
          <w:ilvl w:val="0"/>
          <w:numId w:val="1"/>
        </w:numPr>
        <w:tabs>
          <w:tab w:val="left" w:pos="1144"/>
        </w:tabs>
        <w:spacing w:before="192" w:after="0" w:line="240" w:lineRule="auto"/>
        <w:ind w:left="425" w:leftChars="0" w:right="0" w:hanging="425" w:firstLineChars="0"/>
        <w:jc w:val="left"/>
        <w:rPr>
          <w:rFonts w:hint="eastAsia" w:ascii="宋体" w:hAnsi="宋体" w:eastAsia="宋体" w:cs="宋体"/>
          <w:sz w:val="24"/>
          <w:szCs w:val="24"/>
        </w:rPr>
      </w:pPr>
      <w:r>
        <w:rPr>
          <w:rFonts w:hint="eastAsia" w:ascii="宋体" w:hAnsi="宋体" w:eastAsia="宋体" w:cs="宋体"/>
          <w:spacing w:val="-7"/>
          <w:sz w:val="24"/>
          <w:szCs w:val="24"/>
        </w:rPr>
        <w:t>《危险化学品单位应急救援物资配备要求》</w:t>
      </w:r>
      <w:r>
        <w:rPr>
          <w:rFonts w:hint="eastAsia" w:ascii="宋体" w:hAnsi="宋体" w:eastAsia="宋体" w:cs="宋体"/>
          <w:sz w:val="24"/>
          <w:szCs w:val="24"/>
        </w:rPr>
        <w:t>（</w:t>
      </w:r>
      <w:r>
        <w:rPr>
          <w:rFonts w:hint="eastAsia" w:ascii="宋体" w:hAnsi="宋体" w:eastAsia="宋体" w:cs="宋体"/>
          <w:spacing w:val="-1"/>
          <w:sz w:val="24"/>
          <w:szCs w:val="24"/>
        </w:rPr>
        <w:t>G</w:t>
      </w:r>
      <w:r>
        <w:rPr>
          <w:rFonts w:hint="eastAsia" w:ascii="宋体" w:hAnsi="宋体" w:eastAsia="宋体" w:cs="宋体"/>
          <w:sz w:val="24"/>
          <w:szCs w:val="24"/>
        </w:rPr>
        <w:t>B 30077</w:t>
      </w:r>
      <w:r>
        <w:rPr>
          <w:rFonts w:hint="eastAsia" w:ascii="宋体" w:hAnsi="宋体" w:eastAsia="宋体" w:cs="宋体"/>
          <w:spacing w:val="-1"/>
          <w:sz w:val="24"/>
          <w:szCs w:val="24"/>
        </w:rPr>
        <w:t>-</w:t>
      </w:r>
      <w:r>
        <w:rPr>
          <w:rFonts w:hint="eastAsia" w:ascii="宋体" w:hAnsi="宋体" w:eastAsia="宋体" w:cs="宋体"/>
          <w:sz w:val="24"/>
          <w:szCs w:val="24"/>
        </w:rPr>
        <w:t>2013</w:t>
      </w:r>
      <w:r>
        <w:rPr>
          <w:rFonts w:hint="eastAsia" w:ascii="宋体" w:hAnsi="宋体" w:eastAsia="宋体" w:cs="宋体"/>
          <w:spacing w:val="-120"/>
          <w:sz w:val="24"/>
          <w:szCs w:val="24"/>
        </w:rPr>
        <w:t>）</w:t>
      </w:r>
      <w:r>
        <w:rPr>
          <w:rFonts w:hint="eastAsia" w:ascii="宋体" w:hAnsi="宋体" w:eastAsia="宋体" w:cs="宋体"/>
          <w:sz w:val="24"/>
          <w:szCs w:val="24"/>
        </w:rPr>
        <w:t>；</w:t>
      </w:r>
    </w:p>
    <w:p>
      <w:pPr>
        <w:pStyle w:val="20"/>
        <w:numPr>
          <w:ilvl w:val="0"/>
          <w:numId w:val="1"/>
        </w:numPr>
        <w:tabs>
          <w:tab w:val="left" w:pos="1144"/>
        </w:tabs>
        <w:spacing w:before="191" w:after="0" w:line="240" w:lineRule="auto"/>
        <w:ind w:left="425" w:leftChars="0" w:right="0" w:hanging="425" w:firstLineChars="0"/>
        <w:jc w:val="left"/>
        <w:rPr>
          <w:rFonts w:hint="eastAsia" w:ascii="宋体" w:hAnsi="宋体" w:eastAsia="宋体" w:cs="宋体"/>
          <w:sz w:val="24"/>
          <w:szCs w:val="24"/>
        </w:rPr>
      </w:pPr>
      <w:r>
        <w:rPr>
          <w:rFonts w:hint="eastAsia" w:ascii="宋体" w:hAnsi="宋体" w:eastAsia="宋体" w:cs="宋体"/>
          <w:spacing w:val="-9"/>
          <w:sz w:val="24"/>
          <w:szCs w:val="24"/>
        </w:rPr>
        <w:t>《危险化学品重大危险源辨识》</w:t>
      </w:r>
      <w:r>
        <w:rPr>
          <w:rFonts w:hint="eastAsia" w:ascii="宋体" w:hAnsi="宋体" w:eastAsia="宋体" w:cs="宋体"/>
          <w:sz w:val="24"/>
          <w:szCs w:val="24"/>
        </w:rPr>
        <w:t>（</w:t>
      </w:r>
      <w:r>
        <w:rPr>
          <w:rFonts w:hint="eastAsia" w:ascii="宋体" w:hAnsi="宋体" w:eastAsia="宋体" w:cs="宋体"/>
          <w:spacing w:val="-1"/>
          <w:sz w:val="24"/>
          <w:szCs w:val="24"/>
        </w:rPr>
        <w:t>G</w:t>
      </w:r>
      <w:r>
        <w:rPr>
          <w:rFonts w:hint="eastAsia" w:ascii="宋体" w:hAnsi="宋体" w:eastAsia="宋体" w:cs="宋体"/>
          <w:spacing w:val="-2"/>
          <w:sz w:val="24"/>
          <w:szCs w:val="24"/>
        </w:rPr>
        <w:t>B</w:t>
      </w:r>
      <w:r>
        <w:rPr>
          <w:rFonts w:hint="eastAsia" w:ascii="宋体" w:hAnsi="宋体" w:eastAsia="宋体" w:cs="宋体"/>
          <w:sz w:val="24"/>
          <w:szCs w:val="24"/>
        </w:rPr>
        <w:t>18218</w:t>
      </w:r>
      <w:r>
        <w:rPr>
          <w:rFonts w:hint="eastAsia" w:ascii="宋体" w:hAnsi="宋体" w:eastAsia="宋体" w:cs="宋体"/>
          <w:spacing w:val="-1"/>
          <w:sz w:val="24"/>
          <w:szCs w:val="24"/>
        </w:rPr>
        <w:t>-</w:t>
      </w:r>
      <w:r>
        <w:rPr>
          <w:rFonts w:hint="eastAsia" w:ascii="宋体" w:hAnsi="宋体" w:eastAsia="宋体" w:cs="宋体"/>
          <w:sz w:val="24"/>
          <w:szCs w:val="24"/>
        </w:rPr>
        <w:t>200</w:t>
      </w:r>
      <w:r>
        <w:rPr>
          <w:rFonts w:hint="eastAsia" w:ascii="宋体" w:hAnsi="宋体" w:eastAsia="宋体" w:cs="宋体"/>
          <w:spacing w:val="2"/>
          <w:sz w:val="24"/>
          <w:szCs w:val="24"/>
        </w:rPr>
        <w:t>9</w:t>
      </w:r>
      <w:r>
        <w:rPr>
          <w:rFonts w:hint="eastAsia" w:ascii="宋体" w:hAnsi="宋体" w:eastAsia="宋体" w:cs="宋体"/>
          <w:spacing w:val="-120"/>
          <w:sz w:val="24"/>
          <w:szCs w:val="24"/>
        </w:rPr>
        <w:t>）</w:t>
      </w:r>
      <w:r>
        <w:rPr>
          <w:rFonts w:hint="eastAsia" w:ascii="宋体" w:hAnsi="宋体" w:eastAsia="宋体" w:cs="宋体"/>
          <w:sz w:val="24"/>
          <w:szCs w:val="24"/>
        </w:rPr>
        <w:t>；</w:t>
      </w:r>
    </w:p>
    <w:p>
      <w:pPr>
        <w:pStyle w:val="20"/>
        <w:numPr>
          <w:ilvl w:val="0"/>
          <w:numId w:val="1"/>
        </w:numPr>
        <w:tabs>
          <w:tab w:val="left" w:pos="1144"/>
        </w:tabs>
        <w:spacing w:before="194" w:after="0" w:line="240" w:lineRule="auto"/>
        <w:ind w:left="425" w:leftChars="0" w:right="0" w:hanging="425" w:firstLineChars="0"/>
        <w:jc w:val="left"/>
        <w:rPr>
          <w:rFonts w:hint="eastAsia" w:ascii="宋体" w:hAnsi="宋体" w:eastAsia="宋体" w:cs="宋体"/>
          <w:sz w:val="24"/>
          <w:szCs w:val="24"/>
        </w:rPr>
      </w:pPr>
      <w:r>
        <w:rPr>
          <w:rFonts w:hint="eastAsia" w:ascii="宋体" w:hAnsi="宋体" w:eastAsia="宋体" w:cs="宋体"/>
          <w:spacing w:val="-8"/>
          <w:sz w:val="24"/>
          <w:szCs w:val="24"/>
        </w:rPr>
        <w:t>《化工建设项目环境保护设计规范》</w:t>
      </w:r>
      <w:r>
        <w:rPr>
          <w:rFonts w:hint="eastAsia" w:ascii="宋体" w:hAnsi="宋体" w:eastAsia="宋体" w:cs="宋体"/>
          <w:sz w:val="24"/>
          <w:szCs w:val="24"/>
        </w:rPr>
        <w:t>（</w:t>
      </w:r>
      <w:r>
        <w:rPr>
          <w:rFonts w:hint="eastAsia" w:ascii="宋体" w:hAnsi="宋体" w:eastAsia="宋体" w:cs="宋体"/>
          <w:spacing w:val="-1"/>
          <w:sz w:val="24"/>
          <w:szCs w:val="24"/>
        </w:rPr>
        <w:t>G</w:t>
      </w:r>
      <w:r>
        <w:rPr>
          <w:rFonts w:hint="eastAsia" w:ascii="宋体" w:hAnsi="宋体" w:eastAsia="宋体" w:cs="宋体"/>
          <w:spacing w:val="-2"/>
          <w:sz w:val="24"/>
          <w:szCs w:val="24"/>
        </w:rPr>
        <w:t>B</w:t>
      </w:r>
      <w:r>
        <w:rPr>
          <w:rFonts w:hint="eastAsia" w:ascii="宋体" w:hAnsi="宋体" w:eastAsia="宋体" w:cs="宋体"/>
          <w:sz w:val="24"/>
          <w:szCs w:val="24"/>
        </w:rPr>
        <w:t>50483</w:t>
      </w:r>
      <w:r>
        <w:rPr>
          <w:rFonts w:hint="eastAsia" w:ascii="宋体" w:hAnsi="宋体" w:eastAsia="宋体" w:cs="宋体"/>
          <w:spacing w:val="-1"/>
          <w:sz w:val="24"/>
          <w:szCs w:val="24"/>
        </w:rPr>
        <w:t>-</w:t>
      </w:r>
      <w:r>
        <w:rPr>
          <w:rFonts w:hint="eastAsia" w:ascii="宋体" w:hAnsi="宋体" w:eastAsia="宋体" w:cs="宋体"/>
          <w:sz w:val="24"/>
          <w:szCs w:val="24"/>
        </w:rPr>
        <w:t>200</w:t>
      </w:r>
      <w:r>
        <w:rPr>
          <w:rFonts w:hint="eastAsia" w:ascii="宋体" w:hAnsi="宋体" w:eastAsia="宋体" w:cs="宋体"/>
          <w:spacing w:val="2"/>
          <w:sz w:val="24"/>
          <w:szCs w:val="24"/>
        </w:rPr>
        <w:t>9</w:t>
      </w:r>
      <w:r>
        <w:rPr>
          <w:rFonts w:hint="eastAsia" w:ascii="宋体" w:hAnsi="宋体" w:eastAsia="宋体" w:cs="宋体"/>
          <w:spacing w:val="-120"/>
          <w:sz w:val="24"/>
          <w:szCs w:val="24"/>
        </w:rPr>
        <w:t>）</w:t>
      </w:r>
      <w:r>
        <w:rPr>
          <w:rFonts w:hint="eastAsia" w:ascii="宋体" w:hAnsi="宋体" w:eastAsia="宋体" w:cs="宋体"/>
          <w:sz w:val="24"/>
          <w:szCs w:val="24"/>
        </w:rPr>
        <w:t>；</w:t>
      </w:r>
    </w:p>
    <w:p>
      <w:pPr>
        <w:pStyle w:val="6"/>
        <w:numPr>
          <w:ilvl w:val="0"/>
          <w:numId w:val="1"/>
        </w:numPr>
        <w:spacing w:before="192"/>
        <w:ind w:left="425" w:leftChars="0" w:hanging="425" w:firstLineChars="0"/>
        <w:jc w:val="left"/>
        <w:rPr>
          <w:rFonts w:hint="eastAsia" w:ascii="宋体" w:hAnsi="宋体" w:eastAsia="宋体" w:cs="宋体"/>
          <w:sz w:val="24"/>
          <w:szCs w:val="24"/>
        </w:rPr>
      </w:pPr>
      <w:r>
        <w:rPr>
          <w:rFonts w:hint="eastAsia" w:ascii="宋体" w:hAnsi="宋体" w:eastAsia="宋体" w:cs="宋体"/>
          <w:spacing w:val="-12"/>
          <w:sz w:val="24"/>
          <w:szCs w:val="24"/>
        </w:rPr>
        <w:t>《建筑设计防火规范》</w:t>
      </w:r>
      <w:r>
        <w:rPr>
          <w:rFonts w:hint="eastAsia" w:ascii="宋体" w:hAnsi="宋体" w:eastAsia="宋体" w:cs="宋体"/>
          <w:sz w:val="24"/>
          <w:szCs w:val="24"/>
        </w:rPr>
        <w:t>（</w:t>
      </w:r>
      <w:r>
        <w:rPr>
          <w:rFonts w:hint="eastAsia" w:ascii="宋体" w:hAnsi="宋体" w:eastAsia="宋体" w:cs="宋体"/>
          <w:spacing w:val="-1"/>
          <w:sz w:val="24"/>
          <w:szCs w:val="24"/>
        </w:rPr>
        <w:t>G</w:t>
      </w:r>
      <w:r>
        <w:rPr>
          <w:rFonts w:hint="eastAsia" w:ascii="宋体" w:hAnsi="宋体" w:eastAsia="宋体" w:cs="宋体"/>
          <w:spacing w:val="-2"/>
          <w:sz w:val="24"/>
          <w:szCs w:val="24"/>
        </w:rPr>
        <w:t>B</w:t>
      </w:r>
      <w:r>
        <w:rPr>
          <w:rFonts w:hint="eastAsia" w:ascii="宋体" w:hAnsi="宋体" w:eastAsia="宋体" w:cs="宋体"/>
          <w:sz w:val="24"/>
          <w:szCs w:val="24"/>
        </w:rPr>
        <w:t>50016</w:t>
      </w:r>
      <w:r>
        <w:rPr>
          <w:rFonts w:hint="eastAsia" w:ascii="宋体" w:hAnsi="宋体" w:eastAsia="宋体" w:cs="宋体"/>
          <w:spacing w:val="-1"/>
          <w:sz w:val="24"/>
          <w:szCs w:val="24"/>
        </w:rPr>
        <w:t>-</w:t>
      </w:r>
      <w:r>
        <w:rPr>
          <w:rFonts w:hint="eastAsia" w:ascii="宋体" w:hAnsi="宋体" w:eastAsia="宋体" w:cs="宋体"/>
          <w:sz w:val="24"/>
          <w:szCs w:val="24"/>
        </w:rPr>
        <w:t>201</w:t>
      </w:r>
      <w:r>
        <w:rPr>
          <w:rFonts w:hint="eastAsia" w:ascii="宋体" w:hAnsi="宋体" w:eastAsia="宋体" w:cs="宋体"/>
          <w:spacing w:val="2"/>
          <w:sz w:val="24"/>
          <w:szCs w:val="24"/>
        </w:rPr>
        <w:t>4</w:t>
      </w:r>
      <w:r>
        <w:rPr>
          <w:rFonts w:hint="eastAsia" w:ascii="宋体" w:hAnsi="宋体" w:eastAsia="宋体" w:cs="宋体"/>
          <w:spacing w:val="-120"/>
          <w:sz w:val="24"/>
          <w:szCs w:val="24"/>
        </w:rPr>
        <w:t>）</w:t>
      </w:r>
      <w:r>
        <w:rPr>
          <w:rFonts w:hint="eastAsia" w:ascii="宋体" w:hAnsi="宋体" w:eastAsia="宋体" w:cs="宋体"/>
          <w:sz w:val="24"/>
          <w:szCs w:val="24"/>
        </w:rPr>
        <w:t>；</w:t>
      </w:r>
    </w:p>
    <w:p>
      <w:pPr>
        <w:pStyle w:val="20"/>
        <w:numPr>
          <w:ilvl w:val="0"/>
          <w:numId w:val="1"/>
        </w:numPr>
        <w:tabs>
          <w:tab w:val="left" w:pos="1144"/>
        </w:tabs>
        <w:spacing w:before="192" w:after="0" w:line="240" w:lineRule="auto"/>
        <w:ind w:left="425" w:leftChars="0" w:right="0" w:hanging="425" w:firstLineChars="0"/>
        <w:jc w:val="left"/>
        <w:rPr>
          <w:rFonts w:hint="eastAsia" w:ascii="宋体" w:hAnsi="宋体" w:eastAsia="宋体" w:cs="宋体"/>
          <w:sz w:val="24"/>
          <w:szCs w:val="24"/>
        </w:rPr>
      </w:pPr>
      <w:r>
        <w:rPr>
          <w:rFonts w:hint="eastAsia" w:ascii="宋体" w:hAnsi="宋体" w:eastAsia="宋体" w:cs="宋体"/>
          <w:spacing w:val="-9"/>
          <w:sz w:val="24"/>
          <w:szCs w:val="24"/>
        </w:rPr>
        <w:t>《石油化工企业设计防火规范》</w:t>
      </w:r>
      <w:r>
        <w:rPr>
          <w:rFonts w:hint="eastAsia" w:ascii="宋体" w:hAnsi="宋体" w:eastAsia="宋体" w:cs="宋体"/>
          <w:sz w:val="24"/>
          <w:szCs w:val="24"/>
        </w:rPr>
        <w:t>（</w:t>
      </w:r>
      <w:r>
        <w:rPr>
          <w:rFonts w:hint="eastAsia" w:ascii="宋体" w:hAnsi="宋体" w:eastAsia="宋体" w:cs="宋体"/>
          <w:spacing w:val="-1"/>
          <w:sz w:val="24"/>
          <w:szCs w:val="24"/>
        </w:rPr>
        <w:t>G</w:t>
      </w:r>
      <w:r>
        <w:rPr>
          <w:rFonts w:hint="eastAsia" w:ascii="宋体" w:hAnsi="宋体" w:eastAsia="宋体" w:cs="宋体"/>
          <w:spacing w:val="-2"/>
          <w:sz w:val="24"/>
          <w:szCs w:val="24"/>
        </w:rPr>
        <w:t>B</w:t>
      </w:r>
      <w:r>
        <w:rPr>
          <w:rFonts w:hint="eastAsia" w:ascii="宋体" w:hAnsi="宋体" w:eastAsia="宋体" w:cs="宋体"/>
          <w:sz w:val="24"/>
          <w:szCs w:val="24"/>
        </w:rPr>
        <w:t>50160</w:t>
      </w:r>
      <w:r>
        <w:rPr>
          <w:rFonts w:hint="eastAsia" w:ascii="宋体" w:hAnsi="宋体" w:eastAsia="宋体" w:cs="宋体"/>
          <w:spacing w:val="-1"/>
          <w:sz w:val="24"/>
          <w:szCs w:val="24"/>
        </w:rPr>
        <w:t>-</w:t>
      </w:r>
      <w:r>
        <w:rPr>
          <w:rFonts w:hint="eastAsia" w:ascii="宋体" w:hAnsi="宋体" w:eastAsia="宋体" w:cs="宋体"/>
          <w:sz w:val="24"/>
          <w:szCs w:val="24"/>
        </w:rPr>
        <w:t>200</w:t>
      </w:r>
      <w:r>
        <w:rPr>
          <w:rFonts w:hint="eastAsia" w:ascii="宋体" w:hAnsi="宋体" w:eastAsia="宋体" w:cs="宋体"/>
          <w:spacing w:val="2"/>
          <w:sz w:val="24"/>
          <w:szCs w:val="24"/>
        </w:rPr>
        <w:t>8</w:t>
      </w:r>
      <w:r>
        <w:rPr>
          <w:rFonts w:hint="eastAsia" w:ascii="宋体" w:hAnsi="宋体" w:eastAsia="宋体" w:cs="宋体"/>
          <w:spacing w:val="-120"/>
          <w:sz w:val="24"/>
          <w:szCs w:val="24"/>
        </w:rPr>
        <w:t>）</w:t>
      </w:r>
      <w:r>
        <w:rPr>
          <w:rFonts w:hint="eastAsia" w:ascii="宋体" w:hAnsi="宋体" w:eastAsia="宋体" w:cs="宋体"/>
          <w:sz w:val="24"/>
          <w:szCs w:val="24"/>
        </w:rPr>
        <w:t>；</w:t>
      </w:r>
    </w:p>
    <w:p>
      <w:pPr>
        <w:pStyle w:val="20"/>
        <w:numPr>
          <w:ilvl w:val="0"/>
          <w:numId w:val="1"/>
        </w:numPr>
        <w:tabs>
          <w:tab w:val="left" w:pos="1144"/>
        </w:tabs>
        <w:spacing w:before="194" w:after="0" w:line="240" w:lineRule="auto"/>
        <w:ind w:left="425" w:leftChars="0" w:right="0" w:hanging="425" w:firstLineChars="0"/>
        <w:jc w:val="left"/>
        <w:rPr>
          <w:rFonts w:hint="eastAsia" w:ascii="宋体" w:hAnsi="宋体" w:eastAsia="宋体" w:cs="宋体"/>
          <w:sz w:val="24"/>
          <w:szCs w:val="24"/>
        </w:rPr>
      </w:pPr>
      <w:r>
        <w:rPr>
          <w:rFonts w:hint="eastAsia" w:ascii="宋体" w:hAnsi="宋体" w:eastAsia="宋体" w:cs="宋体"/>
          <w:spacing w:val="-10"/>
          <w:sz w:val="24"/>
          <w:szCs w:val="24"/>
        </w:rPr>
        <w:t>《储罐区防火堤设计规范》</w:t>
      </w:r>
      <w:r>
        <w:rPr>
          <w:rFonts w:hint="eastAsia" w:ascii="宋体" w:hAnsi="宋体" w:eastAsia="宋体" w:cs="宋体"/>
          <w:sz w:val="24"/>
          <w:szCs w:val="24"/>
        </w:rPr>
        <w:t>（</w:t>
      </w:r>
      <w:r>
        <w:rPr>
          <w:rFonts w:hint="eastAsia" w:ascii="宋体" w:hAnsi="宋体" w:eastAsia="宋体" w:cs="宋体"/>
          <w:spacing w:val="-1"/>
          <w:sz w:val="24"/>
          <w:szCs w:val="24"/>
        </w:rPr>
        <w:t>G</w:t>
      </w:r>
      <w:r>
        <w:rPr>
          <w:rFonts w:hint="eastAsia" w:ascii="宋体" w:hAnsi="宋体" w:eastAsia="宋体" w:cs="宋体"/>
          <w:spacing w:val="-2"/>
          <w:sz w:val="24"/>
          <w:szCs w:val="24"/>
        </w:rPr>
        <w:t>B</w:t>
      </w:r>
      <w:r>
        <w:rPr>
          <w:rFonts w:hint="eastAsia" w:ascii="宋体" w:hAnsi="宋体" w:eastAsia="宋体" w:cs="宋体"/>
          <w:sz w:val="24"/>
          <w:szCs w:val="24"/>
        </w:rPr>
        <w:t>50351</w:t>
      </w:r>
      <w:r>
        <w:rPr>
          <w:rFonts w:hint="eastAsia" w:ascii="宋体" w:hAnsi="宋体" w:eastAsia="宋体" w:cs="宋体"/>
          <w:spacing w:val="-1"/>
          <w:sz w:val="24"/>
          <w:szCs w:val="24"/>
        </w:rPr>
        <w:t>-</w:t>
      </w:r>
      <w:r>
        <w:rPr>
          <w:rFonts w:hint="eastAsia" w:ascii="宋体" w:hAnsi="宋体" w:eastAsia="宋体" w:cs="宋体"/>
          <w:sz w:val="24"/>
          <w:szCs w:val="24"/>
        </w:rPr>
        <w:t>201</w:t>
      </w:r>
      <w:r>
        <w:rPr>
          <w:rFonts w:hint="eastAsia" w:ascii="宋体" w:hAnsi="宋体" w:eastAsia="宋体" w:cs="宋体"/>
          <w:spacing w:val="2"/>
          <w:sz w:val="24"/>
          <w:szCs w:val="24"/>
        </w:rPr>
        <w:t>4</w:t>
      </w:r>
      <w:r>
        <w:rPr>
          <w:rFonts w:hint="eastAsia" w:ascii="宋体" w:hAnsi="宋体" w:eastAsia="宋体" w:cs="宋体"/>
          <w:spacing w:val="-120"/>
          <w:sz w:val="24"/>
          <w:szCs w:val="24"/>
        </w:rPr>
        <w:t>）</w:t>
      </w:r>
      <w:r>
        <w:rPr>
          <w:rFonts w:hint="eastAsia" w:ascii="宋体" w:hAnsi="宋体" w:eastAsia="宋体" w:cs="宋体"/>
          <w:sz w:val="24"/>
          <w:szCs w:val="24"/>
        </w:rPr>
        <w:t>；</w:t>
      </w:r>
    </w:p>
    <w:p>
      <w:pPr>
        <w:pStyle w:val="20"/>
        <w:numPr>
          <w:ilvl w:val="0"/>
          <w:numId w:val="1"/>
        </w:numPr>
        <w:tabs>
          <w:tab w:val="left" w:pos="1144"/>
        </w:tabs>
        <w:spacing w:before="192" w:after="0" w:line="240" w:lineRule="auto"/>
        <w:ind w:left="425" w:leftChars="0" w:right="0" w:hanging="425" w:firstLineChars="0"/>
        <w:jc w:val="left"/>
        <w:rPr>
          <w:rFonts w:hint="eastAsia" w:ascii="宋体" w:hAnsi="宋体" w:eastAsia="宋体" w:cs="宋体"/>
          <w:sz w:val="24"/>
          <w:szCs w:val="24"/>
        </w:rPr>
      </w:pPr>
      <w:r>
        <w:rPr>
          <w:rFonts w:hint="eastAsia" w:ascii="宋体" w:hAnsi="宋体" w:eastAsia="宋体" w:cs="宋体"/>
          <w:spacing w:val="-9"/>
          <w:sz w:val="24"/>
          <w:szCs w:val="24"/>
        </w:rPr>
        <w:t>《化学品分类、警示标签和警示性说明安全规程》</w:t>
      </w:r>
      <w:r>
        <w:rPr>
          <w:rFonts w:hint="eastAsia" w:ascii="宋体" w:hAnsi="宋体" w:eastAsia="宋体" w:cs="宋体"/>
          <w:sz w:val="24"/>
          <w:szCs w:val="24"/>
        </w:rPr>
        <w:t>（</w:t>
      </w:r>
      <w:r>
        <w:rPr>
          <w:rFonts w:hint="eastAsia" w:ascii="宋体" w:hAnsi="宋体" w:eastAsia="宋体" w:cs="宋体"/>
          <w:spacing w:val="-1"/>
          <w:sz w:val="24"/>
          <w:szCs w:val="24"/>
        </w:rPr>
        <w:t>G</w:t>
      </w:r>
      <w:r>
        <w:rPr>
          <w:rFonts w:hint="eastAsia" w:ascii="宋体" w:hAnsi="宋体" w:eastAsia="宋体" w:cs="宋体"/>
          <w:spacing w:val="-2"/>
          <w:sz w:val="24"/>
          <w:szCs w:val="24"/>
        </w:rPr>
        <w:t>B</w:t>
      </w:r>
      <w:r>
        <w:rPr>
          <w:rFonts w:hint="eastAsia" w:ascii="宋体" w:hAnsi="宋体" w:eastAsia="宋体" w:cs="宋体"/>
          <w:sz w:val="24"/>
          <w:szCs w:val="24"/>
        </w:rPr>
        <w:t>20576</w:t>
      </w:r>
      <w:r>
        <w:rPr>
          <w:rFonts w:hint="eastAsia" w:ascii="宋体" w:hAnsi="宋体" w:eastAsia="宋体" w:cs="宋体"/>
          <w:spacing w:val="1"/>
          <w:sz w:val="24"/>
          <w:szCs w:val="24"/>
        </w:rPr>
        <w:t>-</w:t>
      </w:r>
      <w:r>
        <w:rPr>
          <w:rFonts w:hint="eastAsia" w:ascii="宋体" w:hAnsi="宋体" w:eastAsia="宋体" w:cs="宋体"/>
          <w:spacing w:val="-1"/>
          <w:sz w:val="24"/>
          <w:szCs w:val="24"/>
        </w:rPr>
        <w:t>G</w:t>
      </w:r>
      <w:r>
        <w:rPr>
          <w:rFonts w:hint="eastAsia" w:ascii="宋体" w:hAnsi="宋体" w:eastAsia="宋体" w:cs="宋体"/>
          <w:sz w:val="24"/>
          <w:szCs w:val="24"/>
        </w:rPr>
        <w:t>B20602</w:t>
      </w:r>
      <w:r>
        <w:rPr>
          <w:rFonts w:hint="eastAsia" w:ascii="宋体" w:hAnsi="宋体" w:eastAsia="宋体" w:cs="宋体"/>
          <w:spacing w:val="-120"/>
          <w:sz w:val="24"/>
          <w:szCs w:val="24"/>
        </w:rPr>
        <w:t>）</w:t>
      </w:r>
      <w:r>
        <w:rPr>
          <w:rFonts w:hint="eastAsia" w:ascii="宋体" w:hAnsi="宋体" w:eastAsia="宋体" w:cs="宋体"/>
          <w:sz w:val="24"/>
          <w:szCs w:val="24"/>
        </w:rPr>
        <w:t>；</w:t>
      </w:r>
    </w:p>
    <w:p>
      <w:pPr>
        <w:pStyle w:val="20"/>
        <w:numPr>
          <w:ilvl w:val="0"/>
          <w:numId w:val="1"/>
        </w:numPr>
        <w:tabs>
          <w:tab w:val="left" w:pos="1144"/>
        </w:tabs>
        <w:spacing w:before="191" w:after="0" w:line="240" w:lineRule="auto"/>
        <w:ind w:left="425" w:leftChars="0" w:right="0" w:hanging="425" w:firstLineChars="0"/>
        <w:jc w:val="left"/>
        <w:rPr>
          <w:rFonts w:hint="eastAsia" w:ascii="宋体" w:hAnsi="宋体" w:eastAsia="宋体" w:cs="宋体"/>
          <w:sz w:val="24"/>
          <w:szCs w:val="24"/>
        </w:rPr>
      </w:pPr>
      <w:r>
        <w:rPr>
          <w:rFonts w:hint="eastAsia" w:ascii="宋体" w:hAnsi="宋体" w:eastAsia="宋体" w:cs="宋体"/>
          <w:spacing w:val="-8"/>
          <w:sz w:val="24"/>
          <w:szCs w:val="24"/>
        </w:rPr>
        <w:t>《环境影响评价技术导则地下水环境》</w:t>
      </w:r>
      <w:r>
        <w:rPr>
          <w:rFonts w:hint="eastAsia" w:ascii="宋体" w:hAnsi="宋体" w:eastAsia="宋体" w:cs="宋体"/>
          <w:sz w:val="24"/>
          <w:szCs w:val="24"/>
        </w:rPr>
        <w:t>（</w:t>
      </w:r>
      <w:r>
        <w:rPr>
          <w:rFonts w:hint="eastAsia" w:ascii="宋体" w:hAnsi="宋体" w:eastAsia="宋体" w:cs="宋体"/>
          <w:spacing w:val="-1"/>
          <w:sz w:val="24"/>
          <w:szCs w:val="24"/>
        </w:rPr>
        <w:t>H</w:t>
      </w:r>
      <w:r>
        <w:rPr>
          <w:rFonts w:hint="eastAsia" w:ascii="宋体" w:hAnsi="宋体" w:eastAsia="宋体" w:cs="宋体"/>
          <w:sz w:val="24"/>
          <w:szCs w:val="24"/>
        </w:rPr>
        <w:t>J610</w:t>
      </w:r>
      <w:r>
        <w:rPr>
          <w:rFonts w:hint="eastAsia" w:ascii="宋体" w:hAnsi="宋体" w:eastAsia="宋体" w:cs="宋体"/>
          <w:spacing w:val="-1"/>
          <w:sz w:val="24"/>
          <w:szCs w:val="24"/>
        </w:rPr>
        <w:t>-</w:t>
      </w:r>
      <w:r>
        <w:rPr>
          <w:rFonts w:hint="eastAsia" w:ascii="宋体" w:hAnsi="宋体" w:eastAsia="宋体" w:cs="宋体"/>
          <w:sz w:val="24"/>
          <w:szCs w:val="24"/>
        </w:rPr>
        <w:t>20</w:t>
      </w:r>
      <w:r>
        <w:rPr>
          <w:rFonts w:hint="eastAsia" w:ascii="宋体" w:hAnsi="宋体" w:eastAsia="宋体" w:cs="宋体"/>
          <w:spacing w:val="-5"/>
          <w:sz w:val="24"/>
          <w:szCs w:val="24"/>
        </w:rPr>
        <w:t>11</w:t>
      </w:r>
      <w:r>
        <w:rPr>
          <w:rFonts w:hint="eastAsia" w:ascii="宋体" w:hAnsi="宋体" w:eastAsia="宋体" w:cs="宋体"/>
          <w:spacing w:val="-120"/>
          <w:sz w:val="24"/>
          <w:szCs w:val="24"/>
        </w:rPr>
        <w:t>）</w:t>
      </w:r>
      <w:r>
        <w:rPr>
          <w:rFonts w:hint="eastAsia" w:ascii="宋体" w:hAnsi="宋体" w:eastAsia="宋体" w:cs="宋体"/>
          <w:sz w:val="24"/>
          <w:szCs w:val="24"/>
        </w:rPr>
        <w:t>；</w:t>
      </w:r>
    </w:p>
    <w:p>
      <w:pPr>
        <w:pStyle w:val="20"/>
        <w:numPr>
          <w:ilvl w:val="0"/>
          <w:numId w:val="0"/>
        </w:numPr>
        <w:tabs>
          <w:tab w:val="left" w:pos="1233"/>
        </w:tabs>
        <w:spacing w:before="194" w:after="0" w:line="388" w:lineRule="auto"/>
        <w:ind w:leftChars="0" w:right="2778" w:rightChars="0"/>
        <w:jc w:val="left"/>
        <w:rPr>
          <w:rFonts w:hint="eastAsia" w:ascii="宋体" w:hAnsi="宋体" w:eastAsia="宋体" w:cs="宋体"/>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10</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rPr>
        <w:t>《建设项目环境风险评价技术导则》</w:t>
      </w:r>
      <w:r>
        <w:rPr>
          <w:rFonts w:hint="eastAsia" w:ascii="宋体" w:hAnsi="宋体" w:eastAsia="宋体" w:cs="宋体"/>
          <w:spacing w:val="-1"/>
          <w:sz w:val="24"/>
          <w:szCs w:val="24"/>
        </w:rPr>
        <w:t>（</w:t>
      </w:r>
      <w:r>
        <w:rPr>
          <w:rFonts w:hint="eastAsia" w:ascii="宋体" w:hAnsi="宋体" w:eastAsia="宋体" w:cs="宋体"/>
          <w:spacing w:val="-2"/>
          <w:sz w:val="24"/>
          <w:szCs w:val="24"/>
        </w:rPr>
        <w:t>H</w:t>
      </w:r>
      <w:r>
        <w:rPr>
          <w:rFonts w:hint="eastAsia" w:ascii="宋体" w:hAnsi="宋体" w:eastAsia="宋体" w:cs="宋体"/>
          <w:spacing w:val="1"/>
          <w:sz w:val="24"/>
          <w:szCs w:val="24"/>
        </w:rPr>
        <w:t>J</w:t>
      </w:r>
      <w:r>
        <w:rPr>
          <w:rFonts w:hint="eastAsia" w:ascii="宋体" w:hAnsi="宋体" w:eastAsia="宋体" w:cs="宋体"/>
          <w:spacing w:val="-3"/>
          <w:sz w:val="24"/>
          <w:szCs w:val="24"/>
        </w:rPr>
        <w:t>/</w:t>
      </w:r>
      <w:r>
        <w:rPr>
          <w:rFonts w:hint="eastAsia" w:ascii="宋体" w:hAnsi="宋体" w:eastAsia="宋体" w:cs="宋体"/>
          <w:spacing w:val="-2"/>
          <w:sz w:val="24"/>
          <w:szCs w:val="24"/>
        </w:rPr>
        <w:t>T</w:t>
      </w:r>
      <w:r>
        <w:rPr>
          <w:rFonts w:hint="eastAsia" w:ascii="宋体" w:hAnsi="宋体" w:eastAsia="宋体" w:cs="宋体"/>
          <w:spacing w:val="-1"/>
          <w:sz w:val="24"/>
          <w:szCs w:val="24"/>
        </w:rPr>
        <w:t>169</w:t>
      </w:r>
      <w:r>
        <w:rPr>
          <w:rFonts w:hint="eastAsia" w:ascii="宋体" w:hAnsi="宋体" w:eastAsia="宋体" w:cs="宋体"/>
          <w:spacing w:val="-2"/>
          <w:sz w:val="24"/>
          <w:szCs w:val="24"/>
        </w:rPr>
        <w:t>-</w:t>
      </w:r>
      <w:r>
        <w:rPr>
          <w:rFonts w:hint="eastAsia" w:ascii="宋体" w:hAnsi="宋体" w:eastAsia="宋体" w:cs="宋体"/>
          <w:spacing w:val="-1"/>
          <w:sz w:val="24"/>
          <w:szCs w:val="24"/>
        </w:rPr>
        <w:t>200</w:t>
      </w:r>
      <w:r>
        <w:rPr>
          <w:rFonts w:hint="eastAsia" w:ascii="宋体" w:hAnsi="宋体" w:eastAsia="宋体" w:cs="宋体"/>
          <w:spacing w:val="1"/>
          <w:sz w:val="24"/>
          <w:szCs w:val="24"/>
        </w:rPr>
        <w:t>4</w:t>
      </w:r>
      <w:r>
        <w:rPr>
          <w:rFonts w:hint="eastAsia" w:ascii="宋体" w:hAnsi="宋体" w:eastAsia="宋体" w:cs="宋体"/>
          <w:spacing w:val="-121"/>
          <w:sz w:val="24"/>
          <w:szCs w:val="24"/>
        </w:rPr>
        <w:t>）</w:t>
      </w:r>
      <w:r>
        <w:rPr>
          <w:rFonts w:hint="eastAsia" w:ascii="宋体" w:hAnsi="宋体" w:eastAsia="宋体" w:cs="宋体"/>
          <w:spacing w:val="-1"/>
          <w:sz w:val="24"/>
          <w:szCs w:val="24"/>
        </w:rPr>
        <w:t>；</w:t>
      </w:r>
    </w:p>
    <w:p>
      <w:pPr>
        <w:pStyle w:val="20"/>
        <w:numPr>
          <w:ilvl w:val="0"/>
          <w:numId w:val="0"/>
        </w:numPr>
        <w:tabs>
          <w:tab w:val="left" w:pos="1233"/>
        </w:tabs>
        <w:spacing w:before="194" w:after="0" w:line="388" w:lineRule="auto"/>
        <w:ind w:leftChars="0" w:right="2778" w:rightChars="0"/>
        <w:jc w:val="left"/>
        <w:rPr>
          <w:rFonts w:hint="eastAsia" w:ascii="宋体" w:hAnsi="宋体" w:eastAsia="宋体" w:cs="宋体"/>
          <w:sz w:val="24"/>
          <w:szCs w:val="24"/>
        </w:rPr>
      </w:pPr>
      <w:r>
        <w:rPr>
          <w:rFonts w:hint="eastAsia" w:ascii="宋体" w:hAnsi="宋体" w:eastAsia="宋体" w:cs="宋体"/>
          <w:spacing w:val="-12"/>
          <w:sz w:val="24"/>
          <w:szCs w:val="24"/>
          <w:lang w:eastAsia="zh-CN"/>
        </w:rPr>
        <w:t>（</w:t>
      </w:r>
      <w:r>
        <w:rPr>
          <w:rFonts w:hint="eastAsia" w:ascii="宋体" w:hAnsi="宋体" w:eastAsia="宋体" w:cs="宋体"/>
          <w:spacing w:val="-12"/>
          <w:sz w:val="24"/>
          <w:szCs w:val="24"/>
          <w:lang w:val="en-US" w:eastAsia="zh-CN"/>
        </w:rPr>
        <w:t>11</w:t>
      </w:r>
      <w:r>
        <w:rPr>
          <w:rFonts w:hint="eastAsia" w:ascii="宋体" w:hAnsi="宋体" w:eastAsia="宋体" w:cs="宋体"/>
          <w:spacing w:val="-12"/>
          <w:sz w:val="24"/>
          <w:szCs w:val="24"/>
          <w:lang w:eastAsia="zh-CN"/>
        </w:rPr>
        <w:t>）</w:t>
      </w:r>
      <w:r>
        <w:rPr>
          <w:rFonts w:hint="eastAsia" w:ascii="宋体" w:hAnsi="宋体" w:eastAsia="宋体" w:cs="宋体"/>
          <w:spacing w:val="-12"/>
          <w:sz w:val="24"/>
          <w:szCs w:val="24"/>
        </w:rPr>
        <w:t>《废水排放去向代码》</w:t>
      </w:r>
      <w:r>
        <w:rPr>
          <w:rFonts w:hint="eastAsia" w:ascii="宋体" w:hAnsi="宋体" w:eastAsia="宋体" w:cs="宋体"/>
          <w:sz w:val="24"/>
          <w:szCs w:val="24"/>
        </w:rPr>
        <w:t>（</w:t>
      </w:r>
      <w:r>
        <w:rPr>
          <w:rFonts w:hint="eastAsia" w:ascii="宋体" w:hAnsi="宋体" w:eastAsia="宋体" w:cs="宋体"/>
          <w:spacing w:val="-1"/>
          <w:sz w:val="24"/>
          <w:szCs w:val="24"/>
        </w:rPr>
        <w:t>H</w:t>
      </w:r>
      <w:r>
        <w:rPr>
          <w:rFonts w:hint="eastAsia" w:ascii="宋体" w:hAnsi="宋体" w:eastAsia="宋体" w:cs="宋体"/>
          <w:sz w:val="24"/>
          <w:szCs w:val="24"/>
        </w:rPr>
        <w:t>J</w:t>
      </w:r>
      <w:r>
        <w:rPr>
          <w:rFonts w:hint="eastAsia" w:ascii="宋体" w:hAnsi="宋体" w:eastAsia="宋体" w:cs="宋体"/>
          <w:spacing w:val="2"/>
          <w:sz w:val="24"/>
          <w:szCs w:val="24"/>
        </w:rPr>
        <w:t xml:space="preserve"> </w:t>
      </w:r>
      <w:r>
        <w:rPr>
          <w:rFonts w:hint="eastAsia" w:ascii="宋体" w:hAnsi="宋体" w:eastAsia="宋体" w:cs="宋体"/>
          <w:sz w:val="24"/>
          <w:szCs w:val="24"/>
        </w:rPr>
        <w:t>523</w:t>
      </w:r>
      <w:r>
        <w:rPr>
          <w:rFonts w:hint="eastAsia" w:ascii="宋体" w:hAnsi="宋体" w:eastAsia="宋体" w:cs="宋体"/>
          <w:spacing w:val="-1"/>
          <w:sz w:val="24"/>
          <w:szCs w:val="24"/>
        </w:rPr>
        <w:t>-</w:t>
      </w:r>
      <w:r>
        <w:rPr>
          <w:rFonts w:hint="eastAsia" w:ascii="宋体" w:hAnsi="宋体" w:eastAsia="宋体" w:cs="宋体"/>
          <w:sz w:val="24"/>
          <w:szCs w:val="24"/>
        </w:rPr>
        <w:t>2009</w:t>
      </w:r>
      <w:r>
        <w:rPr>
          <w:rFonts w:hint="eastAsia" w:ascii="宋体" w:hAnsi="宋体" w:eastAsia="宋体" w:cs="宋体"/>
          <w:spacing w:val="-120"/>
          <w:sz w:val="24"/>
          <w:szCs w:val="24"/>
        </w:rPr>
        <w:t>）</w:t>
      </w:r>
      <w:r>
        <w:rPr>
          <w:rFonts w:hint="eastAsia" w:ascii="宋体" w:hAnsi="宋体" w:eastAsia="宋体" w:cs="宋体"/>
          <w:sz w:val="24"/>
          <w:szCs w:val="24"/>
        </w:rPr>
        <w:t>。</w:t>
      </w:r>
    </w:p>
    <w:p>
      <w:pPr>
        <w:pStyle w:val="4"/>
        <w:rPr>
          <w:rFonts w:hint="eastAsia"/>
        </w:rPr>
      </w:pPr>
      <w:bookmarkStart w:id="19" w:name="_Toc14340"/>
      <w:bookmarkStart w:id="20" w:name="_Toc27431"/>
      <w:r>
        <w:rPr>
          <w:rFonts w:hint="eastAsia"/>
        </w:rPr>
        <w:t>2.2.3 其他批复及验收意见</w:t>
      </w:r>
      <w:bookmarkEnd w:id="19"/>
      <w:bookmarkEnd w:id="20"/>
    </w:p>
    <w:p>
      <w:pPr>
        <w:spacing w:line="360" w:lineRule="auto"/>
        <w:ind w:firstLine="480" w:firstLineChars="200"/>
        <w:rPr>
          <w:rFonts w:hint="eastAsia" w:ascii="宋体" w:hAnsi="宋体" w:eastAsia="宋体" w:cs="宋体"/>
          <w:color w:val="auto"/>
          <w:sz w:val="24"/>
          <w:szCs w:val="24"/>
          <w:shd w:val="clear" w:color="FFFFFF" w:fill="D9D9D9"/>
        </w:rPr>
      </w:pPr>
      <w:r>
        <w:rPr>
          <w:rFonts w:hint="eastAsia" w:ascii="宋体" w:hAnsi="宋体" w:eastAsia="宋体" w:cs="宋体"/>
          <w:color w:val="auto"/>
          <w:sz w:val="24"/>
          <w:szCs w:val="24"/>
          <w:shd w:val="clear" w:color="auto" w:fill="auto"/>
        </w:rPr>
        <w:t>（1）</w:t>
      </w:r>
      <w:r>
        <w:rPr>
          <w:rFonts w:hint="eastAsia" w:cs="宋体"/>
          <w:color w:val="000000" w:themeColor="text1"/>
          <w:sz w:val="24"/>
          <w:szCs w:val="24"/>
          <w:lang w:eastAsia="zh-CN"/>
          <w14:textFill>
            <w14:solidFill>
              <w14:schemeClr w14:val="tx1"/>
            </w14:solidFill>
          </w14:textFill>
        </w:rPr>
        <w:t>九江市</w:t>
      </w:r>
      <w:r>
        <w:rPr>
          <w:rFonts w:hint="eastAsia" w:ascii="宋体" w:hAnsi="宋体" w:eastAsia="宋体" w:cs="宋体"/>
          <w:color w:val="000000" w:themeColor="text1"/>
          <w:sz w:val="24"/>
          <w:szCs w:val="24"/>
          <w:lang w:eastAsia="zh-CN"/>
          <w14:textFill>
            <w14:solidFill>
              <w14:schemeClr w14:val="tx1"/>
            </w14:solidFill>
          </w14:textFill>
        </w:rPr>
        <w:t>环保局于</w:t>
      </w:r>
      <w:r>
        <w:rPr>
          <w:rFonts w:hint="eastAsia" w:ascii="宋体" w:hAnsi="宋体" w:eastAsia="宋体" w:cs="宋体"/>
          <w:color w:val="000000" w:themeColor="text1"/>
          <w:sz w:val="24"/>
          <w:szCs w:val="24"/>
          <w:lang w:val="en-US" w:eastAsia="zh-CN"/>
          <w14:textFill>
            <w14:solidFill>
              <w14:schemeClr w14:val="tx1"/>
            </w14:solidFill>
          </w14:textFill>
        </w:rPr>
        <w:t>20</w:t>
      </w:r>
      <w:r>
        <w:rPr>
          <w:rFonts w:hint="eastAsia" w:cs="宋体"/>
          <w:color w:val="000000" w:themeColor="text1"/>
          <w:sz w:val="24"/>
          <w:szCs w:val="24"/>
          <w:lang w:val="en-US" w:eastAsia="zh-CN"/>
          <w14:textFill>
            <w14:solidFill>
              <w14:schemeClr w14:val="tx1"/>
            </w14:solidFill>
          </w14:textFill>
        </w:rPr>
        <w:t>08</w:t>
      </w:r>
      <w:r>
        <w:rPr>
          <w:rFonts w:hint="eastAsia" w:ascii="宋体" w:hAnsi="宋体" w:eastAsia="宋体" w:cs="宋体"/>
          <w:color w:val="000000" w:themeColor="text1"/>
          <w:sz w:val="24"/>
          <w:szCs w:val="24"/>
          <w:lang w:val="en-US" w:eastAsia="zh-CN"/>
          <w14:textFill>
            <w14:solidFill>
              <w14:schemeClr w14:val="tx1"/>
            </w14:solidFill>
          </w14:textFill>
        </w:rPr>
        <w:t>年对</w:t>
      </w:r>
      <w:r>
        <w:rPr>
          <w:rFonts w:hint="eastAsia" w:cs="宋体"/>
          <w:color w:val="000000" w:themeColor="text1"/>
          <w:sz w:val="24"/>
          <w:szCs w:val="24"/>
          <w:lang w:val="en-US" w:eastAsia="zh-CN"/>
          <w14:textFill>
            <w14:solidFill>
              <w14:schemeClr w14:val="tx1"/>
            </w14:solidFill>
          </w14:textFill>
        </w:rPr>
        <w:t>乔旭（九江）企业</w:t>
      </w:r>
      <w:r>
        <w:rPr>
          <w:rFonts w:hint="eastAsia" w:ascii="宋体" w:hAnsi="宋体" w:eastAsia="宋体" w:cs="宋体"/>
          <w:color w:val="000000" w:themeColor="text1"/>
          <w:sz w:val="24"/>
          <w:szCs w:val="24"/>
          <w:lang w:eastAsia="zh-CN"/>
          <w14:textFill>
            <w14:solidFill>
              <w14:schemeClr w14:val="tx1"/>
            </w14:solidFill>
          </w14:textFill>
        </w:rPr>
        <w:t>有限公司</w:t>
      </w:r>
      <w:r>
        <w:rPr>
          <w:rFonts w:hint="eastAsia" w:cs="宋体"/>
          <w:color w:val="000000" w:themeColor="text1"/>
          <w:spacing w:val="1"/>
          <w:sz w:val="24"/>
          <w:szCs w:val="24"/>
          <w:lang w:eastAsia="zh-CN"/>
          <w14:textFill>
            <w14:solidFill>
              <w14:schemeClr w14:val="tx1"/>
            </w14:solidFill>
          </w14:textFill>
        </w:rPr>
        <w:t>年处理硫氢化钠废液</w:t>
      </w:r>
      <w:r>
        <w:rPr>
          <w:rFonts w:hint="eastAsia" w:cs="宋体"/>
          <w:color w:val="000000" w:themeColor="text1"/>
          <w:spacing w:val="1"/>
          <w:sz w:val="24"/>
          <w:szCs w:val="24"/>
          <w:lang w:val="en-US" w:eastAsia="zh-CN"/>
          <w14:textFill>
            <w14:solidFill>
              <w14:schemeClr w14:val="tx1"/>
            </w14:solidFill>
          </w14:textFill>
        </w:rPr>
        <w:t>13600吨项目</w:t>
      </w:r>
      <w:r>
        <w:rPr>
          <w:rFonts w:hint="eastAsia" w:ascii="宋体" w:hAnsi="宋体" w:eastAsia="宋体" w:cs="宋体"/>
          <w:color w:val="000000" w:themeColor="text1"/>
          <w:spacing w:val="-5"/>
          <w:sz w:val="24"/>
          <w:szCs w:val="24"/>
          <w14:textFill>
            <w14:solidFill>
              <w14:schemeClr w14:val="tx1"/>
            </w14:solidFill>
          </w14:textFill>
        </w:rPr>
        <w:t>环境影响报告表</w:t>
      </w:r>
      <w:r>
        <w:rPr>
          <w:rFonts w:hint="eastAsia" w:ascii="宋体" w:hAnsi="宋体" w:eastAsia="宋体" w:cs="宋体"/>
          <w:color w:val="000000" w:themeColor="text1"/>
          <w:sz w:val="24"/>
          <w:szCs w:val="24"/>
          <w:lang w:eastAsia="zh-CN"/>
          <w14:textFill>
            <w14:solidFill>
              <w14:schemeClr w14:val="tx1"/>
            </w14:solidFill>
          </w14:textFill>
        </w:rPr>
        <w:t>进行了</w:t>
      </w:r>
      <w:r>
        <w:rPr>
          <w:rFonts w:hint="eastAsia" w:ascii="宋体" w:hAnsi="宋体" w:eastAsia="宋体" w:cs="宋体"/>
          <w:color w:val="000000" w:themeColor="text1"/>
          <w:sz w:val="24"/>
          <w:szCs w:val="24"/>
          <w14:textFill>
            <w14:solidFill>
              <w14:schemeClr w14:val="tx1"/>
            </w14:solidFill>
          </w14:textFill>
        </w:rPr>
        <w:t>批复（</w:t>
      </w:r>
      <w:r>
        <w:rPr>
          <w:rFonts w:hint="eastAsia" w:cs="宋体"/>
          <w:color w:val="000000" w:themeColor="text1"/>
          <w:sz w:val="24"/>
          <w:szCs w:val="24"/>
          <w:shd w:val="clear" w:color="auto" w:fill="auto"/>
          <w:lang w:val="en-US" w:eastAsia="zh-CN"/>
          <w14:textFill>
            <w14:solidFill>
              <w14:schemeClr w14:val="tx1"/>
            </w14:solidFill>
          </w14:textFill>
        </w:rPr>
        <w:t>九</w:t>
      </w:r>
      <w:r>
        <w:rPr>
          <w:rFonts w:hint="eastAsia" w:ascii="宋体" w:hAnsi="宋体" w:eastAsia="宋体" w:cs="宋体"/>
          <w:color w:val="000000" w:themeColor="text1"/>
          <w:sz w:val="24"/>
          <w:szCs w:val="24"/>
          <w:shd w:val="clear" w:color="auto" w:fill="auto"/>
          <w:lang w:val="en-US" w:eastAsia="zh-CN"/>
          <w14:textFill>
            <w14:solidFill>
              <w14:schemeClr w14:val="tx1"/>
            </w14:solidFill>
          </w14:textFill>
        </w:rPr>
        <w:t>环</w:t>
      </w:r>
      <w:r>
        <w:rPr>
          <w:rFonts w:hint="eastAsia" w:cs="宋体"/>
          <w:color w:val="000000" w:themeColor="text1"/>
          <w:sz w:val="24"/>
          <w:szCs w:val="24"/>
          <w:shd w:val="clear" w:color="auto" w:fill="auto"/>
          <w:lang w:val="en-US" w:eastAsia="zh-CN"/>
          <w14:textFill>
            <w14:solidFill>
              <w14:schemeClr w14:val="tx1"/>
            </w14:solidFill>
          </w14:textFill>
        </w:rPr>
        <w:t>审</w:t>
      </w:r>
      <w:r>
        <w:rPr>
          <w:rFonts w:hint="eastAsia" w:ascii="宋体" w:hAnsi="宋体" w:eastAsia="宋体" w:cs="宋体"/>
          <w:color w:val="000000" w:themeColor="text1"/>
          <w:sz w:val="24"/>
          <w:szCs w:val="24"/>
          <w:shd w:val="clear" w:color="auto" w:fill="auto"/>
          <w:lang w:val="en-US" w:eastAsia="zh-CN"/>
          <w14:textFill>
            <w14:solidFill>
              <w14:schemeClr w14:val="tx1"/>
            </w14:solidFill>
          </w14:textFill>
        </w:rPr>
        <w:t>[20</w:t>
      </w:r>
      <w:r>
        <w:rPr>
          <w:rFonts w:hint="eastAsia" w:cs="宋体"/>
          <w:color w:val="000000" w:themeColor="text1"/>
          <w:sz w:val="24"/>
          <w:szCs w:val="24"/>
          <w:shd w:val="clear" w:color="auto" w:fill="auto"/>
          <w:lang w:val="en-US" w:eastAsia="zh-CN"/>
          <w14:textFill>
            <w14:solidFill>
              <w14:schemeClr w14:val="tx1"/>
            </w14:solidFill>
          </w14:textFill>
        </w:rPr>
        <w:t>08</w:t>
      </w:r>
      <w:r>
        <w:rPr>
          <w:rFonts w:hint="eastAsia" w:ascii="宋体" w:hAnsi="宋体" w:eastAsia="宋体" w:cs="宋体"/>
          <w:color w:val="000000" w:themeColor="text1"/>
          <w:sz w:val="24"/>
          <w:szCs w:val="24"/>
          <w:shd w:val="clear" w:color="auto" w:fill="auto"/>
          <w:lang w:val="en-US" w:eastAsia="zh-CN"/>
          <w14:textFill>
            <w14:solidFill>
              <w14:schemeClr w14:val="tx1"/>
            </w14:solidFill>
          </w14:textFill>
        </w:rPr>
        <w:t>]</w:t>
      </w:r>
      <w:r>
        <w:rPr>
          <w:rFonts w:hint="eastAsia" w:cs="宋体"/>
          <w:color w:val="000000" w:themeColor="text1"/>
          <w:sz w:val="24"/>
          <w:szCs w:val="24"/>
          <w:shd w:val="clear" w:color="auto" w:fill="auto"/>
          <w:lang w:val="en-US" w:eastAsia="zh-CN"/>
          <w14:textFill>
            <w14:solidFill>
              <w14:schemeClr w14:val="tx1"/>
            </w14:solidFill>
          </w14:textFill>
        </w:rPr>
        <w:t>15</w:t>
      </w:r>
      <w:r>
        <w:rPr>
          <w:rFonts w:hint="eastAsia" w:ascii="宋体" w:hAnsi="宋体" w:eastAsia="宋体" w:cs="宋体"/>
          <w:color w:val="000000" w:themeColor="text1"/>
          <w:sz w:val="24"/>
          <w:szCs w:val="24"/>
          <w:shd w:val="clear" w:color="auto" w:fill="auto"/>
          <w:lang w:val="en-US" w:eastAsia="zh-CN"/>
          <w14:textFill>
            <w14:solidFill>
              <w14:schemeClr w14:val="tx1"/>
            </w14:solidFill>
          </w14:textFill>
        </w:rPr>
        <w:t>号</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auto"/>
          <w:sz w:val="24"/>
          <w:szCs w:val="24"/>
          <w:shd w:val="clear" w:color="auto" w:fill="auto"/>
          <w:lang w:eastAsia="zh-CN"/>
        </w:rPr>
        <w:t>。</w:t>
      </w:r>
    </w:p>
    <w:p>
      <w:pPr>
        <w:pStyle w:val="3"/>
        <w:rPr>
          <w:rFonts w:hint="eastAsia" w:ascii="宋体" w:hAnsi="宋体" w:eastAsia="宋体" w:cs="宋体"/>
          <w:color w:val="auto"/>
        </w:rPr>
      </w:pPr>
      <w:bookmarkStart w:id="21" w:name="_Toc20851"/>
      <w:bookmarkStart w:id="22" w:name="_Toc16177"/>
      <w:bookmarkStart w:id="23" w:name="_Toc23861"/>
      <w:r>
        <w:rPr>
          <w:rFonts w:hint="eastAsia" w:ascii="宋体" w:hAnsi="宋体" w:eastAsia="宋体" w:cs="宋体"/>
          <w:color w:val="auto"/>
        </w:rPr>
        <w:t>2.3 评估范围</w:t>
      </w:r>
      <w:bookmarkEnd w:id="21"/>
      <w:bookmarkEnd w:id="22"/>
      <w:bookmarkEnd w:id="23"/>
    </w:p>
    <w:p>
      <w:pPr>
        <w:spacing w:line="360" w:lineRule="auto"/>
        <w:ind w:firstLine="480" w:firstLineChars="200"/>
        <w:rPr>
          <w:rFonts w:hint="eastAsia" w:ascii="宋体" w:hAnsi="宋体" w:eastAsia="宋体" w:cs="宋体"/>
          <w:iCs/>
          <w:color w:val="auto"/>
          <w:sz w:val="24"/>
        </w:rPr>
      </w:pPr>
      <w:r>
        <w:rPr>
          <w:rFonts w:hint="eastAsia" w:ascii="宋体" w:hAnsi="宋体" w:eastAsia="宋体" w:cs="宋体"/>
          <w:color w:val="auto"/>
          <w:kern w:val="0"/>
          <w:sz w:val="24"/>
          <w:szCs w:val="24"/>
        </w:rPr>
        <w:t>根据项目现状，本次评估报告对</w:t>
      </w:r>
      <w:r>
        <w:rPr>
          <w:rFonts w:hint="eastAsia" w:ascii="宋体" w:hAnsi="宋体" w:eastAsia="宋体" w:cs="宋体"/>
          <w:color w:val="auto"/>
          <w:spacing w:val="-8"/>
          <w:sz w:val="24"/>
          <w:szCs w:val="24"/>
        </w:rPr>
        <w:t>乔旭（九江）企业有限公司</w:t>
      </w:r>
      <w:r>
        <w:rPr>
          <w:rFonts w:hint="eastAsia" w:ascii="宋体" w:hAnsi="宋体" w:eastAsia="宋体" w:cs="宋体"/>
          <w:color w:val="auto"/>
          <w:sz w:val="24"/>
          <w:szCs w:val="24"/>
        </w:rPr>
        <w:t>厂区</w:t>
      </w:r>
      <w:r>
        <w:rPr>
          <w:rFonts w:hint="eastAsia" w:ascii="宋体" w:hAnsi="宋体" w:eastAsia="宋体" w:cs="宋体"/>
          <w:color w:val="auto"/>
          <w:sz w:val="24"/>
          <w:szCs w:val="24"/>
          <w:lang w:eastAsia="zh-CN"/>
        </w:rPr>
        <w:t>现状</w:t>
      </w:r>
      <w:r>
        <w:rPr>
          <w:rFonts w:hint="eastAsia" w:ascii="宋体" w:hAnsi="宋体" w:eastAsia="宋体" w:cs="宋体"/>
          <w:color w:val="auto"/>
          <w:kern w:val="0"/>
          <w:sz w:val="24"/>
          <w:szCs w:val="24"/>
        </w:rPr>
        <w:t>进行评估。</w:t>
      </w:r>
    </w:p>
    <w:p>
      <w:pPr>
        <w:pStyle w:val="3"/>
        <w:rPr>
          <w:rFonts w:hint="eastAsia" w:ascii="宋体" w:hAnsi="宋体" w:eastAsia="宋体" w:cs="宋体"/>
          <w:color w:val="auto"/>
        </w:rPr>
      </w:pPr>
      <w:bookmarkStart w:id="24" w:name="_Toc3341"/>
      <w:bookmarkStart w:id="25" w:name="_Toc27813"/>
      <w:bookmarkStart w:id="26" w:name="_Toc1775"/>
      <w:r>
        <w:rPr>
          <w:rFonts w:hint="eastAsia" w:ascii="宋体" w:hAnsi="宋体" w:eastAsia="宋体" w:cs="宋体"/>
          <w:color w:val="auto"/>
        </w:rPr>
        <w:t>2.4 企业突发环境事件风险评估程序</w:t>
      </w:r>
      <w:bookmarkEnd w:id="24"/>
      <w:bookmarkEnd w:id="25"/>
      <w:bookmarkEnd w:id="26"/>
    </w:p>
    <w:p>
      <w:pPr>
        <w:spacing w:line="360" w:lineRule="auto"/>
        <w:ind w:firstLine="480" w:firstLineChars="200"/>
        <w:rPr>
          <w:rFonts w:hint="eastAsia" w:ascii="宋体" w:hAnsi="宋体" w:eastAsia="宋体" w:cs="宋体"/>
          <w:iCs/>
          <w:color w:val="auto"/>
          <w:sz w:val="24"/>
        </w:rPr>
      </w:pPr>
      <w:r>
        <w:rPr>
          <w:rFonts w:hint="eastAsia" w:ascii="宋体" w:hAnsi="宋体" w:eastAsia="宋体" w:cs="宋体"/>
          <w:iCs/>
          <w:color w:val="auto"/>
          <w:sz w:val="24"/>
        </w:rPr>
        <w:t>突发环境事件风险评估程序见图2.4-1。</w:t>
      </w:r>
    </w:p>
    <w:p>
      <w:pPr>
        <w:spacing w:line="360" w:lineRule="auto"/>
        <w:ind w:firstLine="480" w:firstLineChars="200"/>
        <w:rPr>
          <w:rFonts w:hint="eastAsia" w:ascii="宋体" w:hAnsi="宋体" w:eastAsia="宋体" w:cs="宋体"/>
          <w:iCs/>
          <w:color w:val="auto"/>
          <w:sz w:val="24"/>
        </w:rPr>
      </w:pPr>
      <w:r>
        <w:rPr>
          <w:rFonts w:hint="eastAsia" w:eastAsia="宋体"/>
          <w:lang w:eastAsia="zh-CN"/>
        </w:rPr>
        <w:drawing>
          <wp:inline distT="0" distB="0" distL="114300" distR="114300">
            <wp:extent cx="5086985" cy="3724910"/>
            <wp:effectExtent l="0" t="0" r="18415" b="8890"/>
            <wp:docPr id="6" name="图片 6" descr="15313824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531382497(1)"/>
                    <pic:cNvPicPr>
                      <a:picLocks noChangeAspect="1"/>
                    </pic:cNvPicPr>
                  </pic:nvPicPr>
                  <pic:blipFill>
                    <a:blip r:embed="rId13"/>
                    <a:stretch>
                      <a:fillRect/>
                    </a:stretch>
                  </pic:blipFill>
                  <pic:spPr>
                    <a:xfrm>
                      <a:off x="0" y="0"/>
                      <a:ext cx="5086985" cy="3724910"/>
                    </a:xfrm>
                    <a:prstGeom prst="rect">
                      <a:avLst/>
                    </a:prstGeom>
                  </pic:spPr>
                </pic:pic>
              </a:graphicData>
            </a:graphic>
          </wp:inline>
        </w:drawing>
      </w:r>
    </w:p>
    <w:p>
      <w:pPr>
        <w:spacing w:line="360" w:lineRule="auto"/>
        <w:jc w:val="center"/>
        <w:rPr>
          <w:rFonts w:hint="eastAsia" w:ascii="宋体" w:hAnsi="宋体" w:eastAsia="宋体" w:cs="宋体"/>
          <w:iCs/>
          <w:color w:val="FF0000"/>
          <w:sz w:val="24"/>
        </w:rPr>
      </w:pPr>
    </w:p>
    <w:p>
      <w:pPr>
        <w:widowControl/>
        <w:spacing w:line="360" w:lineRule="auto"/>
        <w:jc w:val="center"/>
        <w:rPr>
          <w:rFonts w:hint="eastAsia" w:ascii="宋体" w:hAnsi="宋体" w:eastAsia="宋体" w:cs="宋体"/>
          <w:b/>
          <w:bCs/>
          <w:color w:val="auto"/>
          <w:kern w:val="0"/>
          <w:szCs w:val="21"/>
        </w:rPr>
      </w:pPr>
      <w:r>
        <w:rPr>
          <w:rFonts w:hint="eastAsia" w:ascii="宋体" w:hAnsi="宋体" w:eastAsia="宋体" w:cs="宋体"/>
          <w:b/>
          <w:bCs/>
          <w:color w:val="auto"/>
          <w:kern w:val="0"/>
          <w:szCs w:val="21"/>
        </w:rPr>
        <w:t>图2.4-1 突发环境事件风险评估程序示意图</w:t>
      </w:r>
    </w:p>
    <w:p>
      <w:pPr>
        <w:spacing w:after="0" w:line="240" w:lineRule="auto"/>
        <w:jc w:val="both"/>
        <w:rPr>
          <w:rFonts w:hint="eastAsia" w:ascii="宋体" w:hAnsi="宋体" w:eastAsia="宋体" w:cs="宋体"/>
          <w:sz w:val="28"/>
        </w:rPr>
        <w:sectPr>
          <w:footerReference r:id="rId5" w:type="default"/>
          <w:pgSz w:w="11910" w:h="16850"/>
          <w:pgMar w:top="1520" w:right="1020" w:bottom="1240" w:left="1200" w:header="0" w:footer="1060" w:gutter="0"/>
          <w:pgNumType w:fmt="decimal" w:start="1"/>
          <w:cols w:equalWidth="0" w:num="1">
            <w:col w:w="9690"/>
          </w:cols>
        </w:sectPr>
      </w:pPr>
      <w:r>
        <w:rPr>
          <w:rFonts w:hint="eastAsia" w:ascii="宋体" w:hAnsi="宋体" w:eastAsia="宋体" w:cs="宋体"/>
          <w:iCs/>
          <w:color w:val="FF0000"/>
          <w:sz w:val="24"/>
        </w:rPr>
        <w:br w:type="page"/>
      </w:r>
    </w:p>
    <w:p>
      <w:pPr>
        <w:pStyle w:val="2"/>
        <w:ind w:left="0" w:leftChars="0" w:firstLine="0" w:firstLineChars="0"/>
        <w:rPr>
          <w:rFonts w:hint="eastAsia" w:ascii="宋体" w:hAnsi="宋体" w:eastAsia="宋体" w:cs="宋体"/>
        </w:rPr>
      </w:pPr>
      <w:bookmarkStart w:id="27" w:name="_Toc421483191"/>
      <w:bookmarkStart w:id="28" w:name="_Toc421817088"/>
      <w:bookmarkStart w:id="29" w:name="_Toc421483852"/>
      <w:bookmarkStart w:id="30" w:name="_Toc421487085"/>
      <w:bookmarkStart w:id="31" w:name="_Toc7493"/>
      <w:bookmarkStart w:id="32" w:name="_Toc421487010"/>
      <w:bookmarkStart w:id="33" w:name="_Toc18718"/>
      <w:bookmarkStart w:id="34" w:name="_Toc401654905"/>
      <w:r>
        <w:rPr>
          <w:rFonts w:hint="eastAsia" w:ascii="宋体" w:hAnsi="宋体" w:eastAsia="宋体" w:cs="宋体"/>
        </w:rPr>
        <w:t>3</w:t>
      </w:r>
      <w:r>
        <w:rPr>
          <w:rFonts w:hint="eastAsia" w:ascii="宋体" w:hAnsi="宋体" w:cs="宋体"/>
          <w:lang w:eastAsia="zh-CN"/>
        </w:rPr>
        <w:t>、</w:t>
      </w:r>
      <w:r>
        <w:rPr>
          <w:rFonts w:hint="eastAsia" w:ascii="宋体" w:hAnsi="宋体" w:eastAsia="宋体" w:cs="宋体"/>
        </w:rPr>
        <w:t xml:space="preserve"> 资料准备与环境风险识别</w:t>
      </w:r>
      <w:bookmarkEnd w:id="27"/>
      <w:bookmarkEnd w:id="28"/>
      <w:bookmarkEnd w:id="29"/>
      <w:bookmarkEnd w:id="30"/>
      <w:bookmarkEnd w:id="31"/>
      <w:bookmarkEnd w:id="32"/>
      <w:bookmarkEnd w:id="33"/>
      <w:bookmarkEnd w:id="34"/>
    </w:p>
    <w:p>
      <w:pPr>
        <w:pStyle w:val="3"/>
        <w:rPr>
          <w:rFonts w:hint="eastAsia"/>
        </w:rPr>
      </w:pPr>
      <w:bookmarkStart w:id="35" w:name="_Toc142238908"/>
      <w:bookmarkEnd w:id="35"/>
      <w:bookmarkStart w:id="36" w:name="_Toc162428693"/>
      <w:bookmarkEnd w:id="36"/>
      <w:bookmarkStart w:id="37" w:name="_Toc398548694"/>
      <w:bookmarkStart w:id="38" w:name="_Toc8014"/>
      <w:bookmarkStart w:id="39" w:name="_Toc421487086"/>
      <w:bookmarkStart w:id="40" w:name="_Toc401654906"/>
      <w:bookmarkStart w:id="41" w:name="_Toc421817089"/>
      <w:bookmarkStart w:id="42" w:name="_Toc10324"/>
      <w:bookmarkStart w:id="43" w:name="_Toc421483853"/>
      <w:bookmarkStart w:id="44" w:name="_Toc421487011"/>
      <w:bookmarkStart w:id="45" w:name="_Toc421483192"/>
      <w:bookmarkStart w:id="46" w:name="_Toc32612"/>
      <w:r>
        <w:rPr>
          <w:rFonts w:hint="eastAsia"/>
        </w:rPr>
        <w:t xml:space="preserve">3.1 </w:t>
      </w:r>
      <w:bookmarkEnd w:id="37"/>
      <w:r>
        <w:rPr>
          <w:rFonts w:hint="eastAsia"/>
        </w:rPr>
        <w:t>企业基本信息</w:t>
      </w:r>
      <w:bookmarkEnd w:id="38"/>
      <w:bookmarkEnd w:id="39"/>
      <w:bookmarkEnd w:id="40"/>
      <w:bookmarkEnd w:id="41"/>
      <w:bookmarkEnd w:id="42"/>
      <w:bookmarkEnd w:id="43"/>
      <w:bookmarkEnd w:id="44"/>
      <w:bookmarkEnd w:id="45"/>
      <w:bookmarkEnd w:id="46"/>
    </w:p>
    <w:p>
      <w:pPr>
        <w:pStyle w:val="6"/>
        <w:spacing w:before="216"/>
        <w:ind w:left="880"/>
        <w:rPr>
          <w:rFonts w:hint="eastAsia" w:ascii="宋体" w:hAnsi="宋体" w:eastAsia="宋体" w:cs="宋体"/>
        </w:rPr>
      </w:pPr>
      <w:r>
        <w:rPr>
          <w:rFonts w:hint="eastAsia" w:ascii="宋体" w:hAnsi="宋体" w:eastAsia="宋体" w:cs="宋体"/>
        </w:rPr>
        <w:t>公司基本信息详见表 3-1。</w:t>
      </w:r>
    </w:p>
    <w:p>
      <w:pPr>
        <w:rPr>
          <w:rFonts w:hint="eastAsia"/>
          <w:b/>
          <w:bCs/>
        </w:rPr>
      </w:pPr>
      <w:bookmarkStart w:id="47" w:name="_Toc3646"/>
      <w:r>
        <w:rPr>
          <w:rFonts w:hint="eastAsia"/>
          <w:b/>
          <w:bCs/>
        </w:rPr>
        <w:t>表 3-1  企业基本情况汇总</w:t>
      </w:r>
      <w:bookmarkEnd w:id="47"/>
    </w:p>
    <w:tbl>
      <w:tblPr>
        <w:tblStyle w:val="17"/>
        <w:tblW w:w="903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456"/>
        <w:gridCol w:w="1543"/>
        <w:gridCol w:w="75"/>
        <w:gridCol w:w="1269"/>
        <w:gridCol w:w="169"/>
        <w:gridCol w:w="1446"/>
        <w:gridCol w:w="364"/>
        <w:gridCol w:w="1422"/>
        <w:gridCol w:w="36"/>
        <w:gridCol w:w="125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5" w:hRule="atLeast"/>
        </w:trPr>
        <w:tc>
          <w:tcPr>
            <w:tcW w:w="14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企业名称</w:t>
            </w:r>
          </w:p>
        </w:tc>
        <w:tc>
          <w:tcPr>
            <w:tcW w:w="7574"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textAlignment w:val="auto"/>
              <w:outlineLvl w:val="9"/>
              <w:rPr>
                <w:rFonts w:ascii="宋体" w:hAnsi="宋体"/>
                <w:color w:val="auto"/>
                <w:szCs w:val="21"/>
              </w:rPr>
            </w:pPr>
            <w:r>
              <w:rPr>
                <w:color w:val="auto"/>
                <w:szCs w:val="21"/>
              </w:rPr>
              <w:t>乔旭（九江）企业有限公司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5" w:hRule="atLeast"/>
        </w:trPr>
        <w:tc>
          <w:tcPr>
            <w:tcW w:w="14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注册地址</w:t>
            </w:r>
          </w:p>
        </w:tc>
        <w:tc>
          <w:tcPr>
            <w:tcW w:w="7574"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textAlignment w:val="auto"/>
              <w:outlineLvl w:val="9"/>
              <w:rPr>
                <w:rFonts w:ascii="宋体" w:hAnsi="宋体"/>
                <w:color w:val="auto"/>
                <w:szCs w:val="21"/>
              </w:rPr>
            </w:pPr>
            <w:r>
              <w:rPr>
                <w:rFonts w:hint="eastAsia"/>
                <w:color w:val="auto"/>
                <w:szCs w:val="21"/>
              </w:rPr>
              <w:t>湖口金砂湾</w:t>
            </w:r>
            <w:r>
              <w:rPr>
                <w:color w:val="auto"/>
                <w:szCs w:val="21"/>
              </w:rPr>
              <w:t>工业园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5" w:hRule="atLeast"/>
        </w:trPr>
        <w:tc>
          <w:tcPr>
            <w:tcW w:w="14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联系电话</w:t>
            </w:r>
          </w:p>
        </w:tc>
        <w:tc>
          <w:tcPr>
            <w:tcW w:w="16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color w:val="auto"/>
                <w:szCs w:val="21"/>
              </w:rPr>
            </w:pPr>
            <w:r>
              <w:rPr>
                <w:rFonts w:hint="eastAsia" w:ascii="宋体" w:hAnsi="宋体"/>
                <w:color w:val="auto"/>
                <w:szCs w:val="21"/>
              </w:rPr>
              <w:t>周勇13767200070</w:t>
            </w:r>
          </w:p>
        </w:tc>
        <w:tc>
          <w:tcPr>
            <w:tcW w:w="12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传真</w:t>
            </w:r>
          </w:p>
        </w:tc>
        <w:tc>
          <w:tcPr>
            <w:tcW w:w="197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color w:val="auto"/>
                <w:szCs w:val="21"/>
              </w:rPr>
            </w:pPr>
            <w:r>
              <w:rPr>
                <w:rFonts w:hint="eastAsia" w:ascii="宋体" w:hAnsi="宋体"/>
                <w:color w:val="auto"/>
                <w:szCs w:val="21"/>
              </w:rPr>
              <w:t>6327468</w:t>
            </w:r>
          </w:p>
        </w:tc>
        <w:tc>
          <w:tcPr>
            <w:tcW w:w="145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邮政编码</w:t>
            </w:r>
          </w:p>
        </w:tc>
        <w:tc>
          <w:tcPr>
            <w:tcW w:w="12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5" w:hRule="atLeast"/>
        </w:trPr>
        <w:tc>
          <w:tcPr>
            <w:tcW w:w="14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电子信箱</w:t>
            </w:r>
          </w:p>
        </w:tc>
        <w:tc>
          <w:tcPr>
            <w:tcW w:w="7574"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5" w:hRule="atLeast"/>
        </w:trPr>
        <w:tc>
          <w:tcPr>
            <w:tcW w:w="14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企业类型</w:t>
            </w:r>
          </w:p>
        </w:tc>
        <w:tc>
          <w:tcPr>
            <w:tcW w:w="7574"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color w:val="auto"/>
                <w:szCs w:val="21"/>
              </w:rPr>
            </w:pPr>
            <w:r>
              <w:rPr>
                <w:rFonts w:hint="eastAsia" w:ascii="宋体" w:hAnsi="宋体"/>
                <w:color w:val="auto"/>
                <w:szCs w:val="21"/>
              </w:rPr>
              <w:t>有限责任公司（外国法人独资）</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5" w:hRule="atLeast"/>
        </w:trPr>
        <w:tc>
          <w:tcPr>
            <w:tcW w:w="14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非法人类别</w:t>
            </w:r>
          </w:p>
        </w:tc>
        <w:tc>
          <w:tcPr>
            <w:tcW w:w="7574"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分公司□　　　　</w:t>
            </w:r>
            <w:r>
              <w:rPr>
                <w:rFonts w:ascii="宋体" w:hAnsi="宋体"/>
                <w:color w:val="auto"/>
                <w:szCs w:val="21"/>
              </w:rPr>
              <w:t xml:space="preserve">  </w:t>
            </w:r>
            <w:r>
              <w:rPr>
                <w:rFonts w:hint="eastAsia" w:ascii="宋体" w:hAnsi="宋体"/>
                <w:color w:val="auto"/>
                <w:szCs w:val="21"/>
              </w:rPr>
              <w:t>办事机构□</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5" w:hRule="atLeast"/>
        </w:trPr>
        <w:tc>
          <w:tcPr>
            <w:tcW w:w="14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特别类型</w:t>
            </w:r>
          </w:p>
        </w:tc>
        <w:tc>
          <w:tcPr>
            <w:tcW w:w="7574"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个体工商户□</w:t>
            </w:r>
            <w:r>
              <w:rPr>
                <w:rFonts w:ascii="宋体" w:hAnsi="宋体"/>
                <w:color w:val="auto"/>
                <w:szCs w:val="21"/>
              </w:rPr>
              <w:t xml:space="preserve">            </w:t>
            </w:r>
            <w:r>
              <w:rPr>
                <w:rFonts w:hint="eastAsia" w:ascii="宋体" w:hAnsi="宋体"/>
                <w:color w:val="auto"/>
                <w:szCs w:val="21"/>
              </w:rPr>
              <w:t>百货商店（场）□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5" w:hRule="atLeast"/>
        </w:trPr>
        <w:tc>
          <w:tcPr>
            <w:tcW w:w="14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经济类型</w:t>
            </w:r>
          </w:p>
        </w:tc>
        <w:tc>
          <w:tcPr>
            <w:tcW w:w="7574"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全民所有制□</w:t>
            </w:r>
            <w:r>
              <w:rPr>
                <w:rFonts w:ascii="宋体" w:hAnsi="宋体"/>
                <w:color w:val="auto"/>
                <w:szCs w:val="21"/>
              </w:rPr>
              <w:t xml:space="preserve">      </w:t>
            </w:r>
            <w:r>
              <w:rPr>
                <w:rFonts w:hint="eastAsia" w:ascii="宋体" w:hAnsi="宋体"/>
                <w:color w:val="auto"/>
                <w:szCs w:val="21"/>
              </w:rPr>
              <w:t>集体所有制□</w:t>
            </w:r>
            <w:r>
              <w:rPr>
                <w:rFonts w:ascii="宋体" w:hAnsi="宋体"/>
                <w:color w:val="auto"/>
                <w:szCs w:val="21"/>
              </w:rPr>
              <w:t xml:space="preserve">      </w:t>
            </w:r>
            <w:r>
              <w:rPr>
                <w:rFonts w:hint="eastAsia" w:ascii="宋体" w:hAnsi="宋体"/>
                <w:color w:val="auto"/>
                <w:szCs w:val="21"/>
              </w:rPr>
              <w:t>私有制■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5" w:hRule="atLeast"/>
        </w:trPr>
        <w:tc>
          <w:tcPr>
            <w:tcW w:w="14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主管单位</w:t>
            </w:r>
          </w:p>
        </w:tc>
        <w:tc>
          <w:tcPr>
            <w:tcW w:w="7574"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5" w:hRule="atLeast"/>
        </w:trPr>
        <w:tc>
          <w:tcPr>
            <w:tcW w:w="14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登记机关</w:t>
            </w:r>
          </w:p>
        </w:tc>
        <w:tc>
          <w:tcPr>
            <w:tcW w:w="7574"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textAlignment w:val="auto"/>
              <w:outlineLvl w:val="9"/>
              <w:rPr>
                <w:rFonts w:ascii="宋体" w:hAnsi="宋体"/>
                <w:color w:val="auto"/>
                <w:szCs w:val="21"/>
              </w:rPr>
            </w:pPr>
            <w:r>
              <w:rPr>
                <w:rFonts w:hint="eastAsia" w:ascii="宋体" w:hAnsi="宋体"/>
                <w:color w:val="auto"/>
                <w:szCs w:val="21"/>
              </w:rPr>
              <w:t>湖口县工商行政管理局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5" w:hRule="atLeast"/>
        </w:trPr>
        <w:tc>
          <w:tcPr>
            <w:tcW w:w="14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法定代表人</w:t>
            </w:r>
          </w:p>
        </w:tc>
        <w:tc>
          <w:tcPr>
            <w:tcW w:w="3056"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color w:val="auto"/>
                <w:szCs w:val="21"/>
              </w:rPr>
            </w:pPr>
            <w:r>
              <w:rPr>
                <w:rFonts w:hint="eastAsia" w:ascii="宋体" w:hAnsi="宋体"/>
                <w:color w:val="auto"/>
                <w:szCs w:val="21"/>
              </w:rPr>
              <w:t>黄振吉</w:t>
            </w:r>
          </w:p>
        </w:tc>
        <w:tc>
          <w:tcPr>
            <w:tcW w:w="1446" w:type="dxa"/>
            <w:tcBorders>
              <w:top w:val="single" w:color="auto" w:sz="4" w:space="0"/>
              <w:left w:val="single" w:color="auto" w:sz="4" w:space="0"/>
              <w:bottom w:val="single" w:color="auto" w:sz="4" w:space="0"/>
              <w:right w:val="single" w:color="auto" w:sz="4" w:space="0"/>
            </w:tcBorders>
            <w:vAlign w:val="center"/>
          </w:tcPr>
          <w:p>
            <w:pPr>
              <w:pStyle w:val="22"/>
              <w:keepNext w:val="0"/>
              <w:keepLines w:val="0"/>
              <w:pageBreakBefore w:val="0"/>
              <w:kinsoku/>
              <w:wordWrap/>
              <w:overflowPunct/>
              <w:topLinePunct w:val="0"/>
              <w:autoSpaceDE w:val="0"/>
              <w:autoSpaceDN w:val="0"/>
              <w:bidi w:val="0"/>
              <w:adjustRightInd/>
              <w:snapToGrid/>
              <w:spacing w:line="240" w:lineRule="auto"/>
              <w:ind w:firstLine="0" w:firstLineChars="0"/>
              <w:textAlignment w:val="auto"/>
              <w:outlineLvl w:val="9"/>
              <w:rPr>
                <w:rFonts w:ascii="宋体" w:hAnsi="宋体"/>
                <w:color w:val="auto"/>
                <w:kern w:val="2"/>
                <w:szCs w:val="21"/>
              </w:rPr>
            </w:pPr>
            <w:r>
              <w:rPr>
                <w:rFonts w:hint="eastAsia" w:ascii="宋体" w:hAnsi="宋体"/>
                <w:color w:val="auto"/>
                <w:kern w:val="2"/>
                <w:szCs w:val="21"/>
              </w:rPr>
              <w:t>安全负责人</w:t>
            </w:r>
          </w:p>
        </w:tc>
        <w:tc>
          <w:tcPr>
            <w:tcW w:w="3072" w:type="dxa"/>
            <w:gridSpan w:val="4"/>
            <w:tcBorders>
              <w:top w:val="single" w:color="auto" w:sz="4" w:space="0"/>
              <w:left w:val="single" w:color="auto" w:sz="4" w:space="0"/>
              <w:bottom w:val="single" w:color="auto" w:sz="4" w:space="0"/>
              <w:right w:val="single" w:color="auto" w:sz="4" w:space="0"/>
            </w:tcBorders>
            <w:vAlign w:val="center"/>
          </w:tcPr>
          <w:p>
            <w:pPr>
              <w:pStyle w:val="23"/>
              <w:keepNext w:val="0"/>
              <w:keepLines w:val="0"/>
              <w:pageBreakBefore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color w:val="auto"/>
                <w:kern w:val="2"/>
                <w:szCs w:val="21"/>
              </w:rPr>
            </w:pPr>
            <w:r>
              <w:rPr>
                <w:rFonts w:hint="eastAsia" w:ascii="宋体" w:hAnsi="宋体"/>
                <w:color w:val="auto"/>
                <w:szCs w:val="21"/>
              </w:rPr>
              <w:t>黄振吉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5" w:hRule="atLeast"/>
        </w:trPr>
        <w:tc>
          <w:tcPr>
            <w:tcW w:w="14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职工人数</w:t>
            </w:r>
          </w:p>
        </w:tc>
        <w:tc>
          <w:tcPr>
            <w:tcW w:w="15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74人</w:t>
            </w:r>
          </w:p>
        </w:tc>
        <w:tc>
          <w:tcPr>
            <w:tcW w:w="151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技术管理人数</w:t>
            </w:r>
          </w:p>
        </w:tc>
        <w:tc>
          <w:tcPr>
            <w:tcW w:w="144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color w:val="auto"/>
                <w:szCs w:val="21"/>
              </w:rPr>
            </w:pPr>
            <w:r>
              <w:rPr>
                <w:rFonts w:hint="eastAsia" w:ascii="宋体" w:hAnsi="宋体"/>
                <w:color w:val="auto"/>
                <w:szCs w:val="21"/>
              </w:rPr>
              <w:t>2</w:t>
            </w:r>
          </w:p>
        </w:tc>
        <w:tc>
          <w:tcPr>
            <w:tcW w:w="178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安全管理人数</w:t>
            </w:r>
          </w:p>
        </w:tc>
        <w:tc>
          <w:tcPr>
            <w:tcW w:w="128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2人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5" w:hRule="atLeast"/>
        </w:trPr>
        <w:tc>
          <w:tcPr>
            <w:tcW w:w="14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注册资本</w:t>
            </w:r>
          </w:p>
        </w:tc>
        <w:tc>
          <w:tcPr>
            <w:tcW w:w="15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color w:val="auto"/>
                <w:szCs w:val="21"/>
              </w:rPr>
            </w:pPr>
            <w:r>
              <w:rPr>
                <w:rFonts w:hint="eastAsia" w:ascii="宋体" w:hAnsi="宋体"/>
                <w:color w:val="auto"/>
                <w:szCs w:val="21"/>
              </w:rPr>
              <w:t>260万美元</w:t>
            </w:r>
          </w:p>
        </w:tc>
        <w:tc>
          <w:tcPr>
            <w:tcW w:w="151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固定资产</w:t>
            </w:r>
          </w:p>
        </w:tc>
        <w:tc>
          <w:tcPr>
            <w:tcW w:w="144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p>
        </w:tc>
        <w:tc>
          <w:tcPr>
            <w:tcW w:w="178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上年销售额</w:t>
            </w:r>
          </w:p>
        </w:tc>
        <w:tc>
          <w:tcPr>
            <w:tcW w:w="128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5" w:hRule="atLeast"/>
        </w:trPr>
        <w:tc>
          <w:tcPr>
            <w:tcW w:w="1456"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color w:val="auto"/>
                <w:szCs w:val="21"/>
              </w:rPr>
            </w:pPr>
            <w:r>
              <w:rPr>
                <w:rFonts w:hint="eastAsia" w:ascii="宋体" w:hAnsi="宋体"/>
                <w:color w:val="auto"/>
                <w:szCs w:val="21"/>
              </w:rPr>
              <w:t>生产经营</w:t>
            </w:r>
          </w:p>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场所</w:t>
            </w:r>
          </w:p>
        </w:tc>
        <w:tc>
          <w:tcPr>
            <w:tcW w:w="15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地址</w:t>
            </w:r>
          </w:p>
        </w:tc>
        <w:tc>
          <w:tcPr>
            <w:tcW w:w="6031"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textAlignment w:val="auto"/>
              <w:outlineLvl w:val="9"/>
              <w:rPr>
                <w:rFonts w:ascii="宋体" w:hAnsi="宋体"/>
                <w:color w:val="auto"/>
                <w:szCs w:val="21"/>
              </w:rPr>
            </w:pPr>
            <w:r>
              <w:rPr>
                <w:rFonts w:hint="eastAsia"/>
                <w:color w:val="auto"/>
                <w:szCs w:val="21"/>
              </w:rPr>
              <w:t>湖口金砂湾</w:t>
            </w:r>
            <w:r>
              <w:rPr>
                <w:color w:val="auto"/>
                <w:szCs w:val="21"/>
              </w:rPr>
              <w:t>工业园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86" w:hRule="atLeast"/>
        </w:trPr>
        <w:tc>
          <w:tcPr>
            <w:tcW w:w="145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outlineLvl w:val="9"/>
              <w:rPr>
                <w:rFonts w:ascii="宋体" w:hAnsi="宋体"/>
                <w:color w:val="auto"/>
                <w:szCs w:val="21"/>
              </w:rPr>
            </w:pPr>
          </w:p>
        </w:tc>
        <w:tc>
          <w:tcPr>
            <w:tcW w:w="154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firstLine="0" w:firstLineChars="0"/>
              <w:jc w:val="center"/>
              <w:textAlignment w:val="auto"/>
              <w:outlineLvl w:val="9"/>
              <w:rPr>
                <w:rFonts w:ascii="宋体" w:hAnsi="宋体"/>
                <w:color w:val="auto"/>
                <w:szCs w:val="21"/>
              </w:rPr>
            </w:pPr>
            <w:r>
              <w:rPr>
                <w:rFonts w:hint="eastAsia" w:ascii="宋体" w:hAnsi="宋体"/>
                <w:color w:val="auto"/>
                <w:szCs w:val="21"/>
              </w:rPr>
              <w:t>产权</w:t>
            </w:r>
          </w:p>
        </w:tc>
        <w:tc>
          <w:tcPr>
            <w:tcW w:w="6031"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left="223" w:leftChars="93" w:firstLine="0" w:firstLineChars="0"/>
              <w:textAlignment w:val="auto"/>
              <w:outlineLvl w:val="9"/>
              <w:rPr>
                <w:rFonts w:ascii="宋体" w:hAnsi="宋体"/>
                <w:color w:val="auto"/>
                <w:szCs w:val="21"/>
              </w:rPr>
            </w:pPr>
            <w:r>
              <w:rPr>
                <w:rFonts w:hint="eastAsia" w:ascii="宋体" w:hAnsi="宋体"/>
                <w:color w:val="auto"/>
                <w:szCs w:val="21"/>
              </w:rPr>
              <w:t>自有■</w:t>
            </w:r>
            <w:r>
              <w:rPr>
                <w:rFonts w:ascii="宋体" w:hAnsi="宋体"/>
                <w:color w:val="auto"/>
                <w:szCs w:val="21"/>
              </w:rPr>
              <w:t xml:space="preserve">       </w:t>
            </w:r>
            <w:r>
              <w:rPr>
                <w:rFonts w:hint="eastAsia" w:ascii="宋体" w:hAnsi="宋体"/>
                <w:color w:val="auto"/>
                <w:szCs w:val="21"/>
              </w:rPr>
              <w:t>租赁</w:t>
            </w:r>
            <w:r>
              <w:rPr>
                <w:rFonts w:ascii="宋体" w:hAnsi="宋体"/>
                <w:color w:val="auto"/>
                <w:szCs w:val="21"/>
              </w:rPr>
              <w:t xml:space="preserve"> </w:t>
            </w:r>
            <w:r>
              <w:rPr>
                <w:rFonts w:hint="eastAsia" w:ascii="宋体" w:hAnsi="宋体"/>
                <w:color w:val="auto"/>
                <w:szCs w:val="21"/>
              </w:rPr>
              <w:t>□</w:t>
            </w:r>
            <w:r>
              <w:rPr>
                <w:rFonts w:ascii="宋体" w:hAnsi="宋体"/>
                <w:color w:val="auto"/>
                <w:szCs w:val="21"/>
              </w:rPr>
              <w:t xml:space="preserve">     </w:t>
            </w:r>
            <w:r>
              <w:rPr>
                <w:rFonts w:hint="eastAsia" w:ascii="宋体" w:hAnsi="宋体"/>
                <w:color w:val="auto"/>
                <w:szCs w:val="21"/>
              </w:rPr>
              <w:t>承包□</w:t>
            </w:r>
            <w:r>
              <w:rPr>
                <w:rFonts w:ascii="宋体" w:hAnsi="宋体"/>
                <w:color w:val="auto"/>
                <w:szCs w:val="21"/>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5" w:hRule="atLeast"/>
        </w:trPr>
        <w:tc>
          <w:tcPr>
            <w:tcW w:w="14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outlineLvl w:val="9"/>
              <w:rPr>
                <w:rFonts w:hint="eastAsia" w:ascii="宋体" w:hAnsi="宋体" w:eastAsia="宋体"/>
                <w:color w:val="auto"/>
                <w:szCs w:val="21"/>
                <w:lang w:eastAsia="zh-CN"/>
              </w:rPr>
            </w:pPr>
            <w:r>
              <w:rPr>
                <w:rFonts w:hint="eastAsia"/>
                <w:color w:val="auto"/>
                <w:szCs w:val="21"/>
                <w:lang w:eastAsia="zh-CN"/>
              </w:rPr>
              <w:t>工作制度</w:t>
            </w:r>
          </w:p>
        </w:tc>
        <w:tc>
          <w:tcPr>
            <w:tcW w:w="7574"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adjustRightInd/>
              <w:snapToGrid/>
              <w:spacing w:line="240" w:lineRule="auto"/>
              <w:ind w:left="223" w:leftChars="93" w:firstLine="0" w:firstLineChars="0"/>
              <w:textAlignment w:val="auto"/>
              <w:outlineLvl w:val="9"/>
              <w:rPr>
                <w:rFonts w:hint="eastAsia" w:ascii="宋体" w:hAnsi="宋体" w:eastAsia="宋体"/>
                <w:color w:val="auto"/>
                <w:szCs w:val="21"/>
                <w:lang w:val="en-US" w:eastAsia="zh-CN"/>
              </w:rPr>
            </w:pPr>
            <w:r>
              <w:rPr>
                <w:rFonts w:hint="eastAsia"/>
                <w:color w:val="auto"/>
                <w:szCs w:val="21"/>
                <w:lang w:eastAsia="zh-CN"/>
              </w:rPr>
              <w:t>年工作</w:t>
            </w:r>
            <w:r>
              <w:rPr>
                <w:rFonts w:hint="eastAsia"/>
                <w:color w:val="auto"/>
                <w:szCs w:val="21"/>
                <w:lang w:val="en-US" w:eastAsia="zh-CN"/>
              </w:rPr>
              <w:t>300天，每天3班，每班8h</w:t>
            </w:r>
          </w:p>
        </w:tc>
      </w:tr>
    </w:tbl>
    <w:p>
      <w:pPr>
        <w:pStyle w:val="4"/>
        <w:ind w:firstLine="960" w:firstLineChars="400"/>
        <w:rPr>
          <w:rFonts w:hint="eastAsia"/>
        </w:rPr>
      </w:pPr>
      <w:bookmarkStart w:id="48" w:name="_Toc24633"/>
      <w:r>
        <w:rPr>
          <w:rFonts w:hint="eastAsia"/>
          <w:lang w:val="en-US" w:eastAsia="zh-CN"/>
        </w:rPr>
        <w:t>3.1.1</w:t>
      </w:r>
      <w:r>
        <w:rPr>
          <w:rFonts w:hint="eastAsia"/>
        </w:rPr>
        <w:t>企业主要装置</w:t>
      </w:r>
      <w:bookmarkEnd w:id="48"/>
    </w:p>
    <w:p>
      <w:pPr>
        <w:pStyle w:val="6"/>
        <w:spacing w:before="194"/>
        <w:ind w:left="880"/>
        <w:rPr>
          <w:rFonts w:hint="eastAsia" w:ascii="宋体" w:hAnsi="宋体" w:eastAsia="宋体" w:cs="宋体"/>
          <w:sz w:val="24"/>
          <w:szCs w:val="24"/>
        </w:rPr>
      </w:pPr>
      <w:r>
        <w:rPr>
          <w:rFonts w:hint="eastAsia" w:ascii="宋体" w:hAnsi="宋体" w:eastAsia="宋体" w:cs="宋体"/>
          <w:sz w:val="24"/>
          <w:szCs w:val="24"/>
        </w:rPr>
        <w:t>（1）企业主要装置</w:t>
      </w:r>
    </w:p>
    <w:p>
      <w:pPr>
        <w:spacing w:line="480" w:lineRule="exact"/>
        <w:ind w:firstLine="560" w:firstLineChars="200"/>
        <w:rPr>
          <w:rFonts w:hint="eastAsia" w:ascii="宋体" w:hAnsi="宋体" w:eastAsia="宋体" w:cs="宋体"/>
          <w:color w:val="auto"/>
          <w:sz w:val="28"/>
          <w:lang w:val="en-US" w:eastAsia="zh-CN"/>
        </w:rPr>
      </w:pPr>
      <w:r>
        <w:rPr>
          <w:rFonts w:hint="eastAsia" w:ascii="宋体" w:hAnsi="宋体" w:eastAsia="宋体" w:cs="宋体"/>
          <w:color w:val="auto"/>
          <w:sz w:val="28"/>
        </w:rPr>
        <w:t>主要设备设施见下表</w:t>
      </w:r>
      <w:r>
        <w:rPr>
          <w:rFonts w:hint="eastAsia" w:ascii="宋体" w:hAnsi="宋体" w:eastAsia="宋体" w:cs="宋体"/>
          <w:color w:val="auto"/>
          <w:sz w:val="28"/>
          <w:lang w:val="en-US" w:eastAsia="zh-CN"/>
        </w:rPr>
        <w:t>3-2</w:t>
      </w:r>
      <w:r>
        <w:rPr>
          <w:rFonts w:hint="eastAsia" w:ascii="宋体" w:hAnsi="宋体" w:eastAsia="宋体" w:cs="宋体"/>
          <w:color w:val="auto"/>
          <w:sz w:val="28"/>
        </w:rPr>
        <w:t>。</w:t>
      </w:r>
      <w:r>
        <w:rPr>
          <w:rFonts w:hint="eastAsia" w:cs="宋体"/>
          <w:color w:val="auto"/>
          <w:sz w:val="28"/>
          <w:lang w:eastAsia="zh-CN"/>
        </w:rPr>
        <w:t>特种设备见下表</w:t>
      </w:r>
      <w:r>
        <w:rPr>
          <w:rFonts w:hint="eastAsia" w:cs="宋体"/>
          <w:color w:val="auto"/>
          <w:sz w:val="28"/>
          <w:lang w:val="en-US" w:eastAsia="zh-CN"/>
        </w:rPr>
        <w:t>3-3。</w:t>
      </w:r>
    </w:p>
    <w:p>
      <w:pPr>
        <w:adjustRightInd w:val="0"/>
        <w:snapToGrid w:val="0"/>
        <w:spacing w:line="360" w:lineRule="auto"/>
        <w:jc w:val="center"/>
        <w:rPr>
          <w:rFonts w:hint="eastAsia" w:ascii="宋体" w:hAnsi="宋体" w:eastAsia="宋体" w:cs="宋体"/>
          <w:b/>
          <w:bCs/>
          <w:color w:val="auto"/>
          <w:sz w:val="28"/>
        </w:rPr>
      </w:pPr>
      <w:r>
        <w:rPr>
          <w:rFonts w:hint="eastAsia" w:ascii="宋体" w:hAnsi="宋体" w:eastAsia="宋体" w:cs="宋体"/>
          <w:b/>
          <w:bCs/>
          <w:color w:val="auto"/>
          <w:sz w:val="28"/>
        </w:rPr>
        <w:t>表</w:t>
      </w:r>
      <w:r>
        <w:rPr>
          <w:rFonts w:hint="eastAsia" w:ascii="宋体" w:hAnsi="宋体" w:eastAsia="宋体" w:cs="宋体"/>
          <w:b/>
          <w:bCs/>
          <w:color w:val="auto"/>
          <w:sz w:val="28"/>
          <w:lang w:val="en-US" w:eastAsia="zh-CN"/>
        </w:rPr>
        <w:t>3-2</w:t>
      </w:r>
      <w:r>
        <w:rPr>
          <w:rFonts w:hint="eastAsia" w:ascii="宋体" w:hAnsi="宋体" w:eastAsia="宋体" w:cs="宋体"/>
          <w:b/>
          <w:bCs/>
          <w:color w:val="auto"/>
          <w:sz w:val="28"/>
        </w:rPr>
        <w:t xml:space="preserve"> 主要设备情况</w:t>
      </w:r>
    </w:p>
    <w:tbl>
      <w:tblPr>
        <w:tblStyle w:val="17"/>
        <w:tblW w:w="8408"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762"/>
        <w:gridCol w:w="1761"/>
        <w:gridCol w:w="2309"/>
        <w:gridCol w:w="2342"/>
        <w:gridCol w:w="123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5"/>
              <w:spacing w:line="320" w:lineRule="exact"/>
              <w:ind w:firstLine="0"/>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序号</w:t>
            </w:r>
          </w:p>
        </w:tc>
        <w:tc>
          <w:tcPr>
            <w:tcW w:w="1761" w:type="dxa"/>
            <w:vAlign w:val="center"/>
          </w:tcPr>
          <w:p>
            <w:pPr>
              <w:pStyle w:val="5"/>
              <w:spacing w:line="320" w:lineRule="exact"/>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设备名称</w:t>
            </w:r>
          </w:p>
        </w:tc>
        <w:tc>
          <w:tcPr>
            <w:tcW w:w="2309" w:type="dxa"/>
            <w:vAlign w:val="center"/>
          </w:tcPr>
          <w:p>
            <w:pPr>
              <w:pStyle w:val="5"/>
              <w:spacing w:line="320" w:lineRule="exact"/>
              <w:jc w:val="center"/>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规格</w:t>
            </w:r>
          </w:p>
        </w:tc>
        <w:tc>
          <w:tcPr>
            <w:tcW w:w="2342" w:type="dxa"/>
            <w:vAlign w:val="center"/>
          </w:tcPr>
          <w:p>
            <w:pPr>
              <w:pStyle w:val="5"/>
              <w:spacing w:line="320" w:lineRule="exact"/>
              <w:jc w:val="center"/>
              <w:rPr>
                <w:rFonts w:hint="eastAsia" w:ascii="宋体" w:hAnsi="宋体" w:eastAsia="宋体" w:cs="宋体"/>
                <w:b/>
                <w:bCs w:val="0"/>
                <w:color w:val="auto"/>
                <w:sz w:val="21"/>
                <w:szCs w:val="21"/>
                <w:vertAlign w:val="superscript"/>
              </w:rPr>
            </w:pPr>
            <w:r>
              <w:rPr>
                <w:rFonts w:hint="eastAsia" w:ascii="宋体" w:hAnsi="宋体" w:eastAsia="宋体" w:cs="宋体"/>
                <w:b/>
                <w:bCs w:val="0"/>
                <w:color w:val="auto"/>
                <w:sz w:val="21"/>
                <w:szCs w:val="21"/>
              </w:rPr>
              <w:t>数量</w:t>
            </w:r>
          </w:p>
        </w:tc>
        <w:tc>
          <w:tcPr>
            <w:tcW w:w="1234" w:type="dxa"/>
            <w:tcBorders>
              <w:right w:val="single" w:color="auto" w:sz="4" w:space="0"/>
            </w:tcBorders>
            <w:vAlign w:val="center"/>
          </w:tcPr>
          <w:p>
            <w:pPr>
              <w:pStyle w:val="5"/>
              <w:spacing w:line="320" w:lineRule="exact"/>
              <w:ind w:firstLine="0"/>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5"/>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w:t>
            </w:r>
          </w:p>
        </w:tc>
        <w:tc>
          <w:tcPr>
            <w:tcW w:w="1761" w:type="dxa"/>
            <w:vAlign w:val="center"/>
          </w:tcPr>
          <w:p>
            <w:pPr>
              <w:pStyle w:val="5"/>
              <w:spacing w:line="320" w:lineRule="exact"/>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浓缩器</w:t>
            </w:r>
          </w:p>
        </w:tc>
        <w:tc>
          <w:tcPr>
            <w:tcW w:w="2309"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5000L</w:t>
            </w:r>
          </w:p>
        </w:tc>
        <w:tc>
          <w:tcPr>
            <w:tcW w:w="2342"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12套</w:t>
            </w:r>
          </w:p>
        </w:tc>
        <w:tc>
          <w:tcPr>
            <w:tcW w:w="1234" w:type="dxa"/>
            <w:tcBorders>
              <w:right w:val="single" w:color="auto" w:sz="4" w:space="0"/>
            </w:tcBorders>
            <w:vAlign w:val="center"/>
          </w:tcPr>
          <w:p>
            <w:pPr>
              <w:pStyle w:val="5"/>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5"/>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w:t>
            </w:r>
          </w:p>
        </w:tc>
        <w:tc>
          <w:tcPr>
            <w:tcW w:w="1761" w:type="dxa"/>
            <w:vAlign w:val="center"/>
          </w:tcPr>
          <w:p>
            <w:pPr>
              <w:pStyle w:val="5"/>
              <w:spacing w:line="320" w:lineRule="exact"/>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交换器</w:t>
            </w:r>
          </w:p>
        </w:tc>
        <w:tc>
          <w:tcPr>
            <w:tcW w:w="2309"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0.6×6m</w:t>
            </w:r>
          </w:p>
        </w:tc>
        <w:tc>
          <w:tcPr>
            <w:tcW w:w="2342"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12套</w:t>
            </w:r>
          </w:p>
        </w:tc>
        <w:tc>
          <w:tcPr>
            <w:tcW w:w="1234" w:type="dxa"/>
            <w:tcBorders>
              <w:right w:val="single" w:color="auto" w:sz="4" w:space="0"/>
            </w:tcBorders>
            <w:vAlign w:val="center"/>
          </w:tcPr>
          <w:p>
            <w:pPr>
              <w:pStyle w:val="5"/>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5"/>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3</w:t>
            </w:r>
          </w:p>
        </w:tc>
        <w:tc>
          <w:tcPr>
            <w:tcW w:w="1761" w:type="dxa"/>
            <w:vAlign w:val="center"/>
          </w:tcPr>
          <w:p>
            <w:pPr>
              <w:pStyle w:val="5"/>
              <w:spacing w:line="320" w:lineRule="exact"/>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蒸发器</w:t>
            </w:r>
          </w:p>
        </w:tc>
        <w:tc>
          <w:tcPr>
            <w:tcW w:w="2309"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3000L</w:t>
            </w:r>
          </w:p>
        </w:tc>
        <w:tc>
          <w:tcPr>
            <w:tcW w:w="2342"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12套</w:t>
            </w:r>
          </w:p>
        </w:tc>
        <w:tc>
          <w:tcPr>
            <w:tcW w:w="1234" w:type="dxa"/>
            <w:tcBorders>
              <w:right w:val="single" w:color="auto" w:sz="4" w:space="0"/>
            </w:tcBorders>
            <w:vAlign w:val="center"/>
          </w:tcPr>
          <w:p>
            <w:pPr>
              <w:pStyle w:val="5"/>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5"/>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4</w:t>
            </w:r>
          </w:p>
        </w:tc>
        <w:tc>
          <w:tcPr>
            <w:tcW w:w="1761" w:type="dxa"/>
            <w:vAlign w:val="center"/>
          </w:tcPr>
          <w:p>
            <w:pPr>
              <w:pStyle w:val="5"/>
              <w:spacing w:line="320" w:lineRule="exact"/>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蒸发循环泵</w:t>
            </w:r>
          </w:p>
        </w:tc>
        <w:tc>
          <w:tcPr>
            <w:tcW w:w="2309"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7.5HP</w:t>
            </w:r>
          </w:p>
        </w:tc>
        <w:tc>
          <w:tcPr>
            <w:tcW w:w="2342"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14台</w:t>
            </w:r>
          </w:p>
        </w:tc>
        <w:tc>
          <w:tcPr>
            <w:tcW w:w="1234" w:type="dxa"/>
            <w:tcBorders>
              <w:right w:val="single" w:color="auto" w:sz="4" w:space="0"/>
            </w:tcBorders>
            <w:vAlign w:val="center"/>
          </w:tcPr>
          <w:p>
            <w:pPr>
              <w:pStyle w:val="5"/>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5"/>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5</w:t>
            </w:r>
          </w:p>
        </w:tc>
        <w:tc>
          <w:tcPr>
            <w:tcW w:w="1761" w:type="dxa"/>
            <w:vAlign w:val="center"/>
          </w:tcPr>
          <w:p>
            <w:pPr>
              <w:pStyle w:val="5"/>
              <w:spacing w:line="320" w:lineRule="exact"/>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真空泵</w:t>
            </w:r>
          </w:p>
        </w:tc>
        <w:tc>
          <w:tcPr>
            <w:tcW w:w="2309"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15HP</w:t>
            </w:r>
          </w:p>
        </w:tc>
        <w:tc>
          <w:tcPr>
            <w:tcW w:w="2342"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13台</w:t>
            </w:r>
          </w:p>
        </w:tc>
        <w:tc>
          <w:tcPr>
            <w:tcW w:w="1234" w:type="dxa"/>
            <w:tcBorders>
              <w:right w:val="single" w:color="auto" w:sz="4" w:space="0"/>
            </w:tcBorders>
            <w:vAlign w:val="center"/>
          </w:tcPr>
          <w:p>
            <w:pPr>
              <w:pStyle w:val="5"/>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5"/>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6</w:t>
            </w:r>
          </w:p>
        </w:tc>
        <w:tc>
          <w:tcPr>
            <w:tcW w:w="1761" w:type="dxa"/>
            <w:vAlign w:val="center"/>
          </w:tcPr>
          <w:p>
            <w:pPr>
              <w:pStyle w:val="5"/>
              <w:spacing w:line="320" w:lineRule="exact"/>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自动脱水机</w:t>
            </w:r>
          </w:p>
        </w:tc>
        <w:tc>
          <w:tcPr>
            <w:tcW w:w="2309"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48″15HP</w:t>
            </w:r>
          </w:p>
        </w:tc>
        <w:tc>
          <w:tcPr>
            <w:tcW w:w="2342"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6套</w:t>
            </w:r>
          </w:p>
        </w:tc>
        <w:tc>
          <w:tcPr>
            <w:tcW w:w="1234" w:type="dxa"/>
            <w:tcBorders>
              <w:right w:val="single" w:color="auto" w:sz="4" w:space="0"/>
            </w:tcBorders>
            <w:vAlign w:val="center"/>
          </w:tcPr>
          <w:p>
            <w:pPr>
              <w:pStyle w:val="5"/>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5"/>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7</w:t>
            </w:r>
          </w:p>
        </w:tc>
        <w:tc>
          <w:tcPr>
            <w:tcW w:w="1761" w:type="dxa"/>
            <w:vAlign w:val="center"/>
          </w:tcPr>
          <w:p>
            <w:pPr>
              <w:pStyle w:val="5"/>
              <w:spacing w:line="320" w:lineRule="exact"/>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吸收塔</w:t>
            </w:r>
          </w:p>
        </w:tc>
        <w:tc>
          <w:tcPr>
            <w:tcW w:w="2309"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76-300cm</w:t>
            </w:r>
          </w:p>
        </w:tc>
        <w:tc>
          <w:tcPr>
            <w:tcW w:w="2342"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12套</w:t>
            </w:r>
          </w:p>
        </w:tc>
        <w:tc>
          <w:tcPr>
            <w:tcW w:w="1234" w:type="dxa"/>
            <w:tcBorders>
              <w:right w:val="single" w:color="auto" w:sz="4" w:space="0"/>
            </w:tcBorders>
            <w:vAlign w:val="center"/>
          </w:tcPr>
          <w:p>
            <w:pPr>
              <w:pStyle w:val="5"/>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5"/>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8</w:t>
            </w:r>
          </w:p>
        </w:tc>
        <w:tc>
          <w:tcPr>
            <w:tcW w:w="1761" w:type="dxa"/>
            <w:vAlign w:val="center"/>
          </w:tcPr>
          <w:p>
            <w:pPr>
              <w:pStyle w:val="5"/>
              <w:spacing w:line="320" w:lineRule="exact"/>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制片机组</w:t>
            </w:r>
          </w:p>
        </w:tc>
        <w:tc>
          <w:tcPr>
            <w:tcW w:w="2309"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1.2m×1.5m</w:t>
            </w:r>
          </w:p>
        </w:tc>
        <w:tc>
          <w:tcPr>
            <w:tcW w:w="2342"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6套</w:t>
            </w:r>
          </w:p>
        </w:tc>
        <w:tc>
          <w:tcPr>
            <w:tcW w:w="1234" w:type="dxa"/>
            <w:tcBorders>
              <w:right w:val="single" w:color="auto" w:sz="4" w:space="0"/>
            </w:tcBorders>
            <w:vAlign w:val="center"/>
          </w:tcPr>
          <w:p>
            <w:pPr>
              <w:pStyle w:val="5"/>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5"/>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9</w:t>
            </w:r>
          </w:p>
        </w:tc>
        <w:tc>
          <w:tcPr>
            <w:tcW w:w="1761" w:type="dxa"/>
            <w:vAlign w:val="center"/>
          </w:tcPr>
          <w:p>
            <w:pPr>
              <w:pStyle w:val="5"/>
              <w:spacing w:line="320" w:lineRule="exact"/>
              <w:ind w:firstLine="315" w:firstLineChars="15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冷冻机</w:t>
            </w:r>
          </w:p>
        </w:tc>
        <w:tc>
          <w:tcPr>
            <w:tcW w:w="2309" w:type="dxa"/>
            <w:vAlign w:val="center"/>
          </w:tcPr>
          <w:p>
            <w:pPr>
              <w:pStyle w:val="5"/>
              <w:spacing w:line="320" w:lineRule="exact"/>
              <w:jc w:val="center"/>
              <w:rPr>
                <w:rFonts w:hint="eastAsia" w:ascii="宋体" w:hAnsi="宋体" w:eastAsia="宋体" w:cs="宋体"/>
                <w:b w:val="0"/>
                <w:bCs/>
                <w:color w:val="auto"/>
                <w:sz w:val="21"/>
                <w:szCs w:val="21"/>
              </w:rPr>
            </w:pPr>
          </w:p>
        </w:tc>
        <w:tc>
          <w:tcPr>
            <w:tcW w:w="2342"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4台</w:t>
            </w:r>
          </w:p>
        </w:tc>
        <w:tc>
          <w:tcPr>
            <w:tcW w:w="1234" w:type="dxa"/>
            <w:tcBorders>
              <w:right w:val="single" w:color="auto" w:sz="4" w:space="0"/>
            </w:tcBorders>
            <w:vAlign w:val="center"/>
          </w:tcPr>
          <w:p>
            <w:pPr>
              <w:pStyle w:val="5"/>
              <w:spacing w:line="320" w:lineRule="exact"/>
              <w:ind w:firstLine="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氟利昂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5"/>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10</w:t>
            </w:r>
          </w:p>
        </w:tc>
        <w:tc>
          <w:tcPr>
            <w:tcW w:w="1761" w:type="dxa"/>
            <w:vAlign w:val="center"/>
          </w:tcPr>
          <w:p>
            <w:pPr>
              <w:pStyle w:val="5"/>
              <w:spacing w:line="320" w:lineRule="exact"/>
              <w:ind w:firstLine="315" w:firstLineChars="15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堆高机</w:t>
            </w:r>
          </w:p>
        </w:tc>
        <w:tc>
          <w:tcPr>
            <w:tcW w:w="2309"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3t</w:t>
            </w:r>
          </w:p>
        </w:tc>
        <w:tc>
          <w:tcPr>
            <w:tcW w:w="2342"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4台</w:t>
            </w:r>
          </w:p>
        </w:tc>
        <w:tc>
          <w:tcPr>
            <w:tcW w:w="1234" w:type="dxa"/>
            <w:tcBorders>
              <w:right w:val="single" w:color="auto" w:sz="4" w:space="0"/>
            </w:tcBorders>
            <w:vAlign w:val="center"/>
          </w:tcPr>
          <w:p>
            <w:pPr>
              <w:pStyle w:val="5"/>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5"/>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12</w:t>
            </w:r>
          </w:p>
        </w:tc>
        <w:tc>
          <w:tcPr>
            <w:tcW w:w="1761" w:type="dxa"/>
            <w:vAlign w:val="center"/>
          </w:tcPr>
          <w:p>
            <w:pPr>
              <w:pStyle w:val="5"/>
              <w:spacing w:line="320" w:lineRule="exact"/>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压滤机</w:t>
            </w:r>
          </w:p>
        </w:tc>
        <w:tc>
          <w:tcPr>
            <w:tcW w:w="2309"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XMYJ60-800-UB</w:t>
            </w:r>
          </w:p>
        </w:tc>
        <w:tc>
          <w:tcPr>
            <w:tcW w:w="2342"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1台</w:t>
            </w:r>
          </w:p>
        </w:tc>
        <w:tc>
          <w:tcPr>
            <w:tcW w:w="1234" w:type="dxa"/>
            <w:tcBorders>
              <w:right w:val="single" w:color="auto" w:sz="4" w:space="0"/>
            </w:tcBorders>
            <w:vAlign w:val="center"/>
          </w:tcPr>
          <w:p>
            <w:pPr>
              <w:pStyle w:val="5"/>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5"/>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13</w:t>
            </w:r>
          </w:p>
        </w:tc>
        <w:tc>
          <w:tcPr>
            <w:tcW w:w="1761" w:type="dxa"/>
            <w:vAlign w:val="center"/>
          </w:tcPr>
          <w:p>
            <w:pPr>
              <w:pStyle w:val="5"/>
              <w:spacing w:line="320" w:lineRule="exac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深井泵</w:t>
            </w:r>
          </w:p>
        </w:tc>
        <w:tc>
          <w:tcPr>
            <w:tcW w:w="2309"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100J10-60／10</w:t>
            </w:r>
          </w:p>
        </w:tc>
        <w:tc>
          <w:tcPr>
            <w:tcW w:w="2342"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1台</w:t>
            </w:r>
          </w:p>
        </w:tc>
        <w:tc>
          <w:tcPr>
            <w:tcW w:w="1234" w:type="dxa"/>
            <w:tcBorders>
              <w:right w:val="single" w:color="auto" w:sz="4" w:space="0"/>
            </w:tcBorders>
            <w:vAlign w:val="center"/>
          </w:tcPr>
          <w:p>
            <w:pPr>
              <w:pStyle w:val="5"/>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5"/>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14</w:t>
            </w:r>
          </w:p>
        </w:tc>
        <w:tc>
          <w:tcPr>
            <w:tcW w:w="1761" w:type="dxa"/>
            <w:vAlign w:val="center"/>
          </w:tcPr>
          <w:p>
            <w:pPr>
              <w:pStyle w:val="5"/>
              <w:spacing w:line="320" w:lineRule="exact"/>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深井泵</w:t>
            </w:r>
          </w:p>
        </w:tc>
        <w:tc>
          <w:tcPr>
            <w:tcW w:w="2309"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100J2-90／12-1.5</w:t>
            </w:r>
          </w:p>
        </w:tc>
        <w:tc>
          <w:tcPr>
            <w:tcW w:w="2342"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1台</w:t>
            </w:r>
          </w:p>
        </w:tc>
        <w:tc>
          <w:tcPr>
            <w:tcW w:w="1234" w:type="dxa"/>
            <w:tcBorders>
              <w:right w:val="single" w:color="auto" w:sz="4" w:space="0"/>
            </w:tcBorders>
            <w:vAlign w:val="center"/>
          </w:tcPr>
          <w:p>
            <w:pPr>
              <w:pStyle w:val="5"/>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501" w:hRule="atLeast"/>
          <w:jc w:val="center"/>
        </w:trPr>
        <w:tc>
          <w:tcPr>
            <w:tcW w:w="762" w:type="dxa"/>
            <w:tcBorders>
              <w:left w:val="single" w:color="auto" w:sz="4" w:space="0"/>
            </w:tcBorders>
            <w:vAlign w:val="center"/>
          </w:tcPr>
          <w:p>
            <w:pPr>
              <w:pStyle w:val="5"/>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15</w:t>
            </w:r>
          </w:p>
        </w:tc>
        <w:tc>
          <w:tcPr>
            <w:tcW w:w="1761" w:type="dxa"/>
            <w:vAlign w:val="center"/>
          </w:tcPr>
          <w:p>
            <w:pPr>
              <w:pStyle w:val="5"/>
              <w:spacing w:line="320" w:lineRule="exact"/>
              <w:ind w:left="0" w:leftChars="0" w:right="0" w:rightChars="0"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原料储罐</w:t>
            </w:r>
          </w:p>
        </w:tc>
        <w:tc>
          <w:tcPr>
            <w:tcW w:w="2309" w:type="dxa"/>
            <w:vAlign w:val="center"/>
          </w:tcPr>
          <w:p>
            <w:pPr>
              <w:pStyle w:val="5"/>
              <w:spacing w:line="320" w:lineRule="exact"/>
              <w:ind w:left="0" w:leftChars="0" w:right="0" w:rightChars="0" w:firstLine="420" w:firstLineChars="200"/>
              <w:jc w:val="center"/>
              <w:rPr>
                <w:rFonts w:hint="eastAsia" w:ascii="宋体" w:hAnsi="宋体" w:eastAsia="宋体" w:cs="宋体"/>
                <w:b w:val="0"/>
                <w:bCs/>
                <w:color w:val="auto"/>
                <w:sz w:val="21"/>
                <w:szCs w:val="21"/>
                <w:vertAlign w:val="superscript"/>
              </w:rPr>
            </w:pPr>
            <w:r>
              <w:rPr>
                <w:rFonts w:hint="eastAsia" w:cs="宋体"/>
                <w:b w:val="0"/>
                <w:bCs/>
                <w:color w:val="auto"/>
                <w:sz w:val="21"/>
                <w:szCs w:val="21"/>
                <w:lang w:val="en-US" w:eastAsia="zh-CN"/>
              </w:rPr>
              <w:t>1000</w:t>
            </w:r>
            <w:r>
              <w:rPr>
                <w:rFonts w:hint="eastAsia" w:ascii="宋体" w:hAnsi="宋体" w:eastAsia="宋体" w:cs="宋体"/>
                <w:b w:val="0"/>
                <w:bCs/>
                <w:color w:val="auto"/>
                <w:sz w:val="21"/>
                <w:szCs w:val="21"/>
              </w:rPr>
              <w:t>m</w:t>
            </w:r>
            <w:r>
              <w:rPr>
                <w:rFonts w:hint="eastAsia" w:ascii="宋体" w:hAnsi="宋体" w:eastAsia="宋体" w:cs="宋体"/>
                <w:b w:val="0"/>
                <w:bCs/>
                <w:color w:val="auto"/>
                <w:sz w:val="21"/>
                <w:szCs w:val="21"/>
                <w:vertAlign w:val="superscript"/>
              </w:rPr>
              <w:t>3</w:t>
            </w:r>
            <w:r>
              <w:rPr>
                <w:rFonts w:hint="eastAsia" w:ascii="宋体" w:hAnsi="宋体" w:eastAsia="宋体" w:cs="宋体"/>
                <w:b w:val="0"/>
                <w:bCs/>
                <w:color w:val="auto"/>
                <w:sz w:val="21"/>
                <w:szCs w:val="21"/>
              </w:rPr>
              <w:t>300m</w:t>
            </w:r>
            <w:r>
              <w:rPr>
                <w:rFonts w:hint="eastAsia" w:ascii="宋体" w:hAnsi="宋体" w:eastAsia="宋体" w:cs="宋体"/>
                <w:b w:val="0"/>
                <w:bCs/>
                <w:color w:val="auto"/>
                <w:sz w:val="21"/>
                <w:szCs w:val="21"/>
                <w:vertAlign w:val="superscript"/>
              </w:rPr>
              <w:t>3</w:t>
            </w:r>
          </w:p>
        </w:tc>
        <w:tc>
          <w:tcPr>
            <w:tcW w:w="2342" w:type="dxa"/>
            <w:vAlign w:val="center"/>
          </w:tcPr>
          <w:p>
            <w:pPr>
              <w:pStyle w:val="5"/>
              <w:spacing w:line="320" w:lineRule="exact"/>
              <w:ind w:left="0" w:leftChars="0" w:right="0" w:rightChars="0" w:firstLine="420" w:firstLineChars="200"/>
              <w:jc w:val="center"/>
              <w:rPr>
                <w:rFonts w:hint="eastAsia" w:ascii="宋体" w:hAnsi="宋体" w:eastAsia="宋体" w:cs="宋体"/>
                <w:b w:val="0"/>
                <w:bCs/>
                <w:color w:val="auto"/>
                <w:sz w:val="21"/>
                <w:szCs w:val="21"/>
              </w:rPr>
            </w:pPr>
            <w:r>
              <w:rPr>
                <w:rFonts w:hint="eastAsia" w:cs="宋体"/>
                <w:b w:val="0"/>
                <w:bCs/>
                <w:color w:val="auto"/>
                <w:sz w:val="21"/>
                <w:szCs w:val="21"/>
                <w:lang w:val="en-US" w:eastAsia="zh-CN"/>
              </w:rPr>
              <w:t>1000</w:t>
            </w:r>
            <w:r>
              <w:rPr>
                <w:rFonts w:hint="eastAsia" w:ascii="宋体" w:hAnsi="宋体" w:eastAsia="宋体" w:cs="宋体"/>
                <w:b w:val="0"/>
                <w:bCs/>
                <w:color w:val="auto"/>
                <w:sz w:val="21"/>
                <w:szCs w:val="21"/>
              </w:rPr>
              <w:t>m</w:t>
            </w:r>
            <w:r>
              <w:rPr>
                <w:rFonts w:hint="eastAsia" w:ascii="宋体" w:hAnsi="宋体" w:eastAsia="宋体" w:cs="宋体"/>
                <w:b w:val="0"/>
                <w:bCs/>
                <w:color w:val="auto"/>
                <w:sz w:val="21"/>
                <w:szCs w:val="21"/>
                <w:vertAlign w:val="superscript"/>
              </w:rPr>
              <w:t>3</w:t>
            </w:r>
            <w:r>
              <w:rPr>
                <w:rFonts w:hint="eastAsia" w:cs="宋体"/>
                <w:b w:val="0"/>
                <w:bCs/>
                <w:color w:val="auto"/>
                <w:sz w:val="21"/>
                <w:szCs w:val="21"/>
                <w:vertAlign w:val="baseline"/>
                <w:lang w:val="en-US" w:eastAsia="zh-CN"/>
              </w:rPr>
              <w:t>3台</w:t>
            </w:r>
            <w:r>
              <w:rPr>
                <w:rFonts w:hint="eastAsia" w:ascii="宋体" w:hAnsi="宋体" w:eastAsia="宋体" w:cs="宋体"/>
                <w:b w:val="0"/>
                <w:bCs/>
                <w:color w:val="auto"/>
                <w:sz w:val="21"/>
                <w:szCs w:val="21"/>
              </w:rPr>
              <w:t>300m</w:t>
            </w:r>
            <w:r>
              <w:rPr>
                <w:rFonts w:hint="eastAsia" w:ascii="宋体" w:hAnsi="宋体" w:eastAsia="宋体" w:cs="宋体"/>
                <w:b w:val="0"/>
                <w:bCs/>
                <w:color w:val="auto"/>
                <w:sz w:val="21"/>
                <w:szCs w:val="21"/>
                <w:vertAlign w:val="superscript"/>
              </w:rPr>
              <w:t>3</w:t>
            </w:r>
            <w:r>
              <w:rPr>
                <w:rFonts w:hint="eastAsia" w:cs="宋体"/>
                <w:b w:val="0"/>
                <w:bCs/>
                <w:color w:val="auto"/>
                <w:sz w:val="21"/>
                <w:szCs w:val="21"/>
                <w:vertAlign w:val="baseline"/>
                <w:lang w:val="en-US" w:eastAsia="zh-CN"/>
              </w:rPr>
              <w:t>4台</w:t>
            </w:r>
          </w:p>
        </w:tc>
        <w:tc>
          <w:tcPr>
            <w:tcW w:w="1234" w:type="dxa"/>
            <w:tcBorders>
              <w:right w:val="single" w:color="auto" w:sz="4" w:space="0"/>
            </w:tcBorders>
            <w:vAlign w:val="center"/>
          </w:tcPr>
          <w:p>
            <w:pPr>
              <w:pStyle w:val="5"/>
              <w:spacing w:line="320" w:lineRule="exact"/>
              <w:ind w:left="0" w:leftChars="0" w:right="0" w:rightChars="0" w:firstLine="0" w:firstLineChars="0"/>
              <w:jc w:val="both"/>
              <w:rPr>
                <w:rFonts w:hint="eastAsia" w:ascii="宋体" w:hAnsi="宋体" w:eastAsia="宋体" w:cs="宋体"/>
                <w:b w:val="0"/>
                <w:bCs/>
                <w:color w:val="auto"/>
                <w:sz w:val="21"/>
                <w:szCs w:val="21"/>
                <w:lang w:val="en-US"/>
              </w:rPr>
            </w:pPr>
            <w:r>
              <w:rPr>
                <w:rFonts w:hint="eastAsia" w:cs="宋体"/>
                <w:b w:val="0"/>
                <w:bCs/>
                <w:color w:val="auto"/>
                <w:sz w:val="21"/>
                <w:szCs w:val="21"/>
                <w:lang w:val="en-US" w:eastAsia="zh-CN"/>
              </w:rPr>
              <w:t>2台1000</w:t>
            </w:r>
            <w:r>
              <w:rPr>
                <w:rFonts w:hint="eastAsia" w:ascii="宋体" w:hAnsi="宋体" w:eastAsia="宋体" w:cs="宋体"/>
                <w:b w:val="0"/>
                <w:bCs/>
                <w:color w:val="auto"/>
                <w:sz w:val="21"/>
                <w:szCs w:val="21"/>
              </w:rPr>
              <w:t>m</w:t>
            </w:r>
            <w:r>
              <w:rPr>
                <w:rFonts w:hint="eastAsia" w:ascii="宋体" w:hAnsi="宋体" w:eastAsia="宋体" w:cs="宋体"/>
                <w:b w:val="0"/>
                <w:bCs/>
                <w:color w:val="auto"/>
                <w:sz w:val="21"/>
                <w:szCs w:val="21"/>
                <w:vertAlign w:val="superscript"/>
              </w:rPr>
              <w:t>3</w:t>
            </w:r>
            <w:r>
              <w:rPr>
                <w:rFonts w:hint="eastAsia" w:cs="宋体"/>
                <w:b w:val="0"/>
                <w:bCs/>
                <w:color w:val="auto"/>
                <w:sz w:val="21"/>
                <w:szCs w:val="21"/>
                <w:vertAlign w:val="superscript"/>
                <w:lang w:val="en-US" w:eastAsia="zh-CN"/>
              </w:rPr>
              <w:t xml:space="preserve"> </w:t>
            </w:r>
            <w:r>
              <w:rPr>
                <w:rFonts w:hint="eastAsia" w:cs="宋体"/>
                <w:b w:val="0"/>
                <w:bCs/>
                <w:color w:val="auto"/>
                <w:sz w:val="21"/>
                <w:szCs w:val="21"/>
                <w:vertAlign w:val="baseline"/>
                <w:lang w:val="en-US" w:eastAsia="zh-CN"/>
              </w:rPr>
              <w:t>作为备用，日常最大储存量为900T。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501" w:hRule="atLeast"/>
          <w:jc w:val="center"/>
        </w:trPr>
        <w:tc>
          <w:tcPr>
            <w:tcW w:w="762" w:type="dxa"/>
            <w:tcBorders>
              <w:left w:val="single" w:color="auto" w:sz="4" w:space="0"/>
            </w:tcBorders>
            <w:vAlign w:val="center"/>
          </w:tcPr>
          <w:p>
            <w:pPr>
              <w:pStyle w:val="5"/>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16</w:t>
            </w:r>
          </w:p>
        </w:tc>
        <w:tc>
          <w:tcPr>
            <w:tcW w:w="1761" w:type="dxa"/>
            <w:vAlign w:val="center"/>
          </w:tcPr>
          <w:p>
            <w:pPr>
              <w:pStyle w:val="5"/>
              <w:spacing w:line="320" w:lineRule="exact"/>
              <w:ind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半成品储罐</w:t>
            </w:r>
          </w:p>
        </w:tc>
        <w:tc>
          <w:tcPr>
            <w:tcW w:w="2309" w:type="dxa"/>
            <w:vAlign w:val="center"/>
          </w:tcPr>
          <w:p>
            <w:pPr>
              <w:pStyle w:val="5"/>
              <w:spacing w:line="320" w:lineRule="exact"/>
              <w:jc w:val="center"/>
              <w:rPr>
                <w:rFonts w:hint="eastAsia" w:ascii="宋体" w:hAnsi="宋体" w:eastAsia="宋体" w:cs="宋体"/>
                <w:b w:val="0"/>
                <w:bCs/>
                <w:color w:val="auto"/>
                <w:sz w:val="21"/>
                <w:szCs w:val="21"/>
                <w:vertAlign w:val="superscript"/>
              </w:rPr>
            </w:pPr>
            <w:r>
              <w:rPr>
                <w:rFonts w:hint="eastAsia" w:ascii="宋体" w:hAnsi="宋体" w:eastAsia="宋体" w:cs="宋体"/>
                <w:b w:val="0"/>
                <w:bCs/>
                <w:color w:val="auto"/>
                <w:sz w:val="21"/>
                <w:szCs w:val="21"/>
              </w:rPr>
              <w:t>50m</w:t>
            </w:r>
            <w:r>
              <w:rPr>
                <w:rFonts w:hint="eastAsia" w:ascii="宋体" w:hAnsi="宋体" w:eastAsia="宋体" w:cs="宋体"/>
                <w:b w:val="0"/>
                <w:bCs/>
                <w:color w:val="auto"/>
                <w:sz w:val="21"/>
                <w:szCs w:val="21"/>
                <w:vertAlign w:val="superscript"/>
              </w:rPr>
              <w:t>3</w:t>
            </w:r>
          </w:p>
        </w:tc>
        <w:tc>
          <w:tcPr>
            <w:tcW w:w="2342"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9台</w:t>
            </w:r>
          </w:p>
        </w:tc>
        <w:tc>
          <w:tcPr>
            <w:tcW w:w="1234" w:type="dxa"/>
            <w:tcBorders>
              <w:right w:val="single" w:color="auto" w:sz="4" w:space="0"/>
            </w:tcBorders>
            <w:vAlign w:val="center"/>
          </w:tcPr>
          <w:p>
            <w:pPr>
              <w:pStyle w:val="5"/>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trHeight w:val="501" w:hRule="atLeast"/>
          <w:jc w:val="center"/>
        </w:trPr>
        <w:tc>
          <w:tcPr>
            <w:tcW w:w="762" w:type="dxa"/>
            <w:tcBorders>
              <w:left w:val="single" w:color="auto" w:sz="4" w:space="0"/>
            </w:tcBorders>
            <w:vAlign w:val="center"/>
          </w:tcPr>
          <w:p>
            <w:pPr>
              <w:pStyle w:val="5"/>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17</w:t>
            </w:r>
          </w:p>
        </w:tc>
        <w:tc>
          <w:tcPr>
            <w:tcW w:w="1761" w:type="dxa"/>
            <w:vAlign w:val="center"/>
          </w:tcPr>
          <w:p>
            <w:pPr>
              <w:pStyle w:val="5"/>
              <w:spacing w:line="320" w:lineRule="exact"/>
              <w:ind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半成品储罐</w:t>
            </w:r>
          </w:p>
        </w:tc>
        <w:tc>
          <w:tcPr>
            <w:tcW w:w="2309"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30m</w:t>
            </w:r>
            <w:r>
              <w:rPr>
                <w:rFonts w:hint="eastAsia" w:ascii="宋体" w:hAnsi="宋体" w:eastAsia="宋体" w:cs="宋体"/>
                <w:b w:val="0"/>
                <w:bCs/>
                <w:color w:val="auto"/>
                <w:sz w:val="21"/>
                <w:szCs w:val="21"/>
                <w:vertAlign w:val="superscript"/>
              </w:rPr>
              <w:t>3</w:t>
            </w:r>
          </w:p>
        </w:tc>
        <w:tc>
          <w:tcPr>
            <w:tcW w:w="2342"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2台</w:t>
            </w:r>
          </w:p>
        </w:tc>
        <w:tc>
          <w:tcPr>
            <w:tcW w:w="1234" w:type="dxa"/>
            <w:tcBorders>
              <w:right w:val="single" w:color="auto" w:sz="4" w:space="0"/>
            </w:tcBorders>
            <w:vAlign w:val="center"/>
          </w:tcPr>
          <w:p>
            <w:pPr>
              <w:pStyle w:val="5"/>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5"/>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18</w:t>
            </w:r>
          </w:p>
        </w:tc>
        <w:tc>
          <w:tcPr>
            <w:tcW w:w="1761" w:type="dxa"/>
            <w:vAlign w:val="center"/>
          </w:tcPr>
          <w:p>
            <w:pPr>
              <w:pStyle w:val="5"/>
              <w:spacing w:line="320" w:lineRule="exact"/>
              <w:ind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烧碱储罐</w:t>
            </w:r>
          </w:p>
        </w:tc>
        <w:tc>
          <w:tcPr>
            <w:tcW w:w="2309" w:type="dxa"/>
            <w:vAlign w:val="center"/>
          </w:tcPr>
          <w:p>
            <w:pPr>
              <w:pStyle w:val="5"/>
              <w:spacing w:line="320" w:lineRule="exact"/>
              <w:jc w:val="center"/>
              <w:rPr>
                <w:rFonts w:hint="eastAsia" w:ascii="宋体" w:hAnsi="宋体" w:eastAsia="宋体" w:cs="宋体"/>
                <w:b w:val="0"/>
                <w:bCs/>
                <w:color w:val="auto"/>
                <w:sz w:val="21"/>
                <w:szCs w:val="21"/>
                <w:vertAlign w:val="superscript"/>
              </w:rPr>
            </w:pPr>
            <w:r>
              <w:rPr>
                <w:rFonts w:hint="eastAsia" w:ascii="宋体" w:hAnsi="宋体" w:eastAsia="宋体" w:cs="宋体"/>
                <w:b w:val="0"/>
                <w:bCs/>
                <w:color w:val="auto"/>
                <w:sz w:val="21"/>
                <w:szCs w:val="21"/>
              </w:rPr>
              <w:t>50m</w:t>
            </w:r>
            <w:r>
              <w:rPr>
                <w:rFonts w:hint="eastAsia" w:ascii="宋体" w:hAnsi="宋体" w:eastAsia="宋体" w:cs="宋体"/>
                <w:b w:val="0"/>
                <w:bCs/>
                <w:color w:val="auto"/>
                <w:sz w:val="21"/>
                <w:szCs w:val="21"/>
                <w:vertAlign w:val="superscript"/>
              </w:rPr>
              <w:t>3</w:t>
            </w:r>
          </w:p>
        </w:tc>
        <w:tc>
          <w:tcPr>
            <w:tcW w:w="2342"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2台</w:t>
            </w:r>
          </w:p>
        </w:tc>
        <w:tc>
          <w:tcPr>
            <w:tcW w:w="1234" w:type="dxa"/>
            <w:tcBorders>
              <w:right w:val="single" w:color="auto" w:sz="4" w:space="0"/>
            </w:tcBorders>
            <w:vAlign w:val="center"/>
          </w:tcPr>
          <w:p>
            <w:pPr>
              <w:pStyle w:val="5"/>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5"/>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19</w:t>
            </w:r>
          </w:p>
        </w:tc>
        <w:tc>
          <w:tcPr>
            <w:tcW w:w="1761" w:type="dxa"/>
            <w:vAlign w:val="center"/>
          </w:tcPr>
          <w:p>
            <w:pPr>
              <w:pStyle w:val="5"/>
              <w:spacing w:line="320" w:lineRule="exact"/>
              <w:ind w:firstLine="525" w:firstLineChars="25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冷凝水储罐</w:t>
            </w:r>
          </w:p>
        </w:tc>
        <w:tc>
          <w:tcPr>
            <w:tcW w:w="2309" w:type="dxa"/>
            <w:vAlign w:val="center"/>
          </w:tcPr>
          <w:p>
            <w:pPr>
              <w:pStyle w:val="5"/>
              <w:spacing w:line="320" w:lineRule="exact"/>
              <w:jc w:val="center"/>
              <w:rPr>
                <w:rFonts w:hint="eastAsia" w:ascii="宋体" w:hAnsi="宋体" w:eastAsia="宋体" w:cs="宋体"/>
                <w:b w:val="0"/>
                <w:bCs/>
                <w:color w:val="auto"/>
                <w:sz w:val="21"/>
                <w:szCs w:val="21"/>
                <w:vertAlign w:val="superscript"/>
              </w:rPr>
            </w:pPr>
            <w:r>
              <w:rPr>
                <w:rFonts w:hint="eastAsia" w:ascii="宋体" w:hAnsi="宋体" w:eastAsia="宋体" w:cs="宋体"/>
                <w:b w:val="0"/>
                <w:bCs/>
                <w:color w:val="auto"/>
                <w:sz w:val="21"/>
                <w:szCs w:val="21"/>
              </w:rPr>
              <w:t>30m</w:t>
            </w:r>
            <w:r>
              <w:rPr>
                <w:rFonts w:hint="eastAsia" w:ascii="宋体" w:hAnsi="宋体" w:eastAsia="宋体" w:cs="宋体"/>
                <w:b w:val="0"/>
                <w:bCs/>
                <w:color w:val="auto"/>
                <w:sz w:val="21"/>
                <w:szCs w:val="21"/>
                <w:vertAlign w:val="superscript"/>
              </w:rPr>
              <w:t>3</w:t>
            </w:r>
          </w:p>
        </w:tc>
        <w:tc>
          <w:tcPr>
            <w:tcW w:w="2342"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2台</w:t>
            </w:r>
          </w:p>
        </w:tc>
        <w:tc>
          <w:tcPr>
            <w:tcW w:w="1234" w:type="dxa"/>
            <w:tcBorders>
              <w:right w:val="single" w:color="auto" w:sz="4" w:space="0"/>
            </w:tcBorders>
            <w:vAlign w:val="center"/>
          </w:tcPr>
          <w:p>
            <w:pPr>
              <w:pStyle w:val="5"/>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5"/>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20</w:t>
            </w:r>
          </w:p>
        </w:tc>
        <w:tc>
          <w:tcPr>
            <w:tcW w:w="1761" w:type="dxa"/>
            <w:vAlign w:val="center"/>
          </w:tcPr>
          <w:p>
            <w:pPr>
              <w:pStyle w:val="5"/>
              <w:spacing w:line="320" w:lineRule="exact"/>
              <w:ind w:firstLine="525" w:firstLineChars="25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调配罐</w:t>
            </w:r>
          </w:p>
        </w:tc>
        <w:tc>
          <w:tcPr>
            <w:tcW w:w="2309"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30m</w:t>
            </w:r>
            <w:r>
              <w:rPr>
                <w:rFonts w:hint="eastAsia" w:ascii="宋体" w:hAnsi="宋体" w:eastAsia="宋体" w:cs="宋体"/>
                <w:b w:val="0"/>
                <w:bCs/>
                <w:color w:val="auto"/>
                <w:sz w:val="21"/>
                <w:szCs w:val="21"/>
                <w:vertAlign w:val="superscript"/>
              </w:rPr>
              <w:t>3</w:t>
            </w:r>
          </w:p>
        </w:tc>
        <w:tc>
          <w:tcPr>
            <w:tcW w:w="2342"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2台</w:t>
            </w:r>
          </w:p>
        </w:tc>
        <w:tc>
          <w:tcPr>
            <w:tcW w:w="1234" w:type="dxa"/>
            <w:tcBorders>
              <w:right w:val="single" w:color="auto" w:sz="4" w:space="0"/>
            </w:tcBorders>
            <w:vAlign w:val="center"/>
          </w:tcPr>
          <w:p>
            <w:pPr>
              <w:pStyle w:val="5"/>
              <w:spacing w:line="320" w:lineRule="exact"/>
              <w:ind w:left="0" w:leftChars="0" w:firstLine="0" w:firstLineChars="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应急收集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5"/>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21</w:t>
            </w:r>
          </w:p>
        </w:tc>
        <w:tc>
          <w:tcPr>
            <w:tcW w:w="1761" w:type="dxa"/>
            <w:vAlign w:val="center"/>
          </w:tcPr>
          <w:p>
            <w:pPr>
              <w:pStyle w:val="5"/>
              <w:spacing w:line="320" w:lineRule="exact"/>
              <w:ind w:firstLine="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有机载热体锅炉</w:t>
            </w:r>
          </w:p>
        </w:tc>
        <w:tc>
          <w:tcPr>
            <w:tcW w:w="2309"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YLL-3500MA</w:t>
            </w:r>
          </w:p>
        </w:tc>
        <w:tc>
          <w:tcPr>
            <w:tcW w:w="2342"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1台</w:t>
            </w:r>
          </w:p>
        </w:tc>
        <w:tc>
          <w:tcPr>
            <w:tcW w:w="1234" w:type="dxa"/>
            <w:tcBorders>
              <w:right w:val="single" w:color="auto" w:sz="4" w:space="0"/>
            </w:tcBorders>
            <w:vAlign w:val="center"/>
          </w:tcPr>
          <w:p>
            <w:pPr>
              <w:pStyle w:val="5"/>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5"/>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22</w:t>
            </w:r>
          </w:p>
        </w:tc>
        <w:tc>
          <w:tcPr>
            <w:tcW w:w="1761" w:type="dxa"/>
            <w:vAlign w:val="center"/>
          </w:tcPr>
          <w:p>
            <w:pPr>
              <w:pStyle w:val="5"/>
              <w:spacing w:line="320" w:lineRule="exact"/>
              <w:ind w:firstLine="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有机载热体锅炉(1#)</w:t>
            </w:r>
          </w:p>
        </w:tc>
        <w:tc>
          <w:tcPr>
            <w:tcW w:w="2309"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YLW-4200MA</w:t>
            </w:r>
          </w:p>
        </w:tc>
        <w:tc>
          <w:tcPr>
            <w:tcW w:w="2342"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1台</w:t>
            </w:r>
          </w:p>
        </w:tc>
        <w:tc>
          <w:tcPr>
            <w:tcW w:w="1234" w:type="dxa"/>
            <w:tcBorders>
              <w:right w:val="single" w:color="auto" w:sz="4" w:space="0"/>
            </w:tcBorders>
            <w:vAlign w:val="center"/>
          </w:tcPr>
          <w:p>
            <w:pPr>
              <w:pStyle w:val="5"/>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5"/>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23</w:t>
            </w:r>
          </w:p>
        </w:tc>
        <w:tc>
          <w:tcPr>
            <w:tcW w:w="1761" w:type="dxa"/>
            <w:vAlign w:val="center"/>
          </w:tcPr>
          <w:p>
            <w:pPr>
              <w:pStyle w:val="5"/>
              <w:spacing w:line="320" w:lineRule="exact"/>
              <w:ind w:firstLine="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有机载热体锅炉(2#)</w:t>
            </w:r>
          </w:p>
        </w:tc>
        <w:tc>
          <w:tcPr>
            <w:tcW w:w="2309"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YLW-4200MA</w:t>
            </w:r>
          </w:p>
        </w:tc>
        <w:tc>
          <w:tcPr>
            <w:tcW w:w="2342"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1台</w:t>
            </w:r>
          </w:p>
        </w:tc>
        <w:tc>
          <w:tcPr>
            <w:tcW w:w="1234" w:type="dxa"/>
            <w:tcBorders>
              <w:right w:val="single" w:color="auto" w:sz="4" w:space="0"/>
            </w:tcBorders>
            <w:vAlign w:val="center"/>
          </w:tcPr>
          <w:p>
            <w:pPr>
              <w:pStyle w:val="5"/>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5"/>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24</w:t>
            </w:r>
          </w:p>
        </w:tc>
        <w:tc>
          <w:tcPr>
            <w:tcW w:w="1761" w:type="dxa"/>
            <w:vAlign w:val="center"/>
          </w:tcPr>
          <w:p>
            <w:pPr>
              <w:pStyle w:val="5"/>
              <w:spacing w:line="320" w:lineRule="exact"/>
              <w:ind w:firstLine="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空气压缩机</w:t>
            </w:r>
          </w:p>
        </w:tc>
        <w:tc>
          <w:tcPr>
            <w:tcW w:w="2309"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63m</w:t>
            </w:r>
            <w:r>
              <w:rPr>
                <w:rFonts w:hint="eastAsia" w:ascii="宋体" w:hAnsi="宋体" w:eastAsia="宋体" w:cs="宋体"/>
                <w:b w:val="0"/>
                <w:bCs/>
                <w:color w:val="auto"/>
                <w:sz w:val="21"/>
                <w:szCs w:val="21"/>
                <w:vertAlign w:val="superscript"/>
              </w:rPr>
              <w:t>3</w:t>
            </w:r>
            <w:r>
              <w:rPr>
                <w:rFonts w:hint="eastAsia" w:ascii="宋体" w:hAnsi="宋体" w:eastAsia="宋体" w:cs="宋体"/>
                <w:b w:val="0"/>
                <w:bCs/>
                <w:color w:val="auto"/>
                <w:sz w:val="21"/>
                <w:szCs w:val="21"/>
              </w:rPr>
              <w:t>/min、0.7MPa</w:t>
            </w:r>
          </w:p>
        </w:tc>
        <w:tc>
          <w:tcPr>
            <w:tcW w:w="2342"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1台</w:t>
            </w:r>
          </w:p>
        </w:tc>
        <w:tc>
          <w:tcPr>
            <w:tcW w:w="1234" w:type="dxa"/>
            <w:tcBorders>
              <w:right w:val="single" w:color="auto" w:sz="4" w:space="0"/>
            </w:tcBorders>
            <w:vAlign w:val="center"/>
          </w:tcPr>
          <w:p>
            <w:pPr>
              <w:pStyle w:val="5"/>
              <w:spacing w:line="320" w:lineRule="exact"/>
              <w:jc w:val="center"/>
              <w:rPr>
                <w:rFonts w:hint="eastAsia" w:ascii="宋体" w:hAnsi="宋体" w:eastAsia="宋体" w:cs="宋体"/>
                <w:b w:val="0"/>
                <w:bCs/>
                <w:color w:val="auto"/>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762" w:type="dxa"/>
            <w:tcBorders>
              <w:left w:val="single" w:color="auto" w:sz="4" w:space="0"/>
            </w:tcBorders>
            <w:vAlign w:val="center"/>
          </w:tcPr>
          <w:p>
            <w:pPr>
              <w:pStyle w:val="5"/>
              <w:spacing w:line="320" w:lineRule="exact"/>
              <w:ind w:firstLine="0"/>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25</w:t>
            </w:r>
          </w:p>
        </w:tc>
        <w:tc>
          <w:tcPr>
            <w:tcW w:w="1761" w:type="dxa"/>
            <w:vAlign w:val="center"/>
          </w:tcPr>
          <w:p>
            <w:pPr>
              <w:pStyle w:val="5"/>
              <w:spacing w:line="320" w:lineRule="exact"/>
              <w:ind w:firstLine="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压缩空储罐</w:t>
            </w:r>
          </w:p>
        </w:tc>
        <w:tc>
          <w:tcPr>
            <w:tcW w:w="2309" w:type="dxa"/>
            <w:vAlign w:val="center"/>
          </w:tcPr>
          <w:p>
            <w:pPr>
              <w:pStyle w:val="5"/>
              <w:spacing w:line="320" w:lineRule="exact"/>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 xml:space="preserve">  1m</w:t>
            </w:r>
            <w:r>
              <w:rPr>
                <w:rFonts w:hint="eastAsia" w:ascii="宋体" w:hAnsi="宋体" w:eastAsia="宋体" w:cs="宋体"/>
                <w:b w:val="0"/>
                <w:bCs/>
                <w:color w:val="auto"/>
                <w:sz w:val="21"/>
                <w:szCs w:val="21"/>
                <w:vertAlign w:val="superscript"/>
              </w:rPr>
              <w:t>3</w:t>
            </w:r>
            <w:r>
              <w:rPr>
                <w:rFonts w:hint="eastAsia" w:ascii="宋体" w:hAnsi="宋体" w:eastAsia="宋体" w:cs="宋体"/>
                <w:b w:val="0"/>
                <w:bCs/>
                <w:color w:val="auto"/>
                <w:sz w:val="21"/>
                <w:szCs w:val="21"/>
              </w:rPr>
              <w:t>、0.7MPa</w:t>
            </w:r>
          </w:p>
        </w:tc>
        <w:tc>
          <w:tcPr>
            <w:tcW w:w="2342" w:type="dxa"/>
            <w:vAlign w:val="center"/>
          </w:tcPr>
          <w:p>
            <w:pPr>
              <w:pStyle w:val="5"/>
              <w:spacing w:line="320" w:lineRule="exact"/>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1台</w:t>
            </w:r>
          </w:p>
        </w:tc>
        <w:tc>
          <w:tcPr>
            <w:tcW w:w="1234" w:type="dxa"/>
            <w:tcBorders>
              <w:right w:val="single" w:color="auto" w:sz="4" w:space="0"/>
            </w:tcBorders>
            <w:vAlign w:val="center"/>
          </w:tcPr>
          <w:p>
            <w:pPr>
              <w:pStyle w:val="5"/>
              <w:spacing w:line="320" w:lineRule="exact"/>
              <w:jc w:val="center"/>
              <w:rPr>
                <w:rFonts w:hint="eastAsia" w:ascii="宋体" w:hAnsi="宋体" w:eastAsia="宋体" w:cs="宋体"/>
                <w:b w:val="0"/>
                <w:bCs/>
                <w:color w:val="auto"/>
                <w:sz w:val="21"/>
                <w:szCs w:val="21"/>
              </w:rPr>
            </w:pPr>
          </w:p>
        </w:tc>
      </w:tr>
    </w:tbl>
    <w:p>
      <w:pPr>
        <w:adjustRightInd w:val="0"/>
        <w:snapToGrid w:val="0"/>
        <w:spacing w:line="360" w:lineRule="auto"/>
        <w:jc w:val="center"/>
        <w:rPr>
          <w:rFonts w:hint="eastAsia" w:ascii="宋体" w:hAnsi="宋体" w:eastAsia="宋体" w:cs="宋体"/>
          <w:color w:val="auto"/>
          <w:sz w:val="28"/>
          <w:szCs w:val="28"/>
        </w:rPr>
      </w:pPr>
      <w:r>
        <w:rPr>
          <w:rFonts w:hint="eastAsia" w:ascii="宋体" w:hAnsi="宋体" w:eastAsia="宋体" w:cs="宋体"/>
          <w:b/>
          <w:bCs/>
          <w:color w:val="auto"/>
          <w:sz w:val="28"/>
        </w:rPr>
        <w:t>表</w:t>
      </w:r>
      <w:r>
        <w:rPr>
          <w:rFonts w:hint="eastAsia" w:cs="宋体"/>
          <w:b/>
          <w:bCs/>
          <w:color w:val="auto"/>
          <w:sz w:val="28"/>
          <w:lang w:val="en-US" w:eastAsia="zh-CN"/>
        </w:rPr>
        <w:t>3</w:t>
      </w:r>
      <w:r>
        <w:rPr>
          <w:rFonts w:hint="eastAsia" w:ascii="宋体" w:hAnsi="宋体" w:eastAsia="宋体" w:cs="宋体"/>
          <w:b/>
          <w:bCs/>
          <w:color w:val="auto"/>
          <w:sz w:val="28"/>
        </w:rPr>
        <w:t>-3 特种设备情况</w:t>
      </w:r>
    </w:p>
    <w:tbl>
      <w:tblPr>
        <w:tblStyle w:val="19"/>
        <w:tblW w:w="88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2777"/>
        <w:gridCol w:w="3262"/>
        <w:gridCol w:w="1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9" w:hRule="atLeast"/>
          <w:jc w:val="center"/>
        </w:trPr>
        <w:tc>
          <w:tcPr>
            <w:tcW w:w="1163" w:type="dxa"/>
            <w:vAlign w:val="center"/>
          </w:tcPr>
          <w:p>
            <w:pPr>
              <w:pStyle w:val="5"/>
              <w:spacing w:line="320" w:lineRule="exact"/>
              <w:ind w:firstLine="236" w:firstLineChars="98"/>
              <w:rPr>
                <w:rFonts w:hint="eastAsia" w:ascii="宋体" w:hAnsi="宋体" w:eastAsia="宋体" w:cs="宋体"/>
                <w:b/>
                <w:color w:val="auto"/>
                <w:szCs w:val="21"/>
              </w:rPr>
            </w:pPr>
            <w:r>
              <w:rPr>
                <w:rFonts w:hint="eastAsia" w:ascii="宋体" w:hAnsi="宋体" w:eastAsia="宋体" w:cs="宋体"/>
                <w:b/>
                <w:color w:val="auto"/>
                <w:szCs w:val="21"/>
              </w:rPr>
              <w:t>序号</w:t>
            </w:r>
          </w:p>
        </w:tc>
        <w:tc>
          <w:tcPr>
            <w:tcW w:w="2777" w:type="dxa"/>
            <w:vAlign w:val="center"/>
          </w:tcPr>
          <w:p>
            <w:pPr>
              <w:pStyle w:val="5"/>
              <w:spacing w:line="320" w:lineRule="exact"/>
              <w:ind w:firstLine="0"/>
              <w:jc w:val="center"/>
              <w:rPr>
                <w:rFonts w:hint="eastAsia" w:ascii="宋体" w:hAnsi="宋体" w:eastAsia="宋体" w:cs="宋体"/>
                <w:b/>
                <w:color w:val="auto"/>
                <w:szCs w:val="21"/>
              </w:rPr>
            </w:pPr>
            <w:r>
              <w:rPr>
                <w:rFonts w:hint="eastAsia" w:ascii="宋体" w:hAnsi="宋体" w:eastAsia="宋体" w:cs="宋体"/>
                <w:b/>
                <w:color w:val="auto"/>
                <w:szCs w:val="21"/>
              </w:rPr>
              <w:t>设备名称</w:t>
            </w:r>
          </w:p>
        </w:tc>
        <w:tc>
          <w:tcPr>
            <w:tcW w:w="3262" w:type="dxa"/>
            <w:vAlign w:val="center"/>
          </w:tcPr>
          <w:p>
            <w:pPr>
              <w:pStyle w:val="5"/>
              <w:spacing w:line="320" w:lineRule="exact"/>
              <w:jc w:val="center"/>
              <w:rPr>
                <w:rFonts w:hint="eastAsia" w:ascii="宋体" w:hAnsi="宋体" w:eastAsia="宋体" w:cs="宋体"/>
                <w:b/>
                <w:color w:val="auto"/>
                <w:szCs w:val="21"/>
              </w:rPr>
            </w:pPr>
            <w:r>
              <w:rPr>
                <w:rFonts w:hint="eastAsia" w:ascii="宋体" w:hAnsi="宋体" w:eastAsia="宋体" w:cs="宋体"/>
                <w:b/>
                <w:color w:val="auto"/>
                <w:szCs w:val="21"/>
              </w:rPr>
              <w:t>检测情况</w:t>
            </w:r>
          </w:p>
        </w:tc>
        <w:tc>
          <w:tcPr>
            <w:tcW w:w="1598" w:type="dxa"/>
            <w:vAlign w:val="center"/>
          </w:tcPr>
          <w:p>
            <w:pPr>
              <w:pStyle w:val="5"/>
              <w:spacing w:line="320" w:lineRule="exact"/>
              <w:jc w:val="center"/>
              <w:rPr>
                <w:rFonts w:hint="eastAsia" w:ascii="宋体" w:hAnsi="宋体" w:eastAsia="宋体" w:cs="宋体"/>
                <w:b/>
                <w:color w:val="auto"/>
                <w:szCs w:val="21"/>
                <w:vertAlign w:val="superscript"/>
              </w:rPr>
            </w:pPr>
            <w:r>
              <w:rPr>
                <w:rFonts w:hint="eastAsia" w:ascii="宋体" w:hAnsi="宋体" w:eastAsia="宋体" w:cs="宋体"/>
                <w:b/>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9" w:hRule="atLeast"/>
          <w:jc w:val="center"/>
        </w:trPr>
        <w:tc>
          <w:tcPr>
            <w:tcW w:w="1163" w:type="dxa"/>
            <w:vAlign w:val="top"/>
          </w:tcPr>
          <w:p>
            <w:pPr>
              <w:pStyle w:val="5"/>
              <w:spacing w:line="320" w:lineRule="exact"/>
              <w:rPr>
                <w:rFonts w:hint="eastAsia" w:ascii="宋体" w:hAnsi="宋体" w:eastAsia="宋体" w:cs="宋体"/>
                <w:color w:val="auto"/>
                <w:szCs w:val="21"/>
              </w:rPr>
            </w:pPr>
            <w:r>
              <w:rPr>
                <w:rFonts w:hint="eastAsia" w:ascii="宋体" w:hAnsi="宋体" w:eastAsia="宋体" w:cs="宋体"/>
                <w:color w:val="auto"/>
                <w:szCs w:val="21"/>
              </w:rPr>
              <w:t>1</w:t>
            </w:r>
          </w:p>
        </w:tc>
        <w:tc>
          <w:tcPr>
            <w:tcW w:w="2777" w:type="dxa"/>
            <w:vAlign w:val="top"/>
          </w:tcPr>
          <w:p>
            <w:pPr>
              <w:pStyle w:val="5"/>
              <w:spacing w:line="320" w:lineRule="exact"/>
              <w:ind w:firstLine="0"/>
              <w:jc w:val="center"/>
              <w:rPr>
                <w:rFonts w:hint="eastAsia" w:ascii="宋体" w:hAnsi="宋体" w:eastAsia="宋体" w:cs="宋体"/>
                <w:color w:val="auto"/>
                <w:szCs w:val="21"/>
              </w:rPr>
            </w:pPr>
            <w:r>
              <w:rPr>
                <w:rFonts w:hint="eastAsia" w:ascii="宋体" w:hAnsi="宋体" w:eastAsia="宋体" w:cs="宋体"/>
                <w:color w:val="auto"/>
                <w:szCs w:val="21"/>
              </w:rPr>
              <w:t>有机载热体锅炉（3#）</w:t>
            </w:r>
          </w:p>
          <w:p>
            <w:pPr>
              <w:pStyle w:val="5"/>
              <w:spacing w:line="320" w:lineRule="exact"/>
              <w:ind w:firstLine="0"/>
              <w:jc w:val="center"/>
              <w:rPr>
                <w:rFonts w:hint="eastAsia" w:ascii="宋体" w:hAnsi="宋体" w:eastAsia="宋体" w:cs="宋体"/>
                <w:color w:val="auto"/>
                <w:szCs w:val="21"/>
              </w:rPr>
            </w:pPr>
            <w:r>
              <w:rPr>
                <w:rFonts w:hint="eastAsia" w:ascii="宋体" w:hAnsi="宋体" w:eastAsia="宋体" w:cs="宋体"/>
                <w:color w:val="auto"/>
                <w:szCs w:val="21"/>
              </w:rPr>
              <w:t>YLL-3500MA</w:t>
            </w:r>
          </w:p>
        </w:tc>
        <w:tc>
          <w:tcPr>
            <w:tcW w:w="3262" w:type="dxa"/>
            <w:vAlign w:val="top"/>
          </w:tcPr>
          <w:p>
            <w:pPr>
              <w:pStyle w:val="5"/>
              <w:spacing w:line="320" w:lineRule="exact"/>
              <w:rPr>
                <w:rFonts w:hint="eastAsia" w:ascii="宋体" w:hAnsi="宋体" w:eastAsia="宋体" w:cs="宋体"/>
                <w:color w:val="auto"/>
                <w:szCs w:val="21"/>
              </w:rPr>
            </w:pPr>
          </w:p>
        </w:tc>
        <w:tc>
          <w:tcPr>
            <w:tcW w:w="1598" w:type="dxa"/>
            <w:vAlign w:val="top"/>
          </w:tcPr>
          <w:p>
            <w:pPr>
              <w:pStyle w:val="5"/>
              <w:spacing w:line="320" w:lineRule="exact"/>
              <w:ind w:firstLine="0"/>
              <w:rPr>
                <w:rFonts w:hint="eastAsia" w:ascii="宋体" w:hAnsi="宋体" w:eastAsia="宋体" w:cs="宋体"/>
                <w:color w:val="auto"/>
                <w:szCs w:val="21"/>
                <w:lang w:eastAsia="zh-CN"/>
              </w:rPr>
            </w:pPr>
            <w:r>
              <w:rPr>
                <w:rFonts w:hint="eastAsia" w:ascii="宋体" w:hAnsi="宋体" w:eastAsia="宋体" w:cs="宋体"/>
                <w:color w:val="auto"/>
                <w:szCs w:val="21"/>
                <w:lang w:eastAsia="zh-CN"/>
              </w:rPr>
              <w:t>报停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9" w:hRule="atLeast"/>
          <w:jc w:val="center"/>
        </w:trPr>
        <w:tc>
          <w:tcPr>
            <w:tcW w:w="1163" w:type="dxa"/>
            <w:vAlign w:val="top"/>
          </w:tcPr>
          <w:p>
            <w:pPr>
              <w:pStyle w:val="5"/>
              <w:spacing w:line="320" w:lineRule="exact"/>
              <w:rPr>
                <w:rFonts w:hint="eastAsia" w:ascii="宋体" w:hAnsi="宋体" w:eastAsia="宋体" w:cs="宋体"/>
                <w:color w:val="auto"/>
                <w:szCs w:val="21"/>
              </w:rPr>
            </w:pPr>
            <w:r>
              <w:rPr>
                <w:rFonts w:hint="eastAsia" w:ascii="宋体" w:hAnsi="宋体" w:eastAsia="宋体" w:cs="宋体"/>
                <w:color w:val="auto"/>
                <w:szCs w:val="21"/>
              </w:rPr>
              <w:t>2</w:t>
            </w:r>
          </w:p>
        </w:tc>
        <w:tc>
          <w:tcPr>
            <w:tcW w:w="2777" w:type="dxa"/>
            <w:vAlign w:val="top"/>
          </w:tcPr>
          <w:p>
            <w:pPr>
              <w:pStyle w:val="5"/>
              <w:spacing w:line="320" w:lineRule="exact"/>
              <w:ind w:firstLine="0"/>
              <w:jc w:val="center"/>
              <w:rPr>
                <w:rFonts w:hint="eastAsia" w:ascii="宋体" w:hAnsi="宋体" w:eastAsia="宋体" w:cs="宋体"/>
                <w:color w:val="auto"/>
                <w:szCs w:val="21"/>
              </w:rPr>
            </w:pPr>
            <w:r>
              <w:rPr>
                <w:rFonts w:hint="eastAsia" w:ascii="宋体" w:hAnsi="宋体" w:eastAsia="宋体" w:cs="宋体"/>
                <w:color w:val="auto"/>
                <w:szCs w:val="21"/>
              </w:rPr>
              <w:t>有机载热体锅炉（2#）</w:t>
            </w:r>
          </w:p>
          <w:p>
            <w:pPr>
              <w:pStyle w:val="5"/>
              <w:spacing w:line="320" w:lineRule="exact"/>
              <w:ind w:firstLine="0"/>
              <w:jc w:val="center"/>
              <w:rPr>
                <w:rFonts w:hint="eastAsia" w:ascii="宋体" w:hAnsi="宋体" w:eastAsia="宋体" w:cs="宋体"/>
                <w:color w:val="auto"/>
                <w:szCs w:val="21"/>
              </w:rPr>
            </w:pPr>
            <w:r>
              <w:rPr>
                <w:rFonts w:hint="eastAsia" w:ascii="宋体" w:hAnsi="宋体" w:eastAsia="宋体" w:cs="宋体"/>
                <w:color w:val="auto"/>
                <w:szCs w:val="21"/>
              </w:rPr>
              <w:t>YLW-4200MA</w:t>
            </w:r>
          </w:p>
        </w:tc>
        <w:tc>
          <w:tcPr>
            <w:tcW w:w="3262" w:type="dxa"/>
            <w:vAlign w:val="top"/>
          </w:tcPr>
          <w:p>
            <w:pPr>
              <w:pStyle w:val="5"/>
              <w:spacing w:line="320" w:lineRule="exact"/>
              <w:ind w:left="0" w:leftChars="0" w:right="0" w:rightChars="0" w:firstLine="480" w:firstLineChars="200"/>
              <w:rPr>
                <w:rFonts w:hint="eastAsia" w:ascii="宋体" w:hAnsi="宋体" w:eastAsia="宋体" w:cs="宋体"/>
                <w:color w:val="auto"/>
                <w:szCs w:val="21"/>
              </w:rPr>
            </w:pPr>
            <w:r>
              <w:rPr>
                <w:rFonts w:hint="eastAsia"/>
                <w:color w:val="auto"/>
                <w:szCs w:val="21"/>
                <w:lang w:eastAsia="zh-CN"/>
              </w:rPr>
              <w:t>已明确淘汰时间：</w:t>
            </w:r>
            <w:r>
              <w:rPr>
                <w:rFonts w:hint="eastAsia"/>
                <w:color w:val="auto"/>
                <w:szCs w:val="21"/>
                <w:lang w:val="en-US" w:eastAsia="zh-CN"/>
              </w:rPr>
              <w:t>2018年12月</w:t>
            </w:r>
          </w:p>
        </w:tc>
        <w:tc>
          <w:tcPr>
            <w:tcW w:w="1598" w:type="dxa"/>
            <w:vAlign w:val="top"/>
          </w:tcPr>
          <w:p>
            <w:pPr>
              <w:pStyle w:val="5"/>
              <w:spacing w:line="320" w:lineRule="exact"/>
              <w:ind w:firstLine="0"/>
              <w:rPr>
                <w:rFonts w:hint="eastAsia" w:ascii="宋体" w:hAnsi="宋体" w:eastAsia="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5" w:hRule="atLeast"/>
          <w:jc w:val="center"/>
        </w:trPr>
        <w:tc>
          <w:tcPr>
            <w:tcW w:w="1163" w:type="dxa"/>
            <w:vAlign w:val="top"/>
          </w:tcPr>
          <w:p>
            <w:pPr>
              <w:pStyle w:val="5"/>
              <w:spacing w:line="320" w:lineRule="exact"/>
              <w:rPr>
                <w:rFonts w:hint="eastAsia" w:ascii="宋体" w:hAnsi="宋体" w:eastAsia="宋体" w:cs="宋体"/>
                <w:color w:val="auto"/>
                <w:szCs w:val="21"/>
              </w:rPr>
            </w:pPr>
            <w:r>
              <w:rPr>
                <w:rFonts w:hint="eastAsia" w:ascii="宋体" w:hAnsi="宋体" w:eastAsia="宋体" w:cs="宋体"/>
                <w:color w:val="auto"/>
                <w:szCs w:val="21"/>
              </w:rPr>
              <w:t>3</w:t>
            </w:r>
          </w:p>
        </w:tc>
        <w:tc>
          <w:tcPr>
            <w:tcW w:w="2777" w:type="dxa"/>
            <w:vAlign w:val="top"/>
          </w:tcPr>
          <w:p>
            <w:pPr>
              <w:pStyle w:val="5"/>
              <w:spacing w:line="320" w:lineRule="exact"/>
              <w:ind w:firstLine="0"/>
              <w:jc w:val="center"/>
              <w:rPr>
                <w:rFonts w:hint="eastAsia" w:ascii="宋体" w:hAnsi="宋体" w:eastAsia="宋体" w:cs="宋体"/>
                <w:color w:val="auto"/>
                <w:szCs w:val="21"/>
              </w:rPr>
            </w:pPr>
            <w:r>
              <w:rPr>
                <w:rFonts w:hint="eastAsia" w:ascii="宋体" w:hAnsi="宋体" w:eastAsia="宋体" w:cs="宋体"/>
                <w:color w:val="auto"/>
                <w:szCs w:val="21"/>
              </w:rPr>
              <w:t>有机载热体锅（1#）</w:t>
            </w:r>
          </w:p>
          <w:p>
            <w:pPr>
              <w:pStyle w:val="5"/>
              <w:spacing w:line="320" w:lineRule="exact"/>
              <w:ind w:firstLine="0"/>
              <w:jc w:val="center"/>
              <w:rPr>
                <w:rFonts w:hint="eastAsia" w:ascii="宋体" w:hAnsi="宋体" w:eastAsia="宋体" w:cs="宋体"/>
                <w:color w:val="auto"/>
                <w:szCs w:val="21"/>
              </w:rPr>
            </w:pPr>
            <w:r>
              <w:rPr>
                <w:rFonts w:hint="eastAsia" w:ascii="宋体" w:hAnsi="宋体" w:eastAsia="宋体" w:cs="宋体"/>
                <w:color w:val="auto"/>
                <w:szCs w:val="21"/>
              </w:rPr>
              <w:t>YLL-4200MA</w:t>
            </w:r>
          </w:p>
        </w:tc>
        <w:tc>
          <w:tcPr>
            <w:tcW w:w="3262" w:type="dxa"/>
            <w:vAlign w:val="top"/>
          </w:tcPr>
          <w:p>
            <w:pPr>
              <w:pStyle w:val="5"/>
              <w:spacing w:line="320" w:lineRule="exact"/>
              <w:ind w:left="0" w:leftChars="0" w:right="0" w:rightChars="0" w:firstLine="480" w:firstLineChars="200"/>
              <w:rPr>
                <w:rFonts w:hint="eastAsia" w:ascii="宋体" w:hAnsi="宋体" w:eastAsia="宋体" w:cs="宋体"/>
                <w:color w:val="auto"/>
                <w:szCs w:val="21"/>
              </w:rPr>
            </w:pPr>
            <w:r>
              <w:rPr>
                <w:rFonts w:hint="eastAsia"/>
                <w:color w:val="auto"/>
                <w:szCs w:val="21"/>
                <w:lang w:eastAsia="zh-CN"/>
              </w:rPr>
              <w:t>已明确淘汰时间：</w:t>
            </w:r>
            <w:r>
              <w:rPr>
                <w:rFonts w:hint="eastAsia"/>
                <w:color w:val="auto"/>
                <w:szCs w:val="21"/>
                <w:lang w:val="en-US" w:eastAsia="zh-CN"/>
              </w:rPr>
              <w:t>2018年12月</w:t>
            </w:r>
          </w:p>
        </w:tc>
        <w:tc>
          <w:tcPr>
            <w:tcW w:w="1598" w:type="dxa"/>
            <w:vAlign w:val="top"/>
          </w:tcPr>
          <w:p>
            <w:pPr>
              <w:pStyle w:val="5"/>
              <w:spacing w:line="320" w:lineRule="exact"/>
              <w:ind w:firstLine="0"/>
              <w:rPr>
                <w:rFonts w:hint="eastAsia" w:ascii="宋体" w:hAnsi="宋体" w:eastAsia="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exact"/>
          <w:jc w:val="center"/>
        </w:trPr>
        <w:tc>
          <w:tcPr>
            <w:tcW w:w="1163" w:type="dxa"/>
            <w:vAlign w:val="top"/>
          </w:tcPr>
          <w:p>
            <w:pPr>
              <w:pStyle w:val="5"/>
              <w:spacing w:line="320" w:lineRule="exact"/>
              <w:rPr>
                <w:rFonts w:hint="eastAsia" w:ascii="宋体" w:hAnsi="宋体" w:eastAsia="宋体" w:cs="宋体"/>
                <w:color w:val="auto"/>
                <w:szCs w:val="21"/>
              </w:rPr>
            </w:pPr>
            <w:r>
              <w:rPr>
                <w:rFonts w:hint="eastAsia" w:ascii="宋体" w:hAnsi="宋体" w:eastAsia="宋体" w:cs="宋体"/>
                <w:color w:val="auto"/>
                <w:szCs w:val="21"/>
              </w:rPr>
              <w:t>4</w:t>
            </w:r>
          </w:p>
        </w:tc>
        <w:tc>
          <w:tcPr>
            <w:tcW w:w="2777" w:type="dxa"/>
            <w:vAlign w:val="top"/>
          </w:tcPr>
          <w:p>
            <w:pPr>
              <w:spacing w:line="440" w:lineRule="exact"/>
              <w:ind w:firstLine="573"/>
              <w:rPr>
                <w:rFonts w:hint="eastAsia" w:ascii="宋体" w:hAnsi="宋体" w:eastAsia="宋体" w:cs="宋体"/>
                <w:color w:val="auto"/>
                <w:szCs w:val="21"/>
              </w:rPr>
            </w:pPr>
            <w:r>
              <w:rPr>
                <w:rFonts w:hint="eastAsia" w:ascii="宋体" w:hAnsi="宋体" w:eastAsia="宋体" w:cs="宋体"/>
                <w:color w:val="auto"/>
                <w:szCs w:val="21"/>
              </w:rPr>
              <w:t>压缩空储罐</w:t>
            </w:r>
          </w:p>
          <w:p>
            <w:pPr>
              <w:pStyle w:val="5"/>
              <w:spacing w:line="320" w:lineRule="exact"/>
              <w:ind w:firstLine="0"/>
              <w:jc w:val="center"/>
              <w:rPr>
                <w:rFonts w:hint="eastAsia" w:ascii="宋体" w:hAnsi="宋体" w:eastAsia="宋体" w:cs="宋体"/>
                <w:color w:val="auto"/>
                <w:szCs w:val="21"/>
              </w:rPr>
            </w:pPr>
          </w:p>
        </w:tc>
        <w:tc>
          <w:tcPr>
            <w:tcW w:w="3262" w:type="dxa"/>
            <w:vAlign w:val="top"/>
          </w:tcPr>
          <w:p>
            <w:pPr>
              <w:pStyle w:val="5"/>
              <w:spacing w:line="320" w:lineRule="exact"/>
              <w:rPr>
                <w:rFonts w:hint="eastAsia" w:ascii="宋体" w:hAnsi="宋体" w:eastAsia="宋体" w:cs="宋体"/>
                <w:color w:val="auto"/>
                <w:szCs w:val="21"/>
              </w:rPr>
            </w:pPr>
            <w:r>
              <w:rPr>
                <w:rFonts w:hint="eastAsia" w:ascii="宋体" w:hAnsi="宋体" w:eastAsia="宋体" w:cs="宋体"/>
                <w:color w:val="auto"/>
                <w:sz w:val="21"/>
                <w:szCs w:val="21"/>
                <w:highlight w:val="none"/>
                <w:lang w:eastAsia="zh-CN"/>
              </w:rPr>
              <w:t>容积</w:t>
            </w:r>
            <w:r>
              <w:rPr>
                <w:rFonts w:hint="eastAsia" w:ascii="宋体" w:hAnsi="宋体" w:eastAsia="宋体" w:cs="宋体"/>
                <w:color w:val="auto"/>
                <w:sz w:val="21"/>
                <w:szCs w:val="21"/>
                <w:highlight w:val="none"/>
                <w:lang w:val="en-US" w:eastAsia="zh-CN"/>
              </w:rPr>
              <w:t>1m</w:t>
            </w:r>
            <w:r>
              <w:rPr>
                <w:rFonts w:hint="eastAsia" w:ascii="宋体" w:hAnsi="宋体" w:eastAsia="宋体" w:cs="宋体"/>
                <w:color w:val="auto"/>
                <w:sz w:val="21"/>
                <w:szCs w:val="21"/>
                <w:highlight w:val="none"/>
                <w:vertAlign w:val="superscript"/>
                <w:lang w:val="en-US" w:eastAsia="zh-CN"/>
              </w:rPr>
              <w:t>3</w:t>
            </w:r>
            <w:r>
              <w:rPr>
                <w:rFonts w:hint="eastAsia" w:ascii="宋体" w:hAnsi="宋体" w:eastAsia="宋体" w:cs="宋体"/>
                <w:color w:val="auto"/>
                <w:sz w:val="21"/>
                <w:szCs w:val="21"/>
                <w:highlight w:val="none"/>
                <w:vertAlign w:val="baseline"/>
                <w:lang w:val="en-US" w:eastAsia="zh-CN"/>
              </w:rPr>
              <w:t>、工作压力0.84MPa</w:t>
            </w:r>
          </w:p>
        </w:tc>
        <w:tc>
          <w:tcPr>
            <w:tcW w:w="1598" w:type="dxa"/>
            <w:vAlign w:val="top"/>
          </w:tcPr>
          <w:p>
            <w:pPr>
              <w:pStyle w:val="5"/>
              <w:spacing w:line="320" w:lineRule="exact"/>
              <w:ind w:left="0" w:leftChars="0" w:firstLine="0" w:firstLineChars="0"/>
              <w:rPr>
                <w:rFonts w:hint="eastAsia" w:ascii="宋体" w:hAnsi="宋体" w:eastAsia="宋体" w:cs="宋体"/>
                <w:color w:val="auto"/>
                <w:szCs w:val="21"/>
              </w:rPr>
            </w:pPr>
            <w:r>
              <w:rPr>
                <w:rFonts w:hint="eastAsia" w:ascii="宋体" w:hAnsi="宋体" w:eastAsia="宋体" w:cs="宋体"/>
                <w:color w:val="auto"/>
                <w:szCs w:val="21"/>
              </w:rPr>
              <w:t>简单压力容器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jc w:val="center"/>
        </w:trPr>
        <w:tc>
          <w:tcPr>
            <w:tcW w:w="1163" w:type="dxa"/>
            <w:vAlign w:val="top"/>
          </w:tcPr>
          <w:p>
            <w:pPr>
              <w:pStyle w:val="5"/>
              <w:spacing w:line="320" w:lineRule="exac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2777" w:type="dxa"/>
            <w:vAlign w:val="top"/>
          </w:tcPr>
          <w:p>
            <w:pPr>
              <w:pStyle w:val="5"/>
              <w:spacing w:line="320" w:lineRule="exact"/>
              <w:ind w:firstLine="0" w:firstLineChars="0"/>
              <w:jc w:val="center"/>
              <w:rPr>
                <w:rFonts w:hint="eastAsia" w:ascii="宋体" w:hAnsi="宋体" w:eastAsia="宋体" w:cs="宋体"/>
                <w:color w:val="auto"/>
                <w:szCs w:val="21"/>
              </w:rPr>
            </w:pPr>
            <w:r>
              <w:rPr>
                <w:rFonts w:hint="eastAsia" w:ascii="宋体" w:hAnsi="宋体" w:eastAsia="宋体" w:cs="宋体"/>
                <w:color w:val="auto"/>
                <w:sz w:val="21"/>
                <w:szCs w:val="21"/>
                <w:lang w:eastAsia="zh-CN"/>
              </w:rPr>
              <w:t>叉车</w:t>
            </w:r>
          </w:p>
        </w:tc>
        <w:tc>
          <w:tcPr>
            <w:tcW w:w="3262" w:type="dxa"/>
            <w:vAlign w:val="top"/>
          </w:tcPr>
          <w:p>
            <w:pPr>
              <w:pStyle w:val="5"/>
              <w:spacing w:line="320" w:lineRule="exact"/>
              <w:ind w:firstLine="420" w:firstLineChars="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lang w:val="en-US" w:eastAsia="zh-CN"/>
              </w:rPr>
              <w:t>2台</w:t>
            </w:r>
          </w:p>
        </w:tc>
        <w:tc>
          <w:tcPr>
            <w:tcW w:w="1598" w:type="dxa"/>
            <w:vAlign w:val="top"/>
          </w:tcPr>
          <w:p>
            <w:pPr>
              <w:pStyle w:val="5"/>
              <w:spacing w:line="320" w:lineRule="exact"/>
              <w:ind w:firstLine="0"/>
              <w:rPr>
                <w:rFonts w:hint="eastAsia" w:ascii="宋体" w:hAnsi="宋体" w:eastAsia="宋体" w:cs="宋体"/>
                <w:color w:val="auto"/>
                <w:szCs w:val="21"/>
              </w:rPr>
            </w:pPr>
          </w:p>
        </w:tc>
      </w:tr>
    </w:tbl>
    <w:p>
      <w:pPr>
        <w:pStyle w:val="4"/>
        <w:rPr>
          <w:rFonts w:hint="eastAsia"/>
        </w:rPr>
      </w:pPr>
      <w:bookmarkStart w:id="49" w:name="_Toc16016"/>
      <w:r>
        <w:rPr>
          <w:rFonts w:hint="eastAsia"/>
          <w:lang w:val="en-US" w:eastAsia="zh-CN"/>
        </w:rPr>
        <w:t>3.1.2</w:t>
      </w:r>
      <w:r>
        <w:rPr>
          <w:rFonts w:hint="eastAsia"/>
        </w:rPr>
        <w:t>产品方案</w:t>
      </w:r>
      <w:bookmarkEnd w:id="49"/>
    </w:p>
    <w:p>
      <w:pPr>
        <w:pStyle w:val="6"/>
        <w:spacing w:before="10"/>
        <w:ind w:firstLine="480" w:firstLineChars="200"/>
        <w:rPr>
          <w:rFonts w:hint="eastAsia" w:ascii="宋体" w:hAnsi="宋体" w:eastAsia="宋体" w:cs="宋体"/>
          <w:sz w:val="24"/>
          <w:szCs w:val="24"/>
        </w:rPr>
      </w:pPr>
      <w:r>
        <w:rPr>
          <w:rFonts w:hint="eastAsia" w:ascii="宋体" w:hAnsi="宋体" w:eastAsia="宋体" w:cs="宋体"/>
          <w:color w:val="auto"/>
          <w:sz w:val="24"/>
          <w:szCs w:val="24"/>
        </w:rPr>
        <w:t>年生产NaHS7000吨、硫化钠4300吨</w:t>
      </w:r>
    </w:p>
    <w:p>
      <w:pPr>
        <w:pStyle w:val="4"/>
        <w:rPr>
          <w:rFonts w:hint="eastAsia"/>
        </w:rPr>
      </w:pPr>
      <w:bookmarkStart w:id="50" w:name="_Toc7606"/>
      <w:bookmarkStart w:id="51" w:name="_Toc14554"/>
      <w:r>
        <w:rPr>
          <w:rFonts w:hint="eastAsia"/>
        </w:rPr>
        <w:t>3.1.</w:t>
      </w:r>
      <w:r>
        <w:rPr>
          <w:rFonts w:hint="eastAsia"/>
          <w:lang w:val="en-US" w:eastAsia="zh-CN"/>
        </w:rPr>
        <w:t>3</w:t>
      </w:r>
      <w:r>
        <w:rPr>
          <w:rFonts w:hint="eastAsia"/>
        </w:rPr>
        <w:t xml:space="preserve"> 地形地貌</w:t>
      </w:r>
      <w:bookmarkEnd w:id="50"/>
      <w:bookmarkEnd w:id="51"/>
    </w:p>
    <w:p>
      <w:pPr>
        <w:adjustRightInd w:val="0"/>
        <w:snapToGrid w:val="0"/>
        <w:spacing w:line="480" w:lineRule="exact"/>
        <w:ind w:firstLine="540" w:firstLineChars="225"/>
        <w:rPr>
          <w:rFonts w:hint="eastAsia" w:ascii="宋体" w:hAnsi="宋体" w:eastAsia="宋体" w:cs="宋体"/>
          <w:color w:val="auto"/>
          <w:sz w:val="24"/>
          <w:szCs w:val="24"/>
        </w:rPr>
      </w:pPr>
      <w:r>
        <w:rPr>
          <w:rFonts w:hint="eastAsia" w:ascii="宋体" w:hAnsi="宋体" w:eastAsia="宋体" w:cs="宋体"/>
          <w:color w:val="auto"/>
          <w:sz w:val="24"/>
          <w:szCs w:val="24"/>
        </w:rPr>
        <w:t>1）地理位置</w:t>
      </w:r>
    </w:p>
    <w:p>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湖口县东邻彭泽县，南接都昌县，西临鄱阳湖，与星子县、九江市隔湖相望，北濒长江。西距九江市区26km，南距省会南昌市150km，水陆交通便利，与南京、景德镇均有国道和高速公路相通，是江西省的北部门户。</w:t>
      </w:r>
    </w:p>
    <w:p>
      <w:pPr>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金砂湾工业园位于湖口县城东北部，紧靠长江，沿江拥有10多公里的长江岸线，距县城10km。本企业位于工业园的西部，由工业园大道和江新造船厂区道路可以到达。</w:t>
      </w:r>
    </w:p>
    <w:p>
      <w:pPr>
        <w:adjustRightInd w:val="0"/>
        <w:snapToGrid w:val="0"/>
        <w:spacing w:line="480" w:lineRule="exact"/>
        <w:ind w:firstLine="540" w:firstLineChars="225"/>
        <w:rPr>
          <w:rFonts w:hint="eastAsia" w:ascii="宋体" w:hAnsi="宋体" w:eastAsia="宋体" w:cs="宋体"/>
          <w:color w:val="auto"/>
          <w:sz w:val="24"/>
          <w:szCs w:val="24"/>
        </w:rPr>
      </w:pPr>
      <w:r>
        <w:rPr>
          <w:rFonts w:hint="eastAsia" w:ascii="宋体" w:hAnsi="宋体" w:eastAsia="宋体" w:cs="宋体"/>
          <w:color w:val="auto"/>
          <w:sz w:val="24"/>
          <w:szCs w:val="24"/>
        </w:rPr>
        <w:t>2）自然条件</w:t>
      </w:r>
    </w:p>
    <w:p>
      <w:pPr>
        <w:adjustRightInd w:val="0"/>
        <w:snapToGrid w:val="0"/>
        <w:spacing w:line="480" w:lineRule="exact"/>
        <w:ind w:firstLine="540" w:firstLineChars="225"/>
        <w:rPr>
          <w:rFonts w:hint="eastAsia" w:ascii="宋体" w:hAnsi="宋体" w:eastAsia="宋体" w:cs="宋体"/>
          <w:color w:val="auto"/>
          <w:sz w:val="24"/>
          <w:szCs w:val="24"/>
        </w:rPr>
      </w:pPr>
      <w:r>
        <w:rPr>
          <w:rFonts w:hint="eastAsia" w:ascii="宋体" w:hAnsi="宋体" w:eastAsia="宋体" w:cs="宋体"/>
          <w:color w:val="auto"/>
          <w:sz w:val="24"/>
          <w:szCs w:val="24"/>
        </w:rPr>
        <w:t>（1）地形、地貌</w:t>
      </w:r>
    </w:p>
    <w:p>
      <w:pPr>
        <w:spacing w:line="480" w:lineRule="exact"/>
        <w:ind w:firstLine="480" w:firstLineChars="200"/>
        <w:rPr>
          <w:rFonts w:hint="eastAsia" w:ascii="宋体" w:hAnsi="宋体" w:eastAsia="宋体" w:cs="宋体"/>
          <w:color w:val="auto"/>
          <w:sz w:val="24"/>
          <w:szCs w:val="24"/>
        </w:rPr>
      </w:pPr>
      <w:bookmarkStart w:id="52" w:name="_Toc162146336"/>
      <w:r>
        <w:rPr>
          <w:rFonts w:hint="eastAsia" w:ascii="宋体" w:hAnsi="宋体" w:eastAsia="宋体" w:cs="宋体"/>
          <w:color w:val="auto"/>
          <w:sz w:val="24"/>
          <w:szCs w:val="24"/>
        </w:rPr>
        <w:t>湖口县处于淮阳山字型构造的前弧地带，境内地貌较复杂，地形变化大，襟江带湖，山地、丘陵、平原、江湖皆备，相间分布，以山地、丘陵居多。厂区所在地属丘陵地貌。</w:t>
      </w:r>
    </w:p>
    <w:p>
      <w:pPr>
        <w:adjustRightInd w:val="0"/>
        <w:snapToGrid w:val="0"/>
        <w:spacing w:line="480" w:lineRule="exact"/>
        <w:ind w:firstLine="540" w:firstLineChars="225"/>
        <w:rPr>
          <w:rFonts w:hint="eastAsia" w:ascii="宋体" w:hAnsi="宋体" w:eastAsia="宋体" w:cs="宋体"/>
          <w:color w:val="auto"/>
          <w:sz w:val="24"/>
          <w:szCs w:val="24"/>
        </w:rPr>
      </w:pPr>
      <w:r>
        <w:rPr>
          <w:rFonts w:hint="eastAsia" w:ascii="宋体" w:hAnsi="宋体" w:eastAsia="宋体" w:cs="宋体"/>
          <w:color w:val="auto"/>
          <w:sz w:val="24"/>
          <w:szCs w:val="24"/>
        </w:rPr>
        <w:t>（2）地质、地震</w:t>
      </w:r>
      <w:bookmarkEnd w:id="52"/>
    </w:p>
    <w:p>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1、地质</w:t>
      </w:r>
    </w:p>
    <w:p>
      <w:pPr>
        <w:spacing w:line="460" w:lineRule="exact"/>
        <w:ind w:firstLine="480" w:firstLineChars="200"/>
        <w:rPr>
          <w:rFonts w:hint="eastAsia" w:ascii="宋体" w:hAnsi="宋体" w:eastAsia="宋体" w:cs="宋体"/>
          <w:color w:val="auto"/>
          <w:sz w:val="24"/>
          <w:szCs w:val="24"/>
        </w:rPr>
      </w:pPr>
      <w:r>
        <w:rPr>
          <w:rFonts w:hint="eastAsia" w:ascii="宋体" w:hAnsi="宋体" w:eastAsia="宋体" w:cs="宋体"/>
          <w:bCs/>
          <w:color w:val="auto"/>
          <w:sz w:val="24"/>
          <w:szCs w:val="24"/>
        </w:rPr>
        <w:t>企业场地</w:t>
      </w:r>
      <w:r>
        <w:rPr>
          <w:rFonts w:hint="eastAsia" w:ascii="宋体" w:hAnsi="宋体" w:eastAsia="宋体" w:cs="宋体"/>
          <w:color w:val="auto"/>
          <w:sz w:val="24"/>
          <w:szCs w:val="24"/>
        </w:rPr>
        <w:t>处于长江南岸鄱阳湖冲击平原边缘，稳定性较好。</w:t>
      </w:r>
      <w:r>
        <w:rPr>
          <w:rFonts w:hint="eastAsia" w:ascii="宋体" w:hAnsi="宋体" w:eastAsia="宋体" w:cs="宋体"/>
          <w:bCs/>
          <w:color w:val="auto"/>
          <w:sz w:val="24"/>
          <w:szCs w:val="24"/>
        </w:rPr>
        <w:t>地层主要是晚更新统中细砂，砂质份以石英为主，厚度大于10m。</w:t>
      </w:r>
    </w:p>
    <w:p>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2、地震基本烈度</w:t>
      </w:r>
    </w:p>
    <w:p>
      <w:pPr>
        <w:pStyle w:val="8"/>
        <w:adjustRightInd w:val="0"/>
        <w:snapToGrid w:val="0"/>
        <w:spacing w:line="480" w:lineRule="exact"/>
        <w:ind w:firstLine="555"/>
        <w:rPr>
          <w:rFonts w:hint="eastAsia" w:ascii="宋体" w:hAnsi="宋体" w:eastAsia="宋体" w:cs="宋体"/>
          <w:color w:val="auto"/>
          <w:sz w:val="24"/>
          <w:szCs w:val="24"/>
        </w:rPr>
      </w:pPr>
      <w:bookmarkStart w:id="53" w:name="_Toc139879643"/>
      <w:r>
        <w:rPr>
          <w:rFonts w:hint="eastAsia" w:ascii="宋体" w:hAnsi="宋体" w:eastAsia="宋体" w:cs="宋体"/>
          <w:color w:val="auto"/>
          <w:sz w:val="24"/>
          <w:szCs w:val="24"/>
        </w:rPr>
        <w:t>根据《中国地震</w:t>
      </w:r>
      <w:r>
        <w:rPr>
          <w:rFonts w:hint="eastAsia" w:ascii="宋体" w:hAnsi="宋体" w:eastAsia="宋体" w:cs="宋体"/>
          <w:color w:val="auto"/>
          <w:sz w:val="24"/>
          <w:szCs w:val="24"/>
          <w:lang w:eastAsia="zh-CN"/>
        </w:rPr>
        <w:t>动参数</w:t>
      </w:r>
      <w:r>
        <w:rPr>
          <w:rFonts w:hint="eastAsia" w:ascii="宋体" w:hAnsi="宋体" w:eastAsia="宋体" w:cs="宋体"/>
          <w:color w:val="auto"/>
          <w:sz w:val="24"/>
          <w:szCs w:val="24"/>
        </w:rPr>
        <w:t>区划图》（GB18306-2001），该企业所在区域抗震烈度为6度。</w:t>
      </w:r>
    </w:p>
    <w:p>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（3）气象条件</w:t>
      </w:r>
    </w:p>
    <w:p>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湖口县属北亚热带温润气候区，热量丰富，四季分明，年平均气温17.4℃,稳定在10℃以上的持续天数230-244天，7-8月平均气温28.8℃，极端最高气温为40.3℃（1959年8月23日），1月平均气温4.2℃，极端最低气温为-10℃（1969年2月6日）。</w:t>
      </w:r>
    </w:p>
    <w:p>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湖口县全年主导风向为东北风，夏季主导风向为东南风。全年平均风速为每秒2.4m（二级）。盛夏季节常有雷雨大风。历史上最大的东北大风暴是10级，风速28m/s（1965年11月16日）；历史上最大的东南雷雨大风为12级，风速34m/s（1973年8月3日）。</w:t>
      </w:r>
    </w:p>
    <w:p>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湖口县年平均降雨量为1398.7mm。降雨量集中于4-6月，占年降雨量的45%。年降雨量最大为1883.2mm。</w:t>
      </w:r>
    </w:p>
    <w:p>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湖口县日照特征为夏秋日照多，春冬日照少，总日照量较为充足。全年实际平均日照为1878.3小时，日照百分率为42%。8月日照数最高平均251.9小时。2月日照时数最少平均106.6小时。年日照时数最多为2302.3小时（1963年）；年日照时数最少为1444.3小时（1981年）。</w:t>
      </w:r>
    </w:p>
    <w:p>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（4）水文情况</w:t>
      </w:r>
    </w:p>
    <w:p>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企业所在地北临长江。长江自湖北省滔滔西来，与鄱阳湖会合于湖口，经湖口、彭泽后至彭泽马当出境，沿境151km。长江每年6月至9月为丰水期。1998年长江湖口站水位高达22.59米，超过历史最高水位0.79米。</w:t>
      </w:r>
    </w:p>
    <w:p>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本企业场地标高为29-30m。</w:t>
      </w:r>
    </w:p>
    <w:p>
      <w:pPr>
        <w:pStyle w:val="4"/>
        <w:rPr>
          <w:rFonts w:hint="eastAsia"/>
        </w:rPr>
      </w:pPr>
      <w:bookmarkStart w:id="54" w:name="_Toc23479"/>
      <w:r>
        <w:rPr>
          <w:rFonts w:hint="eastAsia"/>
        </w:rPr>
        <w:t>3.1.</w:t>
      </w:r>
      <w:r>
        <w:rPr>
          <w:rFonts w:hint="eastAsia"/>
          <w:lang w:val="en-US" w:eastAsia="zh-CN"/>
        </w:rPr>
        <w:t>4</w:t>
      </w:r>
      <w:r>
        <w:rPr>
          <w:rFonts w:hint="eastAsia"/>
        </w:rPr>
        <w:t xml:space="preserve"> 环境功能区划分</w:t>
      </w:r>
      <w:bookmarkEnd w:id="54"/>
    </w:p>
    <w:p>
      <w:pPr>
        <w:pStyle w:val="6"/>
        <w:pageBreakBefore w:val="0"/>
        <w:widowControl w:val="0"/>
        <w:kinsoku/>
        <w:wordWrap/>
        <w:overflowPunct/>
        <w:topLinePunct w:val="0"/>
        <w:autoSpaceDE w:val="0"/>
        <w:autoSpaceDN w:val="0"/>
        <w:bidi w:val="0"/>
        <w:adjustRightInd/>
        <w:snapToGrid/>
        <w:spacing w:before="178" w:line="360" w:lineRule="auto"/>
        <w:ind w:left="0" w:right="0" w:firstLine="480"/>
        <w:jc w:val="both"/>
        <w:textAlignment w:val="auto"/>
        <w:rPr>
          <w:rFonts w:hint="eastAsia" w:ascii="宋体" w:hAnsi="宋体" w:eastAsia="宋体" w:cs="宋体"/>
          <w:b w:val="0"/>
          <w:bCs w:val="0"/>
          <w:sz w:val="24"/>
          <w:szCs w:val="24"/>
        </w:rPr>
      </w:pPr>
      <w:bookmarkStart w:id="55" w:name="_Toc30212"/>
      <w:bookmarkStart w:id="56" w:name="_Toc2362"/>
      <w:r>
        <w:rPr>
          <w:rFonts w:hint="eastAsia" w:ascii="宋体" w:hAnsi="宋体" w:eastAsia="宋体" w:cs="宋体"/>
          <w:b w:val="0"/>
          <w:bCs w:val="0"/>
          <w:spacing w:val="16"/>
          <w:sz w:val="24"/>
          <w:szCs w:val="24"/>
        </w:rPr>
        <w:t>本项目所在区域环境空气质量功能区划为《环境空气质量标准》</w:t>
      </w:r>
      <w:r>
        <w:rPr>
          <w:rFonts w:hint="eastAsia" w:ascii="宋体" w:hAnsi="宋体" w:eastAsia="宋体" w:cs="宋体"/>
          <w:b w:val="0"/>
          <w:bCs w:val="0"/>
          <w:sz w:val="24"/>
          <w:szCs w:val="24"/>
        </w:rPr>
        <w:t>（</w:t>
      </w:r>
      <w:r>
        <w:rPr>
          <w:rFonts w:hint="eastAsia" w:ascii="宋体" w:hAnsi="宋体" w:eastAsia="宋体" w:cs="宋体"/>
          <w:b w:val="0"/>
          <w:bCs w:val="0"/>
          <w:spacing w:val="-100"/>
          <w:sz w:val="24"/>
          <w:szCs w:val="24"/>
        </w:rPr>
        <w:t xml:space="preserve"> </w:t>
      </w:r>
      <w:r>
        <w:rPr>
          <w:rFonts w:hint="eastAsia" w:ascii="宋体" w:hAnsi="宋体" w:eastAsia="宋体" w:cs="宋体"/>
          <w:b w:val="0"/>
          <w:bCs w:val="0"/>
          <w:sz w:val="24"/>
          <w:szCs w:val="24"/>
        </w:rPr>
        <w:t>GB 3095</w:t>
      </w:r>
      <w:r>
        <w:rPr>
          <w:rFonts w:hint="eastAsia" w:ascii="宋体" w:hAnsi="宋体" w:eastAsia="宋体" w:cs="宋体"/>
          <w:b w:val="0"/>
          <w:bCs w:val="0"/>
          <w:spacing w:val="-1"/>
          <w:sz w:val="24"/>
          <w:szCs w:val="24"/>
        </w:rPr>
        <w:t>-</w:t>
      </w:r>
      <w:r>
        <w:rPr>
          <w:rFonts w:hint="eastAsia" w:ascii="宋体" w:hAnsi="宋体" w:eastAsia="宋体" w:cs="宋体"/>
          <w:b w:val="0"/>
          <w:bCs w:val="0"/>
          <w:sz w:val="24"/>
          <w:szCs w:val="24"/>
        </w:rPr>
        <w:t>2012</w:t>
      </w:r>
      <w:r>
        <w:rPr>
          <w:rFonts w:hint="eastAsia" w:ascii="宋体" w:hAnsi="宋体" w:eastAsia="宋体" w:cs="宋体"/>
          <w:b w:val="0"/>
          <w:bCs w:val="0"/>
          <w:spacing w:val="-99"/>
          <w:sz w:val="24"/>
          <w:szCs w:val="24"/>
        </w:rPr>
        <w:t>）</w:t>
      </w:r>
      <w:r>
        <w:rPr>
          <w:rFonts w:hint="eastAsia" w:ascii="宋体" w:hAnsi="宋体" w:eastAsia="宋体" w:cs="宋体"/>
          <w:b w:val="0"/>
          <w:bCs w:val="0"/>
          <w:spacing w:val="-11"/>
          <w:sz w:val="24"/>
          <w:szCs w:val="24"/>
        </w:rPr>
        <w:t>中的二类区域。地表水</w:t>
      </w:r>
      <w:r>
        <w:rPr>
          <w:rFonts w:hint="eastAsia" w:cs="宋体"/>
          <w:b w:val="0"/>
          <w:bCs w:val="0"/>
          <w:spacing w:val="-11"/>
          <w:sz w:val="24"/>
          <w:szCs w:val="24"/>
          <w:lang w:eastAsia="zh-CN"/>
        </w:rPr>
        <w:t>保护目标为长江，执行</w:t>
      </w:r>
      <w:r>
        <w:rPr>
          <w:rFonts w:hint="eastAsia" w:ascii="宋体" w:hAnsi="宋体" w:eastAsia="宋体" w:cs="宋体"/>
          <w:b w:val="0"/>
          <w:bCs w:val="0"/>
          <w:spacing w:val="-8"/>
          <w:sz w:val="24"/>
          <w:szCs w:val="24"/>
        </w:rPr>
        <w:t>《地</w:t>
      </w:r>
      <w:r>
        <w:rPr>
          <w:rFonts w:hint="eastAsia" w:ascii="宋体" w:hAnsi="宋体" w:eastAsia="宋体" w:cs="宋体"/>
          <w:b w:val="0"/>
          <w:bCs w:val="0"/>
          <w:spacing w:val="-14"/>
          <w:sz w:val="24"/>
          <w:szCs w:val="24"/>
        </w:rPr>
        <w:t>表水环境质量标准》</w:t>
      </w:r>
      <w:r>
        <w:rPr>
          <w:rFonts w:hint="eastAsia" w:ascii="宋体" w:hAnsi="宋体" w:eastAsia="宋体" w:cs="宋体"/>
          <w:b w:val="0"/>
          <w:bCs w:val="0"/>
          <w:sz w:val="24"/>
          <w:szCs w:val="24"/>
        </w:rPr>
        <w:t>（GB3838-2002）基本项目标准限值中的Ⅲ类标准。</w:t>
      </w:r>
    </w:p>
    <w:p>
      <w:pPr>
        <w:pStyle w:val="3"/>
        <w:rPr>
          <w:rFonts w:hint="eastAsia" w:ascii="宋体" w:hAnsi="宋体" w:eastAsia="宋体" w:cs="宋体"/>
          <w:sz w:val="24"/>
          <w:szCs w:val="24"/>
        </w:rPr>
      </w:pPr>
      <w:bookmarkStart w:id="57" w:name="_Toc29066"/>
      <w:r>
        <w:rPr>
          <w:rFonts w:hint="eastAsia" w:ascii="宋体" w:hAnsi="宋体" w:eastAsia="宋体" w:cs="宋体"/>
          <w:color w:val="auto"/>
          <w:sz w:val="24"/>
          <w:szCs w:val="24"/>
        </w:rPr>
        <w:t>3.2 企业周边环境风险受体情况</w:t>
      </w:r>
      <w:bookmarkEnd w:id="55"/>
      <w:bookmarkEnd w:id="56"/>
      <w:bookmarkEnd w:id="57"/>
    </w:p>
    <w:p>
      <w:pPr>
        <w:rPr>
          <w:rFonts w:hint="eastAsia"/>
        </w:rPr>
      </w:pPr>
      <w:r>
        <w:rPr>
          <w:rFonts w:hint="eastAsia"/>
        </w:rPr>
        <w:t>企业位于湖口金砂湾工业园，大门朝东，门口为工业园大道（宽20m），大道东侧为江铜金属冶炼项目丙类厂房</w:t>
      </w:r>
      <w:r>
        <w:rPr>
          <w:rFonts w:hint="eastAsia"/>
          <w:lang w:eastAsia="zh-CN"/>
        </w:rPr>
        <w:t>，</w:t>
      </w:r>
      <w:r>
        <w:rPr>
          <w:rFonts w:hint="eastAsia"/>
          <w:lang w:val="en-US" w:eastAsia="zh-CN"/>
        </w:rPr>
        <w:t>与本企业办公楼最近，间距为50m</w:t>
      </w:r>
      <w:r>
        <w:rPr>
          <w:rFonts w:hint="eastAsia"/>
        </w:rPr>
        <w:t>。</w:t>
      </w:r>
    </w:p>
    <w:p>
      <w:pPr>
        <w:rPr>
          <w:rFonts w:hint="eastAsia"/>
        </w:rPr>
      </w:pPr>
      <w:r>
        <w:rPr>
          <w:rFonts w:hint="eastAsia"/>
        </w:rPr>
        <w:t>企业的南面有一家开发砂山的企业，距离本企业二期厂房70m。</w:t>
      </w:r>
    </w:p>
    <w:p>
      <w:pPr>
        <w:rPr>
          <w:rFonts w:hint="eastAsia"/>
        </w:rPr>
      </w:pPr>
      <w:r>
        <w:rPr>
          <w:rFonts w:hint="eastAsia"/>
        </w:rPr>
        <w:t>企业西面围墙外10m有一家选砂场（共大砂矿），砂场有两栋建筑物（距离本企业围墙有26m）；建筑物后面是低矮砂山。</w:t>
      </w:r>
    </w:p>
    <w:p>
      <w:pPr>
        <w:rPr>
          <w:rFonts w:hint="eastAsia"/>
        </w:rPr>
      </w:pPr>
      <w:r>
        <w:rPr>
          <w:rFonts w:hint="eastAsia"/>
        </w:rPr>
        <w:t>北面围墙外有一条工业园支路，支路北面为康泰包装有限公司；康泰包装有限公司建筑物距离本公司北面围墙有40m。本企业北面距离长江</w:t>
      </w:r>
      <w:r>
        <w:rPr>
          <w:rFonts w:hint="eastAsia"/>
          <w:lang w:eastAsia="zh-CN"/>
        </w:rPr>
        <w:t>约</w:t>
      </w:r>
      <w:r>
        <w:rPr>
          <w:rFonts w:hint="eastAsia"/>
        </w:rPr>
        <w:t>1000m。周围无其他重要建筑物和一、二类民用建筑保护物，且无自然保护区、风景区及其他公共场所。</w:t>
      </w:r>
    </w:p>
    <w:p>
      <w:pPr>
        <w:pStyle w:val="30"/>
        <w:ind w:firstLine="480"/>
        <w:rPr>
          <w:b/>
          <w:bCs/>
        </w:rPr>
      </w:pPr>
      <w:r>
        <w:t>周围</w:t>
      </w:r>
      <w:r>
        <w:rPr>
          <w:rFonts w:hint="eastAsia"/>
          <w:lang w:val="en-US" w:eastAsia="zh-CN"/>
        </w:rPr>
        <w:t>5</w:t>
      </w:r>
      <w:r>
        <w:t>公里内的敏感点主要情况见表3.2-</w:t>
      </w:r>
      <w:r>
        <w:rPr>
          <w:rFonts w:hint="eastAsia"/>
          <w:lang w:val="en-US" w:eastAsia="zh-CN"/>
        </w:rPr>
        <w:t>1</w:t>
      </w:r>
      <w:r>
        <w:t xml:space="preserve">。 </w:t>
      </w:r>
    </w:p>
    <w:p>
      <w:pPr>
        <w:pStyle w:val="30"/>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b/>
          <w:bCs/>
        </w:rPr>
      </w:pPr>
      <w:r>
        <w:rPr>
          <w:b/>
          <w:bCs/>
        </w:rPr>
        <w:t>表3.2-</w:t>
      </w:r>
      <w:r>
        <w:rPr>
          <w:rFonts w:hint="eastAsia"/>
          <w:b/>
          <w:bCs/>
          <w:lang w:val="en-US" w:eastAsia="zh-CN"/>
        </w:rPr>
        <w:t>1</w:t>
      </w:r>
      <w:r>
        <w:rPr>
          <w:b/>
          <w:bCs/>
        </w:rPr>
        <w:t xml:space="preserve">  </w:t>
      </w:r>
      <w:r>
        <w:rPr>
          <w:rFonts w:hint="eastAsia" w:ascii="宋体" w:hAnsi="宋体" w:eastAsia="宋体" w:cs="宋体"/>
          <w:b/>
          <w:bCs/>
          <w:color w:val="auto"/>
          <w:szCs w:val="21"/>
        </w:rPr>
        <w:t>乔旭（九江）企业有限公司</w:t>
      </w:r>
      <w:r>
        <w:rPr>
          <w:b/>
          <w:bCs/>
        </w:rPr>
        <w:t>5km范围内敏感点情况（风险受体）</w:t>
      </w:r>
    </w:p>
    <w:tbl>
      <w:tblPr>
        <w:tblStyle w:val="17"/>
        <w:tblW w:w="8529"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2281"/>
        <w:gridCol w:w="1269"/>
        <w:gridCol w:w="1743"/>
        <w:gridCol w:w="218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b/>
                <w:bCs/>
                <w:szCs w:val="21"/>
              </w:rPr>
            </w:pPr>
            <w:r>
              <w:rPr>
                <w:b/>
                <w:bCs/>
                <w:szCs w:val="21"/>
              </w:rPr>
              <w:t>序号</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b/>
                <w:bCs/>
                <w:szCs w:val="21"/>
              </w:rPr>
            </w:pPr>
            <w:r>
              <w:rPr>
                <w:b/>
                <w:bCs/>
                <w:szCs w:val="21"/>
              </w:rPr>
              <w:t>敏感点名称</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b/>
                <w:bCs/>
                <w:szCs w:val="21"/>
              </w:rPr>
            </w:pPr>
            <w:r>
              <w:rPr>
                <w:b/>
                <w:bCs/>
                <w:szCs w:val="21"/>
              </w:rPr>
              <w:t>方位</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b/>
                <w:bCs/>
                <w:szCs w:val="21"/>
              </w:rPr>
            </w:pPr>
            <w:r>
              <w:rPr>
                <w:b/>
                <w:bCs/>
                <w:szCs w:val="21"/>
              </w:rPr>
              <w:t>距厂界距离(m)</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b/>
                <w:bCs/>
                <w:szCs w:val="21"/>
              </w:rPr>
            </w:pPr>
            <w:r>
              <w:rPr>
                <w:b/>
                <w:bCs/>
                <w:szCs w:val="21"/>
              </w:rPr>
              <w:t>规模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1</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殷家</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NE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2675</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约22户，77人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2</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刘家窑</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2357</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约34户，119人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3</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陈受村</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2110</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约37户，130人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4</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刘家坂</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SE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2140</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约64户，224人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5</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杨垄葛</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SE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1872</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约23户，81人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6</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海山保障性住房小区</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 xml:space="preserve">SE </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2230</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约400户，1400人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7</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吴迪村</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SE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1948</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约73户，256人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8</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叶太屋</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SE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2145</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约57户，200人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9</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海山集镇</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SE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1368</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szCs w:val="21"/>
              </w:rPr>
            </w:pPr>
            <w:r>
              <w:rPr>
                <w:szCs w:val="21"/>
              </w:rPr>
              <w:t>约500户，1750人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10</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前曹柏章</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SE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2770</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约62户，217人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11</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张九房</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SE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2874</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约68户，238人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12</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张范村</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2150</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约71户，249人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13</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罗岭村</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2702</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约84户，294人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14</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张七房</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SE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2956</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约50户，175人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15</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细张村</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WS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2758</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约480户，1680人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16</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陶家凹</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WS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2767</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约52户，182人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17</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廖家</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WS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2866</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约95户，333人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18</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江西省湖口中学</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WS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2981</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约1500人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19</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永丰小学</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N</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3688</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约800人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20</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富家洲</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NW</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3022</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约40户，140人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21</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新洲</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W</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4278</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约53户，186人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22</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湖口县城</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WS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3885</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约50000人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23</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海正明珠</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WS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3406</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约1800户，6480人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24</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盛源城</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WS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3582</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约1920户，6720人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25</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时代茗湖</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WS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3789</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约1800户，6840人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26</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color w:val="FF0000"/>
                <w:szCs w:val="21"/>
              </w:rPr>
            </w:pPr>
            <w:r>
              <w:rPr>
                <w:szCs w:val="21"/>
              </w:rPr>
              <w:t>巴黎春天</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WS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3257</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约1320户，4620人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27</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瑞鑫 海正明城</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WS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3422</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约1950户，6825人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28</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黄新华市民公寓</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szCs w:val="21"/>
              </w:rPr>
            </w:pPr>
            <w:r>
              <w:rPr>
                <w:rFonts w:hint="eastAsia"/>
                <w:szCs w:val="21"/>
              </w:rPr>
              <w:t>N</w:t>
            </w:r>
            <w:r>
              <w:rPr>
                <w:szCs w:val="21"/>
              </w:rPr>
              <w:t>W</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szCs w:val="21"/>
              </w:rPr>
            </w:pPr>
            <w:r>
              <w:rPr>
                <w:rFonts w:hint="eastAsia"/>
                <w:szCs w:val="21"/>
              </w:rPr>
              <w:t>3719</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约1600户，5600人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29</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柏树村</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4008</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约53户，186人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30</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廖家岭</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SE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4597</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约48户，168人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31</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永桥村</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SE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4484</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约61户，214人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32</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下喻村</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SE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4674</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约93户，326人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lang w:val="en-US" w:eastAsia="zh-CN"/>
              </w:rPr>
              <w:t>33</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郑管村</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SE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4369</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约210户，735人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rPr>
              <w:t>3</w:t>
            </w:r>
            <w:r>
              <w:rPr>
                <w:rFonts w:hint="eastAsia"/>
                <w:szCs w:val="21"/>
                <w:lang w:val="en-US" w:eastAsia="zh-CN"/>
              </w:rPr>
              <w:t>4</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许岭村</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SE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3517</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约43户，151人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rPr>
              <w:t>3</w:t>
            </w:r>
            <w:r>
              <w:rPr>
                <w:rFonts w:hint="eastAsia"/>
                <w:szCs w:val="21"/>
                <w:lang w:val="en-US" w:eastAsia="zh-CN"/>
              </w:rPr>
              <w:t>5</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湖口县妇幼保健院</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SE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3277</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约800人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rPr>
              <w:t>3</w:t>
            </w:r>
            <w:r>
              <w:rPr>
                <w:rFonts w:hint="eastAsia"/>
                <w:szCs w:val="21"/>
                <w:lang w:val="en-US" w:eastAsia="zh-CN"/>
              </w:rPr>
              <w:t>6</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李道一村</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SE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4002</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约72户，252人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rPr>
              <w:t>3</w:t>
            </w:r>
            <w:r>
              <w:rPr>
                <w:rFonts w:hint="eastAsia"/>
                <w:szCs w:val="21"/>
                <w:lang w:val="en-US" w:eastAsia="zh-CN"/>
              </w:rPr>
              <w:t>7</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szCs w:val="21"/>
              </w:rPr>
            </w:pPr>
            <w:r>
              <w:rPr>
                <w:szCs w:val="21"/>
              </w:rPr>
              <w:t>郑通村</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SE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3667</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约67户，235人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lang w:val="en-US" w:eastAsia="zh-CN"/>
              </w:rPr>
              <w:t>38</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szCs w:val="21"/>
              </w:rPr>
            </w:pPr>
            <w:r>
              <w:rPr>
                <w:szCs w:val="21"/>
              </w:rPr>
              <w:t>李珏村</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SE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4460</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约58户，203人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lang w:val="en-US" w:eastAsia="zh-CN"/>
              </w:rPr>
              <w:t>39</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下李粮</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SE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4459</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约195户，683人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lang w:val="en-US" w:eastAsia="zh-CN"/>
              </w:rPr>
              <w:t>40</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szCs w:val="21"/>
              </w:rPr>
            </w:pPr>
            <w:r>
              <w:rPr>
                <w:szCs w:val="21"/>
              </w:rPr>
              <w:t>新庆村</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SE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3708</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约386户，1351人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rPr>
              <w:t>4</w:t>
            </w:r>
            <w:r>
              <w:rPr>
                <w:rFonts w:hint="eastAsia"/>
                <w:szCs w:val="21"/>
                <w:lang w:val="en-US" w:eastAsia="zh-CN"/>
              </w:rPr>
              <w:t>1</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鹿家岭黄</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SE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4232</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约120户，420人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rPr>
              <w:t>4</w:t>
            </w:r>
            <w:r>
              <w:rPr>
                <w:rFonts w:hint="eastAsia"/>
                <w:szCs w:val="21"/>
                <w:lang w:val="en-US" w:eastAsia="zh-CN"/>
              </w:rPr>
              <w:t>2</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szCs w:val="21"/>
              </w:rPr>
            </w:pPr>
            <w:r>
              <w:rPr>
                <w:szCs w:val="21"/>
              </w:rPr>
              <w:t>石家村</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4476</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约50户，175人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rPr>
              <w:t>4</w:t>
            </w:r>
            <w:r>
              <w:rPr>
                <w:rFonts w:hint="eastAsia"/>
                <w:szCs w:val="21"/>
                <w:lang w:val="en-US" w:eastAsia="zh-CN"/>
              </w:rPr>
              <w:t>3</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吴家村</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NE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4378</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约87户，305人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rPr>
              <w:t>4</w:t>
            </w:r>
            <w:r>
              <w:rPr>
                <w:rFonts w:hint="eastAsia"/>
                <w:szCs w:val="21"/>
                <w:lang w:val="en-US" w:eastAsia="zh-CN"/>
              </w:rPr>
              <w:t>4</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许草塘</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NE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4626</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约33户，116人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rPr>
              <w:t>4</w:t>
            </w:r>
            <w:r>
              <w:rPr>
                <w:rFonts w:hint="eastAsia"/>
                <w:szCs w:val="21"/>
                <w:lang w:val="en-US" w:eastAsia="zh-CN"/>
              </w:rPr>
              <w:t>5</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郑土塘</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NE</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3605</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约41户，144人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lang w:val="en-US" w:eastAsia="zh-CN"/>
              </w:rPr>
              <w:t>46</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上杨村</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WS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4488</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约36户，126人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lang w:val="en-US" w:eastAsia="zh-CN"/>
              </w:rPr>
              <w:t>47</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湖口县第二小学</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WS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4221</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w:t>
            </w:r>
            <w:r>
              <w:rPr>
                <w:rFonts w:hint="eastAsia"/>
                <w:szCs w:val="21"/>
              </w:rPr>
              <w:t>1</w:t>
            </w:r>
            <w:r>
              <w:rPr>
                <w:szCs w:val="21"/>
              </w:rPr>
              <w:t>800人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lang w:val="en-US" w:eastAsia="zh-CN"/>
              </w:rPr>
              <w:t>48</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szCs w:val="21"/>
              </w:rPr>
            </w:pPr>
            <w:r>
              <w:rPr>
                <w:szCs w:val="21"/>
              </w:rPr>
              <w:t>开源国际</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WS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3987</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约1700户，5950人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lang w:val="en-US" w:eastAsia="zh-CN"/>
              </w:rPr>
              <w:t>49</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幸福家园</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WS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4052</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约210户，735人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lang w:val="en-US" w:eastAsia="zh-CN"/>
              </w:rPr>
              <w:t>50</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李敬村</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WS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3979</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约84户，284人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rPr>
              <w:t>5</w:t>
            </w:r>
            <w:r>
              <w:rPr>
                <w:rFonts w:hint="eastAsia"/>
                <w:szCs w:val="21"/>
                <w:lang w:val="en-US" w:eastAsia="zh-CN"/>
              </w:rPr>
              <w:t>1</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szCs w:val="21"/>
              </w:rPr>
            </w:pPr>
            <w:r>
              <w:rPr>
                <w:szCs w:val="21"/>
              </w:rPr>
              <w:t>钟山小区</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rFonts w:hint="eastAsia"/>
                <w:szCs w:val="21"/>
              </w:rPr>
              <w:t>WS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4477</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约1900户，6650人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rPr>
              <w:t>5</w:t>
            </w:r>
            <w:r>
              <w:rPr>
                <w:rFonts w:hint="eastAsia"/>
                <w:szCs w:val="21"/>
                <w:lang w:val="en-US" w:eastAsia="zh-CN"/>
              </w:rPr>
              <w:t>2</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大殿弯</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rFonts w:hint="eastAsia"/>
                <w:szCs w:val="21"/>
              </w:rPr>
              <w:t>WS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4607</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约350户，1225人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lang w:val="en-US" w:eastAsia="zh-CN"/>
              </w:rPr>
              <w:t>53</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海正阳光</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rFonts w:hint="eastAsia"/>
                <w:szCs w:val="21"/>
              </w:rPr>
              <w:t>WS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4042</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约1620户，5832人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lang w:val="en-US" w:eastAsia="zh-CN"/>
              </w:rPr>
              <w:t>54</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江新小区</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rFonts w:hint="eastAsia"/>
                <w:szCs w:val="21"/>
              </w:rPr>
              <w:t>WS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4212</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约1350户，4725人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lang w:val="en-US" w:eastAsia="zh-CN"/>
              </w:rPr>
              <w:t>55</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福源苑</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rFonts w:hint="eastAsia"/>
                <w:szCs w:val="21"/>
              </w:rPr>
              <w:t>WS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4348</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约640户，2240人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lang w:val="en-US" w:eastAsia="zh-CN"/>
              </w:rPr>
              <w:t>56</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福源花苑</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rFonts w:hint="eastAsia"/>
                <w:szCs w:val="21"/>
              </w:rPr>
              <w:t>WS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4613</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约1760户，6160人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lang w:val="en-US" w:eastAsia="zh-CN"/>
              </w:rPr>
              <w:t>57</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szCs w:val="21"/>
              </w:rPr>
            </w:pPr>
            <w:r>
              <w:rPr>
                <w:szCs w:val="21"/>
              </w:rPr>
              <w:t>湖口县第三小学</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rFonts w:hint="eastAsia"/>
                <w:szCs w:val="21"/>
              </w:rPr>
              <w:t>WS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4686</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w:t>
            </w:r>
            <w:r>
              <w:rPr>
                <w:rFonts w:hint="eastAsia"/>
                <w:szCs w:val="21"/>
              </w:rPr>
              <w:t>1</w:t>
            </w:r>
            <w:r>
              <w:rPr>
                <w:szCs w:val="21"/>
              </w:rPr>
              <w:t>800人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lang w:val="en-US" w:eastAsia="zh-CN"/>
              </w:rPr>
              <w:t>58</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szCs w:val="21"/>
              </w:rPr>
              <w:t>湖口县第四小学</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rFonts w:hint="eastAsia"/>
                <w:szCs w:val="21"/>
              </w:rPr>
              <w:t>WS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4514</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w:t>
            </w:r>
            <w:r>
              <w:rPr>
                <w:rFonts w:hint="eastAsia"/>
                <w:szCs w:val="21"/>
              </w:rPr>
              <w:t>1</w:t>
            </w:r>
            <w:r>
              <w:rPr>
                <w:szCs w:val="21"/>
              </w:rPr>
              <w:t>800人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lang w:val="en-US" w:eastAsia="zh-CN"/>
              </w:rPr>
              <w:t>59</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春江花苑</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rFonts w:hint="eastAsia"/>
                <w:szCs w:val="21"/>
              </w:rPr>
              <w:t>WS</w:t>
            </w: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szCs w:val="21"/>
              </w:rPr>
            </w:pPr>
            <w:r>
              <w:rPr>
                <w:rFonts w:hint="eastAsia"/>
                <w:szCs w:val="21"/>
              </w:rPr>
              <w:t>3836</w:t>
            </w: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pPr>
            <w:r>
              <w:rPr>
                <w:szCs w:val="21"/>
              </w:rPr>
              <w:t>约1650户，5775人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05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lang w:val="en-US" w:eastAsia="zh-CN"/>
              </w:rPr>
              <w:t>60</w:t>
            </w:r>
          </w:p>
        </w:tc>
        <w:tc>
          <w:tcPr>
            <w:tcW w:w="2281"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eastAsia="zh-CN"/>
              </w:rPr>
            </w:pPr>
            <w:r>
              <w:rPr>
                <w:rFonts w:hint="eastAsia"/>
                <w:szCs w:val="21"/>
                <w:lang w:eastAsia="zh-CN"/>
              </w:rPr>
              <w:t>共计</w:t>
            </w:r>
          </w:p>
        </w:tc>
        <w:tc>
          <w:tcPr>
            <w:tcW w:w="1269"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szCs w:val="21"/>
              </w:rPr>
            </w:pPr>
          </w:p>
        </w:tc>
        <w:tc>
          <w:tcPr>
            <w:tcW w:w="174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szCs w:val="21"/>
              </w:rPr>
            </w:pPr>
          </w:p>
        </w:tc>
        <w:tc>
          <w:tcPr>
            <w:tcW w:w="2183" w:type="dxa"/>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eastAsia="宋体"/>
                <w:szCs w:val="21"/>
                <w:lang w:val="en-US" w:eastAsia="zh-CN"/>
              </w:rPr>
            </w:pPr>
            <w:r>
              <w:rPr>
                <w:rFonts w:hint="eastAsia"/>
                <w:szCs w:val="21"/>
                <w:lang w:eastAsia="zh-CN"/>
              </w:rPr>
              <w:t>约</w:t>
            </w:r>
            <w:r>
              <w:rPr>
                <w:rFonts w:hint="eastAsia"/>
                <w:szCs w:val="21"/>
                <w:lang w:val="en-US" w:eastAsia="zh-CN"/>
              </w:rPr>
              <w:t>110000人</w:t>
            </w:r>
          </w:p>
        </w:tc>
      </w:tr>
    </w:tbl>
    <w:p>
      <w:pPr>
        <w:pStyle w:val="3"/>
        <w:rPr>
          <w:rFonts w:hint="eastAsia" w:ascii="宋体" w:hAnsi="宋体" w:eastAsia="宋体" w:cs="宋体"/>
          <w:color w:val="auto"/>
        </w:rPr>
      </w:pPr>
      <w:bookmarkStart w:id="58" w:name="_Toc23034"/>
      <w:r>
        <w:rPr>
          <w:rFonts w:hint="eastAsia" w:ascii="宋体" w:hAnsi="宋体" w:eastAsia="宋体" w:cs="宋体"/>
          <w:color w:val="auto"/>
        </w:rPr>
        <w:t>3.3 涉及环境风险物质情况</w:t>
      </w:r>
      <w:bookmarkEnd w:id="58"/>
    </w:p>
    <w:p>
      <w:pPr>
        <w:pStyle w:val="4"/>
        <w:rPr>
          <w:rFonts w:hint="eastAsia" w:ascii="宋体" w:hAnsi="宋体" w:eastAsia="宋体" w:cs="宋体"/>
          <w:b w:val="0"/>
          <w:bCs/>
          <w:color w:val="auto"/>
          <w:lang w:val="en-US" w:eastAsia="zh-CN"/>
        </w:rPr>
      </w:pPr>
      <w:bookmarkStart w:id="59" w:name="_Toc5792"/>
      <w:r>
        <w:rPr>
          <w:rFonts w:hint="eastAsia" w:ascii="宋体" w:hAnsi="宋体" w:eastAsia="宋体" w:cs="宋体"/>
          <w:b w:val="0"/>
          <w:bCs/>
          <w:color w:val="auto"/>
          <w:lang w:val="en-US" w:eastAsia="zh-CN"/>
        </w:rPr>
        <w:t>3.3.1 环境风险物质识别</w:t>
      </w:r>
      <w:bookmarkEnd w:id="59"/>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bookmarkStart w:id="60" w:name="_Toc23506_WPSOffice_Level2"/>
      <w:r>
        <w:rPr>
          <w:rFonts w:hint="eastAsia" w:ascii="宋体" w:hAnsi="宋体" w:eastAsia="宋体" w:cs="宋体"/>
          <w:sz w:val="24"/>
          <w:szCs w:val="24"/>
        </w:rPr>
        <w:t>本项目涉及的化学品主要为硫氢化钠、氢氧化钠和少量硫化氢。</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（1）硫氢化钠</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1、名称和化学性质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化学品中文名称：硫氢化钠    中文名称2：酸性硫化钠</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CAS No.：16721-80-5   分子式：NaHS</w:t>
      </w:r>
      <w:bookmarkStart w:id="61" w:name="section2"/>
      <w:bookmarkEnd w:id="61"/>
      <w:r>
        <w:rPr>
          <w:rFonts w:hint="eastAsia" w:ascii="宋体" w:hAnsi="宋体" w:eastAsia="宋体" w:cs="宋体"/>
          <w:sz w:val="24"/>
          <w:szCs w:val="24"/>
        </w:rPr>
        <w:t xml:space="preserve">     分子量：56.06</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外观与性状：溶液, 呈橙色或黄色。</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熔点(℃)：52.54     相对密度(水=1)：1.79  闪点(℃)：90</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溶解性：溶于水，溶于乙醇、乙醚等。</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禁配物：强氧化剂、酸类、锌、铝、铜及其合金。</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急性毒性：LD50：30 mg/kg(大鼠腹腔)</w:t>
      </w:r>
      <w:bookmarkStart w:id="62" w:name="section12"/>
      <w:bookmarkEnd w:id="62"/>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2、危险性概述</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燃爆危险：在潮湿空气中迅速分解成氢氧化钠和硫化钠，并放热。</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健康危害：对眼、皮肤、粘膜和上呼吸道有强烈刺激作用。吸入后，可引起喉、支气管的痉挛、炎症和水肿，化学性肺炎或肺水肿。中毒的症状可有烧灼感、喘息、喉炎、气短、头痛、恶心和呕吐。与眼睛直接接触可引起不可逆的损害，甚至失明。</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环境危害：对环境有危害，对水体可造成污染。</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3、急救措施</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皮肤接触：立即脱去污染的衣着，用大量流动清水冲洗至少15分钟。就医。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眼睛接触：立即提起眼睑，用大量流动清水或生理盐水彻底冲洗至少15分钟。就医。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吸入：迅速脱离现场至空气新鲜处。保持呼吸道通畅。如呼吸困难，给输氧。如呼吸停止，立即进行人工呼吸。就医。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食入：用水漱口，给饮牛奶或蛋清。就医。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bookmarkStart w:id="63" w:name="section6"/>
      <w:bookmarkEnd w:id="63"/>
      <w:r>
        <w:rPr>
          <w:rFonts w:hint="eastAsia" w:ascii="宋体" w:hAnsi="宋体" w:eastAsia="宋体" w:cs="宋体"/>
          <w:sz w:val="24"/>
          <w:szCs w:val="24"/>
        </w:rPr>
        <w:t>灭火方法：消防人员必须佩戴过滤式防毒面具(全面罩)或隔离式呼吸器、穿全身防火防毒服，在上风向灭火。尽可能将容器从火场移至空旷处。喷水保持火场容器冷却，直至灭火结束。处在火场中的容器若已变色或从安全泄压装置中产生声音，必须马上撤离。灭火剂：雾状水、泡沫、干粉、二氧化碳、砂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4、应急处理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迅速撤离泄漏污染区人员至安全区，并进行隔离，严格限制出入。切断火源。建议应急处理人员戴自给正压式呼吸器，穿防毒服。尽可能切断泄漏源。若是液体，防止流入下水道、排洪沟等限制性空间。小量泄漏：用大量水冲洗，洗水稀释后放入废水系统。大量泄漏：构筑围堤或挖坑收容。用泵转移至槽车或专用收集器内，回收或运至废物处理场所处置。若是固体，用洁净的铲子收集于干燥、洁净、有盖的容器中。若大量泄漏，收集回收或运至废物处理场所处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5、操作处置与储存</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操作注意事项：密闭操作，局部排风。操作人员必须经过专门培训，严格遵守操作规程。建议操作人员佩戴防尘面具（全面罩），穿胶布防毒衣，戴橡胶手套。远离火种、热源，工作场所严禁吸烟。使用防爆型的通风系统和设备。防止烟雾或粉尘泄漏到工作场所空气中。避免与氧化剂、酸类接触。搬运时轻装轻卸，防止包装破损。配备相应品种和数量的消防器材及泄漏应急处理设备。倒空的容器可能残留有害物。</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储存注意事项：储存于阴凉、通风的库房。远离火种、热源。应与氧化剂、酸类、食用化学品分开存放，切忌混储。采用防爆型照明、通风设施。禁止使用易产生火花的机械设备和工具。储区应备有泄漏应急处理设备和合适的收容材料。应严格执行极毒物品“五双”管理制度。</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6、接触控制/个体防护</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工程控制：密闭操作，局部排风。</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呼吸系统防护：可能接触其粉尘时，必须佩戴防尘面具（全面罩）；可</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能接触其蒸气时，应该佩戴自吸过滤式防毒面具（全面罩）。</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眼睛防护：呼吸系统防护中已作防护。</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身体防护：穿胶布防毒衣。</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手防护：戴橡胶手套。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其他防护：及时换洗工作服。保持良好的卫生习惯。</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7、运输信息</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危险货物编号：42011   UN编号：2318    包装类别：O52</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包装方法：螺纹口玻璃瓶、铁盖压口玻璃瓶、塑料瓶或金属桶（罐）外</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普通木箱；螺纹口玻璃瓶、塑料瓶或镀锡薄钢板桶（罐）外满底板花格箱、纤维板箱或胶合板箱。</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8、运输注意事项：运输时运输车辆应配备相应品种和数量的消防器材</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及泄漏应急处理设备。装运本品的车辆排气管须有阻火装置。运输过程中要确保容器不泄漏、不倒塌、不坠落、不损坏。严禁与氧化剂、酸类、食用化学品等混装混运。运输途中应防曝晒、雨淋，防高温。中途停留时应远离火种、热源。车辆运输完毕应进行彻底清扫。铁路运输时要禁止溜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9、法规信息</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含结晶水≥25%的为碱性腐蚀品。</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（2）氢氧化钠</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1、化学品名称</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中文名称：氢氧化钠         别名：烧碱</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危险货物编号：82001    分子式：NaOH       分子量：40.01</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2、理化性质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外观与性状：白色不透明固体，易潮解。</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熔点：318.4.7℃         相对密度（水=1）：2.12(-79℃)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沸点：1390℃           饱和蒸气压（KPa）：0.13（739°）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溶解性：易溶于水、乙醇、甘油、不溶于丙酮。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稳定性：稳定           避免接触的条件：潮湿空气</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主要用途：用于石油精炼、造纸、肥皂、人造丝、染色、制革、医药、有机合成等。</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3、危险特性</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危险性类别：第8.2类碱性腐蚀品。</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与酸发生中和反应并放热。遇潮时对铝、锌和锡有腐蚀性，并放出易燃易爆的氢气。本品不会燃烧，遇水和水蒸气大量放热，形成腐蚀性溶液。具有强腐蚀性。</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燃烧分解产物：可能产生有害的毒性烟雾。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灭火方法：用水、砂土扑救，但须防止物品遇水产生飞溅，造成灼伤。</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4、毒性及健康害性</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接触限值：中国MAC   0.5mg/m3。</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侵入途径：吸入、食入。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健康危害：本品有强烈刺激和腐蚀性。粉尘刺激眼和呼吸道，腐蚀鼻中隔，皮肤和眼直接接触可引起灼伤，误服可造成消化道灼伤，粘膜糜烂、出血和休克。</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5、急救措施</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皮肤接触：立即脱去污染的衣着，应大量清水彻底冲洗。至少15分钟，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眼睛接触：立即提起眼睑，用大量流动清水或生理盐水彻底冲洗至少15分钟。就医。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吸入：迅速脱离现场至空气新鲜处。保持呼吸道通畅。如呼吸困难，给输氧。如呼吸停止，立即进行人工呼吸。就医。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食入：误服者用水漱口，给饮牛奶或蛋清。就医。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6、防护措施</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提供安全淋浴和洗眼设备。</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呼吸系统防护：可能接触其粉尘时，必须佩戴头罩型电动送风过滤式防尘呼吸器。必要时，佩戴空气呼吸器。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眼睛防护：呼吸系统中已作防护。</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身体防护：穿橡胶耐酸碱服。</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手防护：戴橡胶耐酸碱手套。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其它：工作现场禁止吸烟、进食和饮水。饭前要洗手。工作毕，淋浴更衣。保持良好的卫生习惯。</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7、泄漏处置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隔离泄漏污染区，限制出入，建议应急处理人员戴自给式呼吸器，穿防酸碱工作服。不要直接接触泄漏物。小量泄漏：避免扬程，用洁净的铲子收集于干燥、洁净、有盖的容器中，也可用大量水冲洗，洗水稀释后放入废水系统，大量泄漏：收集回收或运至废物处理场所处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8、操作处置与储存</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操作注意事项：密闭操作。操作人员必须经过专门培训，严格遵守操作规程。建议操作人员佩戴头罩型电动送风过滤式防尘呼吸器，穿橡胶耐酸碱服，戴橡胶耐酸碱手套。远离易燃、可燃物。避免产生粉尘。避免与酸类接触。搬运时要轻装轻卸，防止包装及容器损坏。配备泄漏应急处理设备。倒空的容器可能残留有害物。稀释或制备溶液时，应把碱加入水中，避免沸腾和飞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储存注意事项：储存于阴凉、干燥、通风良好的库房。远离火种、热源。库内湿度最好不大于85％。包装必须密封，切勿受潮。应与易（可）燃物、酸类等分开存放，切忌混储。储区应备有合适的材料收容泄漏物。</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禁忌物：强酸、易燃或可燃物、二氧化碳、过氧化物、水。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9、毒理学资料刺激性：家兔经眼：1%重度刺激。家兔经皮：50mg/24 小时，重度刺激。</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10、运输信息：严禁与易燃物或可燃物、酸类、食用化学品等混装混运。运输时运输车辆应配备泄漏应急处理设备。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（3）硫化氢</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1、化学品名称</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化学品中文名称：硫化氢     CAS No.：7783-06-4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分子式：H2S                分子量：34.08</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2、危险性概述</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健康危害：本品是强烈的神经毒物，对粘膜有强烈刺激作用。急性中毒：短期内吸入高浓度硫化氢后出现流泪、眼痛、眼内异物感、畏光、视物模糊、流涕、咽喉部灼热感、咳嗽、胸闷、头痛、头晕、乏力、意识模糊等。部分患者可有心肌损害。重者可出现脑水肿、肺水肿。极高浓度(1000mg/m3 以上)时可在数秒钟内突然昏迷，呼吸和心跳骤停，发生闪电型死亡。高浓度接触眼结膜发生水肿和角膜溃疡。长期低浓度接触，引起神经衰弱综合征和植物神经功能紊乱。</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bookmarkStart w:id="64" w:name="section3"/>
      <w:bookmarkEnd w:id="64"/>
      <w:r>
        <w:rPr>
          <w:rFonts w:hint="eastAsia" w:ascii="宋体" w:hAnsi="宋体" w:eastAsia="宋体" w:cs="宋体"/>
          <w:sz w:val="24"/>
          <w:szCs w:val="24"/>
        </w:rPr>
        <w:t>环境危害：对环境有危害，对水体和大气可造成污染。</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燃爆危险：本品易燃, 与空气混合能形成爆炸性混合物，遇明火、高热能引起燃烧爆炸。与浓硝酸、发烟硝酸或其它强氧化剂剧烈反应，发生爆炸。气体比空气重，能在较低处扩散到相当远的地方，遇火源会着火回燃。</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3、消防措施与急救措施</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灭火方法：消防人员必须穿全身防火防毒服，在上风向灭火。切断气源。若不能切断气源，则不允许熄灭泄漏处的火焰.</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吸入：迅速脱离现场至空气新鲜处。保持呼吸道通畅。如呼吸困难，给输氧。如呼吸停止，立即进行人工呼吸。就医。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4、泄漏应急处理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迅速撤离泄漏污染区人员至上风处，并立即进行隔离，小泄漏时隔离150m，大泄漏时隔离300m，严格限制出入。切断火源。建议应急处理人员戴自给正压式呼吸器，穿防静电工作服。从上风处进入现场。尽可能切断泄漏源。合理通风，加速扩散。喷雾状水稀释、溶解。构筑围堤或挖坑收容产生的大量废水。如有可能，将残余气或漏出气用排风机送至水洗塔或与塔相连的通风橱内。或使其通过三氯化铁水溶液，管路装止回装置以防溶液吸回。漏气容器要妥善处理，修复、检验后再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5、操作处置与储存</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操作注意事项：严加密闭，提供充分的局部排风和全面通风。操作人员必须经过专门培训，严格遵守操作规程。建议操作人员佩戴过滤式防毒面具（半面罩），戴化学安全防护眼镜，穿防静电工作服，戴防化学品手套。远离火种、热源，工作场所严禁吸烟。使用防爆型的通风系统和设备。防止气体泄漏到工作场所空气中。避免与氧化剂、碱类接触。在传送过程中，钢瓶和容器必须接地和跨接，防止产生静电。搬运时轻装轻卸，防止钢瓶及附件破损。配备相应品种和数量的消防器材及泄漏应急处理设备。</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储存注意事项：储存于阴凉、通风的库房。远离火种、热源。库温不宜超过30℃。保持容器密封。应与氧化剂、碱类分开存放，切忌混储。采用防爆型照明、通风设施。禁止使用易产生火花的机械设备和工具。储区应备有泄漏应急处理设备。</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6、接触控制/个体防护</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中国MAC(mg/m3)：10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TLVTN：OSHA 20ppm,28mg/m3[上限值]; ACGIH 10ppm,14mg/m3</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TLVWN：ACGIH 15ppm,21mg/m3</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工程控制：严加密闭，提供充分的局部排风和全面通风。提供安全淋浴和洗眼设备。</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呼吸系统防护：空气中浓度超标时，佩戴过滤式防毒面具（半面罩）。紧急事态抢救或撤离时，建议佩戴氧气呼吸器或空气呼吸器。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眼睛防护：戴化学安全防护眼镜。</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身体防护：穿防静电工作服。</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手防护：戴防化学品手套。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其他防护：工作现场禁止吸烟、进食和饮水。工作完毕，淋浴更衣。及时换洗工作服。作业人员应学会自救互救。进入罐、限制性空间或其它高浓度区作业，须有人监护。</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7、理化特性</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外观与性状：无色、有恶臭的气体。</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相对蒸气密度(空气=1)：1.19</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临界温度(℃)：100.4   引燃温度(℃)：260</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爆炸上限%(V/V)：46    爆炸下限%(V/V)：4.0</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溶解性：溶于水、乙醇。</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禁配物：强氧化剂、碱类。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bookmarkStart w:id="65" w:name="section10"/>
      <w:bookmarkEnd w:id="65"/>
      <w:bookmarkStart w:id="66" w:name="section11"/>
      <w:bookmarkEnd w:id="66"/>
      <w:r>
        <w:rPr>
          <w:rFonts w:hint="eastAsia" w:ascii="宋体" w:hAnsi="宋体" w:eastAsia="宋体" w:cs="宋体"/>
          <w:sz w:val="24"/>
          <w:szCs w:val="24"/>
        </w:rPr>
        <w:t>急性毒性：LC50：618 mg/m3(大鼠吸入)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8、法规信息</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常用危险化学品的分类及标志将该物质划为第2.1 类易燃气体。</w:t>
      </w:r>
      <w:bookmarkStart w:id="67" w:name="section15"/>
      <w:bookmarkEnd w:id="67"/>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（4）导热油</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导热油是一种传热的介质的特种油。导热油（有机热载体）作为一种优良的传热介质，具有高温低压的传热特点，且热效率高、传热均匀、温度控制准确，又有明显的节能效果。但是导热油无论是合成型的还是矿油型，它们都是有机物--即烷烃类、环烷烃类、芳烃类及其衍生物。它们在热油炉中，在高温状态下长期运行，将发生裂解。</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导热油的一系列物理性质，如粘度、蒸气压、沸程、初馏点、流点和油的性能有关。而粘度和传热效果直接有关，油的粘度小，油才能流动快，传热效率才能高。一个液体化合物在一定大气下有一定沸点。通常导热油是个混合物，各组分的沸点并不相同，油组分中最低沸点与最高沸点之间的范围称为沸程。油的蒸气压小，闪点、燃点、自燃点高，那么这种油就不易引起火灾。通常油的使用温度在闪点之上，这就要求油不能和明火或火花直接接触，但油的使用温度必须低于自燃点。</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导热油有合成油和矿物油两大类。合成型导热油从组成上可分为芳香烃、合成烃、醇、醚、脂、硅油等，其特点是化学纯度高、热稳定性高、使用周期长，用于－70到350度，缺点是毒性大、价格昂贵且高温高压危险性大；矿物油型导热油由特定组分的混户烃类组成，用于－60到320度常压或低压液相传热。</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使用导热油应注意：在事故原因引起系统泄漏的情况下，导热油与明火相遇时有可能发生燃烧，这是导热油系统与水蒸气系统相比所存在的问题。</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（5）硫化钠</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1、化学品名称</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化学品中文名称：硫化钠    英文名称Sodium sulfide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俗称：硫化碱;臭碱;硫化石;一硫化钠;九水合硫化钠;臭苏打</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CAS No.：7757-83-7     分子式：Na2S      分子量：78.04</w:t>
      </w:r>
    </w:p>
    <w:p>
      <w:pPr>
        <w:keepNext w:val="0"/>
        <w:keepLines w:val="0"/>
        <w:pageBreakBefore w:val="0"/>
        <w:widowControl w:val="0"/>
        <w:kinsoku/>
        <w:wordWrap/>
        <w:overflowPunct/>
        <w:topLinePunct w:val="0"/>
        <w:autoSpaceDE w:val="0"/>
        <w:autoSpaceDN w:val="0"/>
        <w:bidi w:val="0"/>
        <w:adjustRightInd/>
        <w:snapToGrid/>
        <w:spacing w:line="360" w:lineRule="auto"/>
        <w:ind w:left="480" w:leftChars="200" w:firstLine="240" w:firstLineChars="100"/>
        <w:textAlignment w:val="auto"/>
        <w:outlineLvl w:val="9"/>
        <w:rPr>
          <w:rFonts w:hint="eastAsia" w:ascii="宋体" w:hAnsi="宋体" w:eastAsia="宋体" w:cs="宋体"/>
          <w:sz w:val="24"/>
          <w:szCs w:val="24"/>
        </w:rPr>
      </w:pPr>
      <w:r>
        <w:rPr>
          <w:rFonts w:hint="eastAsia" w:ascii="宋体" w:hAnsi="宋体" w:eastAsia="宋体" w:cs="宋体"/>
          <w:sz w:val="24"/>
          <w:szCs w:val="24"/>
        </w:rPr>
        <w:t>2、危险性概述</w:t>
      </w:r>
      <w:r>
        <w:rPr>
          <w:rFonts w:hint="eastAsia" w:ascii="宋体" w:hAnsi="宋体" w:eastAsia="宋体" w:cs="宋体"/>
          <w:sz w:val="24"/>
          <w:szCs w:val="24"/>
        </w:rPr>
        <w:br w:type="textWrapping"/>
      </w:r>
      <w:r>
        <w:rPr>
          <w:rFonts w:hint="eastAsia" w:ascii="宋体" w:hAnsi="宋体" w:eastAsia="宋体" w:cs="宋体"/>
          <w:sz w:val="24"/>
          <w:szCs w:val="24"/>
        </w:rPr>
        <w:t>健康危害：本品在胃肠道中能分解出硫化氢，口服后能引起硫化氢中毒。对皮肤和眼睛有腐蚀作用。环境危害：对环境有危害。遇酸分解, 放出剧毒的易燃气体。具强腐蚀性、刺激性，可致人体灼伤。</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燃爆危险：本品易燃，受撞击或急速加热可发生爆炸。</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3、急救措施</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皮肤接触：立即脱去污染的衣着，用大量流动清水冲洗至少15分钟。就医。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眼睛接触：立即提起眼睑，用大量流动清水或生理盐水彻底冲洗至少15分钟。就医。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吸入：迅速脱离现场至空气新鲜处。保持呼吸道通畅。如呼吸困难，给输氧。如呼吸停止，立即进行人工呼吸。就医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食入：用水漱口，给饮牛奶或蛋清。就医。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4、消防措施</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危险特性：无水物为自燃物品，其粉尘易在空气中自燃。燃烧(分解)产物：硫化氢、氧化硫。粉体与空气可形成爆炸性混合物。其水溶液有腐蚀性和强烈的刺激性。100℃ 时开始蒸发，蒸气可侵蚀玻璃。</w:t>
      </w:r>
      <w:r>
        <w:rPr>
          <w:rFonts w:hint="eastAsia" w:ascii="宋体" w:hAnsi="宋体" w:eastAsia="宋体" w:cs="宋体"/>
          <w:sz w:val="24"/>
          <w:szCs w:val="24"/>
        </w:rPr>
        <w:br w:type="textWrapping"/>
      </w:r>
      <w:r>
        <w:rPr>
          <w:rFonts w:hint="eastAsia" w:ascii="宋体" w:hAnsi="宋体" w:eastAsia="宋体" w:cs="宋体"/>
          <w:sz w:val="24"/>
          <w:szCs w:val="24"/>
        </w:rPr>
        <w:t xml:space="preserve">    有害燃烧产物：硫化氢、氧化硫。</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灭火方法：采用水、雾状水、砂土灭火。</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5、泄漏应急处理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隔离泄漏污染区，限制出入。建议应急处理人员戴防尘面具（全面罩），穿防酸碱工作服。从上风处进入现场。小量泄漏：避免扬尘，用洁净的铲子收集于干燥、洁净、有盖的容器中。也可以用大量水冲洗，洗水稀释后放入废水系统。大量泄漏：收集回收或运至废物处理场所处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6、操作处置与储存</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操作注意事项：密闭操作。操作人员必须经过专门培训，严格遵守操作规程。建议操作人员佩戴自吸过滤式防尘口罩，戴化学安全防护眼镜，穿橡胶耐酸碱服，戴橡胶耐酸碱手套。远离火种、热源，工作场所严禁吸烟。使用防爆型的通风系统和设备。避免产生粉尘。避免与氧化剂、酸类接触。搬运时要轻装轻卸，防止包装及容器损坏。配备相应品种和数量的消防器材及泄漏应急处理设备。倒空的容器可能残留有害物。</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储存注意事项：储存于阴凉、通风的库房。远离火种、热源。库内湿度最好不大于85％。包装密封。应与氧化剂、酸类分开存放，切忌混储。不宜久存，以免变质。配备相应品种和数量的消防器材。储区应备有合适的材料收容泄漏物。</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7、接触控制/个体防护</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工程控制：密闭操作。提供安全淋浴和洗眼设备。</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呼吸系统防护：可能接触其粉尘时，必须佩戴自吸过滤式防尘口罩。必要时，佩戴空气呼吸器。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眼睛防护：戴化学安全防护眼镜。</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身体防护：穿橡胶耐酸碱服。</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手防护：戴橡胶耐酸碱手套。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其他防护：工作场所禁止吸烟、进食和饮水，饭前要洗手。工作完毕，淋浴更衣。注意个人清洁卫生。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8、理化特性</w:t>
      </w:r>
      <w:r>
        <w:rPr>
          <w:rFonts w:hint="eastAsia" w:ascii="宋体" w:hAnsi="宋体" w:eastAsia="宋体" w:cs="宋体"/>
          <w:sz w:val="24"/>
          <w:szCs w:val="24"/>
        </w:rPr>
        <w:br w:type="textWrapping"/>
      </w:r>
      <w:r>
        <w:rPr>
          <w:rFonts w:hint="eastAsia" w:ascii="宋体" w:hAnsi="宋体" w:eastAsia="宋体" w:cs="宋体"/>
          <w:sz w:val="24"/>
          <w:szCs w:val="24"/>
        </w:rPr>
        <w:t>外观与性状：无色或米黄色颗粒结晶，工业品为红褐色或砖红色块状。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纯硫化钠无水物为白色立方形结晶或颗粒。具有极强的吸湿性，空气中</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易变色，不稳定。水溶解呈强碱性，触及皮肤和毛发时会造成灼伤，故又称硫化碱。溶于硫黄生成多硫化钠。</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工业用硫化钠称为硫化碱，它的有效成分一般是50％左右。</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相对密度(水=1)：1.86</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溶解性：易溶于水，不溶于乙醚，微溶于乙醇。</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主要用途：用于制造硫化染料，皮革脱毛剂，金属冶炼，照相，人造丝脱硝等。</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急性毒性：LD50820mg/kg(小鼠经口)；950mg/kg(小鼠静注).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9、稳定性和反应活性</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禁配物：酸类、强氧化剂。</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硫化钠有腐蚀性，有毒，在空气中易氧化生成硫代硫酸钠。硫化钠在空气中潮解，并碳酸化而变质，不断释出硫化氢气体。</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10、废弃处置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用安全掩埋法处置。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11、运输信息</w:t>
      </w:r>
      <w:r>
        <w:rPr>
          <w:rFonts w:hint="eastAsia" w:ascii="宋体" w:hAnsi="宋体" w:eastAsia="宋体" w:cs="宋体"/>
          <w:sz w:val="24"/>
          <w:szCs w:val="24"/>
        </w:rPr>
        <w:br w:type="textWrapping"/>
      </w:r>
      <w:r>
        <w:rPr>
          <w:rFonts w:hint="eastAsia" w:ascii="宋体" w:hAnsi="宋体" w:eastAsia="宋体" w:cs="宋体"/>
          <w:sz w:val="24"/>
          <w:szCs w:val="24"/>
        </w:rPr>
        <w:t>运输过程中要确保容器不泄漏、不倒塌、不坠落、不损坏。严禁与氧化</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剂、酸类、食用化学品等混装混运。运输时运输车辆应配备相应品种和数量的消防器材及泄漏应急处理设备。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12、法规信息</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常用危险化学品的分类及标志 (GB 13690-92)将该物质划为第8.2 类碱性腐蚀品。</w:t>
      </w:r>
    </w:p>
    <w:bookmarkEnd w:id="60"/>
    <w:p>
      <w:pPr>
        <w:pStyle w:val="3"/>
        <w:rPr>
          <w:rFonts w:hint="eastAsia"/>
        </w:rPr>
      </w:pPr>
      <w:bookmarkStart w:id="68" w:name="_Toc25537"/>
      <w:bookmarkStart w:id="69" w:name="_Toc17379"/>
      <w:r>
        <w:rPr>
          <w:rFonts w:hint="eastAsia"/>
        </w:rPr>
        <w:t>3.4 生产工艺</w:t>
      </w:r>
      <w:bookmarkEnd w:id="68"/>
      <w:bookmarkEnd w:id="69"/>
    </w:p>
    <w:p>
      <w:pPr>
        <w:spacing w:line="480" w:lineRule="exact"/>
        <w:ind w:firstLine="480" w:firstLineChars="200"/>
        <w:rPr>
          <w:rFonts w:hint="eastAsia" w:ascii="宋体" w:hAnsi="宋体" w:eastAsia="宋体" w:cs="宋体"/>
          <w:color w:val="auto"/>
          <w:sz w:val="24"/>
          <w:szCs w:val="24"/>
          <w:lang w:eastAsia="zh-CN"/>
        </w:rPr>
      </w:pPr>
      <w:r>
        <w:rPr>
          <w:rFonts w:hint="eastAsia" w:cs="宋体"/>
          <w:color w:val="auto"/>
          <w:sz w:val="24"/>
          <w:szCs w:val="24"/>
          <w:lang w:eastAsia="zh-CN"/>
        </w:rPr>
        <w:t>（</w:t>
      </w:r>
      <w:r>
        <w:rPr>
          <w:rFonts w:hint="eastAsia" w:cs="宋体"/>
          <w:color w:val="auto"/>
          <w:sz w:val="24"/>
          <w:szCs w:val="24"/>
          <w:lang w:val="en-US" w:eastAsia="zh-CN"/>
        </w:rPr>
        <w:t>1</w:t>
      </w:r>
      <w:r>
        <w:rPr>
          <w:rFonts w:hint="eastAsia" w:cs="宋体"/>
          <w:color w:val="auto"/>
          <w:sz w:val="24"/>
          <w:szCs w:val="24"/>
          <w:lang w:eastAsia="zh-CN"/>
        </w:rPr>
        <w:t>）工艺简述</w:t>
      </w:r>
    </w:p>
    <w:p>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1、一次提纯</w:t>
      </w:r>
    </w:p>
    <w:p>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将化纤工业废液（含22%的硫氢化钠）过滤纯化后，加入到2号蒸发器进行加热（用高温导热油）浓缩，再转到1号蒸发器进行加热浓缩，搅拌后送压滤机过滤，进入半成品槽。</w:t>
      </w:r>
    </w:p>
    <w:p>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2、二次提纯</w:t>
      </w:r>
    </w:p>
    <w:p>
      <w:pPr>
        <w:adjustRightInd w:val="0"/>
        <w:snapToGrid w:val="0"/>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半成品加入到4效罐进行加热浓缩，再转到5效罐进行加热浓缩至70%标准浓度，送到成品桶；液体进行冷却制片，生成黄色不透明固体，即产品硫氢化钠。将已提纯过滤浓缩后的硫氢化钠液体，加入</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"http://baike.baidu.com/w?ct=17&amp;lm=0&amp;tn=baiduWikiSearch&amp;pn=0&amp;rn=10&amp;submit=search&amp;word=tag:%C7%E2%D1%F5%BB%AF%C4%C6&amp;tagfromview" \t "_blank"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氢氧化钠</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溶液进行反应，反应生成硫化钠溶液进行加热浓缩至60%浓度后，经冷冻制片即得成品硫化钠。</w:t>
      </w:r>
    </w:p>
    <w:p>
      <w:pPr>
        <w:adjustRightInd w:val="0"/>
        <w:snapToGrid w:val="0"/>
        <w:spacing w:line="480" w:lineRule="exact"/>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加热过程中有微量硫化氢产生，经洗涤塔（用氢氧化钠溶液）溶解吸收处理。吸收液循环利用。</w:t>
      </w:r>
    </w:p>
    <w:p>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H</w:t>
      </w:r>
      <w:r>
        <w:rPr>
          <w:rFonts w:hint="eastAsia" w:ascii="宋体" w:hAnsi="宋体" w:eastAsia="宋体" w:cs="宋体"/>
          <w:color w:val="auto"/>
          <w:sz w:val="24"/>
          <w:szCs w:val="24"/>
          <w:vertAlign w:val="subscript"/>
        </w:rPr>
        <w:t>2</w:t>
      </w:r>
      <w:r>
        <w:rPr>
          <w:rFonts w:hint="eastAsia" w:ascii="宋体" w:hAnsi="宋体" w:eastAsia="宋体" w:cs="宋体"/>
          <w:color w:val="auto"/>
          <w:sz w:val="24"/>
          <w:szCs w:val="24"/>
        </w:rPr>
        <w:t>S+NaOH─→NaHS+H</w:t>
      </w:r>
      <w:r>
        <w:rPr>
          <w:rFonts w:hint="eastAsia" w:ascii="宋体" w:hAnsi="宋体" w:eastAsia="宋体" w:cs="宋体"/>
          <w:color w:val="auto"/>
          <w:sz w:val="24"/>
          <w:szCs w:val="24"/>
          <w:vertAlign w:val="subscript"/>
        </w:rPr>
        <w:t>2</w:t>
      </w:r>
      <w:r>
        <w:rPr>
          <w:rFonts w:hint="eastAsia" w:ascii="宋体" w:hAnsi="宋体" w:eastAsia="宋体" w:cs="宋体"/>
          <w:color w:val="auto"/>
          <w:sz w:val="24"/>
          <w:szCs w:val="24"/>
        </w:rPr>
        <w:t xml:space="preserve">O     </w:t>
      </w:r>
    </w:p>
    <w:p>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NaHS+NaOH─→Na</w:t>
      </w:r>
      <w:r>
        <w:rPr>
          <w:rFonts w:hint="eastAsia" w:ascii="宋体" w:hAnsi="宋体" w:eastAsia="宋体" w:cs="宋体"/>
          <w:color w:val="auto"/>
          <w:sz w:val="24"/>
          <w:szCs w:val="24"/>
          <w:vertAlign w:val="subscript"/>
        </w:rPr>
        <w:t>2</w:t>
      </w:r>
      <w:r>
        <w:rPr>
          <w:rFonts w:hint="eastAsia" w:ascii="宋体" w:hAnsi="宋体" w:eastAsia="宋体" w:cs="宋体"/>
          <w:color w:val="auto"/>
          <w:sz w:val="24"/>
          <w:szCs w:val="24"/>
        </w:rPr>
        <w:t>S+H</w:t>
      </w:r>
      <w:r>
        <w:rPr>
          <w:rFonts w:hint="eastAsia" w:ascii="宋体" w:hAnsi="宋体" w:eastAsia="宋体" w:cs="宋体"/>
          <w:color w:val="auto"/>
          <w:sz w:val="24"/>
          <w:szCs w:val="24"/>
          <w:vertAlign w:val="subscript"/>
        </w:rPr>
        <w:t>2</w:t>
      </w:r>
      <w:r>
        <w:rPr>
          <w:rFonts w:hint="eastAsia" w:ascii="宋体" w:hAnsi="宋体" w:eastAsia="宋体" w:cs="宋体"/>
          <w:color w:val="auto"/>
          <w:sz w:val="24"/>
          <w:szCs w:val="24"/>
        </w:rPr>
        <w:t xml:space="preserve">O </w:t>
      </w:r>
    </w:p>
    <w:p>
      <w:pPr>
        <w:adjustRightInd w:val="0"/>
        <w:snapToGrid w:val="0"/>
        <w:spacing w:line="480" w:lineRule="exact"/>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加热是利用锅炉导热油在蒸发槽内加热，使用温度为220℃。</w:t>
      </w:r>
    </w:p>
    <w:p>
      <w:pPr>
        <w:adjustRightInd w:val="0"/>
        <w:snapToGrid w:val="0"/>
        <w:spacing w:line="480" w:lineRule="exact"/>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冷冻则是由氟里昂制冷机制成冷媒输送至制片机，工作温度-10℃。</w:t>
      </w:r>
    </w:p>
    <w:p>
      <w:pPr>
        <w:spacing w:line="480" w:lineRule="exact"/>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（2）生产流程示意</w:t>
      </w:r>
    </w:p>
    <w:p>
      <w:pPr>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22%NaHS废液→过滤纯化→加热浓缩→压滤机过滤→加热浓缩→冷却制片，得到硫氢化钠。</w:t>
      </w:r>
    </w:p>
    <w:p>
      <w:pPr>
        <w:spacing w:line="480" w:lineRule="exact"/>
        <w:ind w:firstLine="480" w:firstLineChars="200"/>
        <w:rPr>
          <w:rFonts w:hint="eastAsia" w:ascii="宋体" w:hAnsi="宋体" w:eastAsia="宋体" w:cs="宋体"/>
          <w:sz w:val="24"/>
          <w:szCs w:val="24"/>
        </w:rPr>
      </w:pPr>
      <w:r>
        <w:rPr>
          <w:rFonts w:hint="eastAsia" w:ascii="宋体" w:hAnsi="宋体" w:eastAsia="宋体" w:cs="宋体"/>
          <w:color w:val="auto"/>
          <w:sz w:val="24"/>
          <w:szCs w:val="24"/>
        </w:rPr>
        <w:t>硫氢化钠液体→加入</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"http://baike.baidu.com/w?ct=17&amp;lm=0&amp;tn=baiduWikiSearch&amp;pn=0&amp;rn=10&amp;submit=search&amp;word=tag:%C7%E2%D1%F5%BB%AF%C4%C6&amp;tagfromview" \t "_blank"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氢氧化钠</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反应→加热浓缩至</w:t>
      </w:r>
      <w:r>
        <w:rPr>
          <w:rFonts w:hint="eastAsia" w:cs="宋体"/>
          <w:color w:val="auto"/>
          <w:sz w:val="24"/>
          <w:szCs w:val="24"/>
          <w:lang w:val="en-US" w:eastAsia="zh-CN"/>
        </w:rPr>
        <w:t>7</w:t>
      </w:r>
      <w:r>
        <w:rPr>
          <w:rFonts w:hint="eastAsia" w:ascii="宋体" w:hAnsi="宋体" w:eastAsia="宋体" w:cs="宋体"/>
          <w:color w:val="auto"/>
          <w:sz w:val="24"/>
          <w:szCs w:val="24"/>
        </w:rPr>
        <w:t>0%浓度→冷冻制片，得到硫化钠</w:t>
      </w:r>
    </w:p>
    <w:p>
      <w:pPr>
        <w:pStyle w:val="3"/>
        <w:rPr>
          <w:rFonts w:hint="eastAsia"/>
          <w:lang w:val="en-US" w:eastAsia="zh-CN"/>
        </w:rPr>
      </w:pPr>
      <w:bookmarkStart w:id="70" w:name="_Toc1109"/>
      <w:r>
        <w:rPr>
          <w:rFonts w:hint="eastAsia"/>
          <w:lang w:val="en-US" w:eastAsia="zh-CN"/>
        </w:rPr>
        <w:t>3.5安全生产管理</w:t>
      </w:r>
      <w:bookmarkEnd w:id="70"/>
    </w:p>
    <w:p>
      <w:pPr>
        <w:pStyle w:val="6"/>
        <w:keepNext w:val="0"/>
        <w:keepLines w:val="0"/>
        <w:pageBreakBefore w:val="0"/>
        <w:widowControl w:val="0"/>
        <w:kinsoku/>
        <w:wordWrap/>
        <w:overflowPunct/>
        <w:topLinePunct w:val="0"/>
        <w:autoSpaceDE w:val="0"/>
        <w:autoSpaceDN w:val="0"/>
        <w:bidi w:val="0"/>
        <w:adjustRightInd/>
        <w:snapToGrid/>
        <w:spacing w:before="216" w:line="406" w:lineRule="auto"/>
        <w:ind w:left="0" w:right="0" w:firstLine="480"/>
        <w:jc w:val="both"/>
        <w:textAlignment w:val="auto"/>
        <w:outlineLvl w:val="9"/>
        <w:rPr>
          <w:rFonts w:hint="eastAsia" w:ascii="宋体" w:hAnsi="宋体" w:eastAsia="宋体" w:cs="宋体"/>
          <w:sz w:val="24"/>
          <w:szCs w:val="24"/>
          <w:lang w:eastAsia="zh-CN"/>
        </w:rPr>
      </w:pPr>
      <w:r>
        <w:rPr>
          <w:rFonts w:hint="eastAsia" w:ascii="宋体" w:hAnsi="宋体" w:eastAsia="宋体" w:cs="宋体"/>
          <w:spacing w:val="2"/>
          <w:sz w:val="24"/>
          <w:szCs w:val="24"/>
        </w:rPr>
        <w:t>安全生产管理就是针对人们在安全生产过程中的安全问题，运用有效的资</w:t>
      </w:r>
      <w:r>
        <w:rPr>
          <w:rFonts w:hint="eastAsia" w:ascii="宋体" w:hAnsi="宋体" w:eastAsia="宋体" w:cs="宋体"/>
          <w:spacing w:val="-11"/>
          <w:sz w:val="24"/>
          <w:szCs w:val="24"/>
        </w:rPr>
        <w:t>源，发挥人们的智慧，通过人们的努力，进行有关决策、计划、组织和控制等活</w:t>
      </w:r>
      <w:r>
        <w:rPr>
          <w:rFonts w:hint="eastAsia" w:ascii="宋体" w:hAnsi="宋体" w:eastAsia="宋体" w:cs="宋体"/>
          <w:sz w:val="24"/>
          <w:szCs w:val="24"/>
        </w:rPr>
        <w:t>动，实现生产过程中人与机器设备、物料环境的和谐，达到安全生产的目标</w:t>
      </w:r>
      <w:r>
        <w:rPr>
          <w:rFonts w:hint="eastAsia" w:ascii="宋体" w:hAnsi="宋体" w:eastAsia="宋体" w:cs="宋体"/>
          <w:sz w:val="24"/>
          <w:szCs w:val="24"/>
          <w:lang w:eastAsia="zh-CN"/>
        </w:rPr>
        <w:t>。</w:t>
      </w:r>
    </w:p>
    <w:p>
      <w:pPr>
        <w:pStyle w:val="6"/>
        <w:keepNext w:val="0"/>
        <w:keepLines w:val="0"/>
        <w:pageBreakBefore w:val="0"/>
        <w:widowControl w:val="0"/>
        <w:kinsoku/>
        <w:wordWrap/>
        <w:overflowPunct/>
        <w:topLinePunct w:val="0"/>
        <w:autoSpaceDE w:val="0"/>
        <w:autoSpaceDN w:val="0"/>
        <w:bidi w:val="0"/>
        <w:adjustRightInd/>
        <w:snapToGrid/>
        <w:spacing w:before="216" w:line="406" w:lineRule="auto"/>
        <w:ind w:left="0" w:right="0" w:firstLine="480"/>
        <w:jc w:val="both"/>
        <w:textAlignment w:val="auto"/>
        <w:outlineLvl w:val="9"/>
        <w:rPr>
          <w:rFonts w:hint="eastAsia" w:ascii="宋体" w:hAnsi="宋体" w:eastAsia="宋体" w:cs="宋体"/>
          <w:spacing w:val="-14"/>
          <w:sz w:val="24"/>
          <w:szCs w:val="24"/>
        </w:rPr>
      </w:pPr>
      <w:r>
        <w:rPr>
          <w:rFonts w:hint="eastAsia" w:ascii="宋体" w:hAnsi="宋体" w:eastAsia="宋体" w:cs="宋体"/>
          <w:spacing w:val="-9"/>
          <w:sz w:val="24"/>
          <w:szCs w:val="24"/>
        </w:rPr>
        <w:t>经过多年的发展，目前企业已经在安全、环保管理方面形成了较为完善的规</w:t>
      </w:r>
      <w:r>
        <w:rPr>
          <w:rFonts w:hint="eastAsia" w:ascii="宋体" w:hAnsi="宋体" w:eastAsia="宋体" w:cs="宋体"/>
          <w:spacing w:val="-19"/>
          <w:sz w:val="24"/>
          <w:szCs w:val="24"/>
        </w:rPr>
        <w:t>章制度和组织机构，如交接班制度、安全生产责任制，以及各个岗位的操作规程。</w:t>
      </w:r>
      <w:r>
        <w:rPr>
          <w:rFonts w:hint="eastAsia" w:ascii="宋体" w:hAnsi="宋体" w:eastAsia="宋体" w:cs="宋体"/>
          <w:spacing w:val="-9"/>
          <w:sz w:val="24"/>
          <w:szCs w:val="24"/>
        </w:rPr>
        <w:t>除此之外，公司领导班子还在组织机构上加强了对安全、环保的管理，成立了事</w:t>
      </w:r>
      <w:r>
        <w:rPr>
          <w:rFonts w:hint="eastAsia" w:ascii="宋体" w:hAnsi="宋体" w:eastAsia="宋体" w:cs="宋体"/>
          <w:spacing w:val="-15"/>
          <w:sz w:val="24"/>
          <w:szCs w:val="24"/>
        </w:rPr>
        <w:t>故应急救援指挥中心等机构，配备有安全环保管理人员，具体负责公司日常的安</w:t>
      </w:r>
      <w:r>
        <w:rPr>
          <w:rFonts w:hint="eastAsia" w:ascii="宋体" w:hAnsi="宋体" w:eastAsia="宋体" w:cs="宋体"/>
          <w:spacing w:val="-14"/>
          <w:sz w:val="24"/>
          <w:szCs w:val="24"/>
        </w:rPr>
        <w:t>全环保管理、检查和技术措施的落实，事故隐患整改、安全教育组织培训，这在一定程度上降低了事故发生的可能性。</w:t>
      </w:r>
    </w:p>
    <w:p>
      <w:pPr>
        <w:pStyle w:val="3"/>
        <w:rPr>
          <w:rFonts w:hint="eastAsia"/>
        </w:rPr>
      </w:pPr>
      <w:bookmarkStart w:id="71" w:name="_Toc5921"/>
      <w:bookmarkStart w:id="72" w:name="_Toc421483858"/>
      <w:bookmarkStart w:id="73" w:name="_Toc421483206"/>
      <w:bookmarkStart w:id="74" w:name="_Toc421487091"/>
      <w:bookmarkStart w:id="75" w:name="_Toc401654918"/>
      <w:bookmarkStart w:id="76" w:name="_Toc10038"/>
      <w:bookmarkStart w:id="77" w:name="_Toc421817094"/>
      <w:bookmarkStart w:id="78" w:name="_Toc8372"/>
      <w:bookmarkStart w:id="79" w:name="_Toc421487016"/>
      <w:r>
        <w:rPr>
          <w:rFonts w:hint="eastAsia"/>
        </w:rPr>
        <w:t>3.6 现有环境风险防控与应急措施情况</w:t>
      </w:r>
      <w:bookmarkEnd w:id="71"/>
      <w:bookmarkEnd w:id="72"/>
      <w:bookmarkEnd w:id="73"/>
      <w:bookmarkEnd w:id="74"/>
      <w:bookmarkEnd w:id="75"/>
      <w:bookmarkEnd w:id="76"/>
      <w:bookmarkEnd w:id="77"/>
      <w:bookmarkEnd w:id="78"/>
      <w:bookmarkEnd w:id="79"/>
    </w:p>
    <w:p>
      <w:pPr>
        <w:pStyle w:val="4"/>
        <w:rPr>
          <w:rFonts w:hint="eastAsia"/>
        </w:rPr>
      </w:pPr>
      <w:bookmarkStart w:id="80" w:name="3.6 现有环境风险防控与应急措施情况"/>
      <w:bookmarkEnd w:id="80"/>
      <w:bookmarkStart w:id="81" w:name="3.6.1 环境风险管理"/>
      <w:bookmarkEnd w:id="81"/>
      <w:bookmarkStart w:id="82" w:name="3.6.2 环评及批复的环境风险防控和应急措施落实情况"/>
      <w:bookmarkEnd w:id="82"/>
      <w:bookmarkStart w:id="83" w:name="_bookmark6"/>
      <w:bookmarkEnd w:id="83"/>
      <w:bookmarkStart w:id="84" w:name="3.6.3 环境风险防范措施"/>
      <w:bookmarkEnd w:id="84"/>
      <w:bookmarkStart w:id="85" w:name="_Toc7129"/>
      <w:r>
        <w:rPr>
          <w:rFonts w:hint="eastAsia"/>
          <w:lang w:val="en-US" w:eastAsia="zh-CN"/>
        </w:rPr>
        <w:t>3.6.1</w:t>
      </w:r>
      <w:r>
        <w:rPr>
          <w:rFonts w:hint="eastAsia"/>
        </w:rPr>
        <w:t>环境风险管理</w:t>
      </w:r>
      <w:bookmarkEnd w:id="85"/>
    </w:p>
    <w:p>
      <w:pPr>
        <w:keepNext w:val="0"/>
        <w:keepLines w:val="0"/>
        <w:pageBreakBefore w:val="0"/>
        <w:widowControl w:val="0"/>
        <w:numPr>
          <w:ilvl w:val="3"/>
          <w:numId w:val="2"/>
        </w:numPr>
        <w:kinsoku/>
        <w:wordWrap/>
        <w:overflowPunct/>
        <w:topLinePunct w:val="0"/>
        <w:autoSpaceDE w:val="0"/>
        <w:autoSpaceDN w:val="0"/>
        <w:bidi w:val="0"/>
        <w:adjustRightInd/>
        <w:snapToGrid/>
        <w:ind w:left="0"/>
        <w:textAlignment w:val="auto"/>
        <w:outlineLvl w:val="9"/>
        <w:rPr>
          <w:rFonts w:hint="eastAsia"/>
        </w:rPr>
      </w:pPr>
      <w:r>
        <w:rPr>
          <w:rFonts w:hint="eastAsia"/>
        </w:rPr>
        <w:t>建立比较健全的环境保护规章管理制度。</w:t>
      </w:r>
    </w:p>
    <w:p>
      <w:pPr>
        <w:keepNext w:val="0"/>
        <w:keepLines w:val="0"/>
        <w:pageBreakBefore w:val="0"/>
        <w:widowControl w:val="0"/>
        <w:numPr>
          <w:ilvl w:val="3"/>
          <w:numId w:val="2"/>
        </w:numPr>
        <w:kinsoku/>
        <w:wordWrap/>
        <w:overflowPunct/>
        <w:topLinePunct w:val="0"/>
        <w:autoSpaceDE w:val="0"/>
        <w:autoSpaceDN w:val="0"/>
        <w:bidi w:val="0"/>
        <w:adjustRightInd/>
        <w:snapToGrid/>
        <w:ind w:left="0"/>
        <w:textAlignment w:val="auto"/>
        <w:outlineLvl w:val="9"/>
        <w:rPr>
          <w:rFonts w:hint="eastAsia"/>
        </w:rPr>
      </w:pPr>
      <w:r>
        <w:rPr>
          <w:rFonts w:hint="eastAsia"/>
        </w:rPr>
        <w:t>根据厂区风险分析和环境管理制度，定期组织员工进行学习和培训。针对厂区内可能发生的环境风险事故进行定期演练。</w:t>
      </w:r>
    </w:p>
    <w:p>
      <w:pPr>
        <w:keepNext w:val="0"/>
        <w:keepLines w:val="0"/>
        <w:pageBreakBefore w:val="0"/>
        <w:widowControl w:val="0"/>
        <w:numPr>
          <w:ilvl w:val="3"/>
          <w:numId w:val="2"/>
        </w:numPr>
        <w:kinsoku/>
        <w:wordWrap/>
        <w:overflowPunct/>
        <w:topLinePunct w:val="0"/>
        <w:autoSpaceDE w:val="0"/>
        <w:autoSpaceDN w:val="0"/>
        <w:bidi w:val="0"/>
        <w:adjustRightInd/>
        <w:snapToGrid/>
        <w:ind w:left="0"/>
        <w:textAlignment w:val="auto"/>
        <w:outlineLvl w:val="9"/>
        <w:rPr>
          <w:rFonts w:hint="eastAsia"/>
        </w:rPr>
      </w:pPr>
      <w:r>
        <w:rPr>
          <w:rFonts w:hint="eastAsia"/>
        </w:rPr>
        <w:t>制定突发环境事件信息报告制度，并有效实施。</w:t>
      </w:r>
    </w:p>
    <w:p>
      <w:pPr>
        <w:pStyle w:val="4"/>
        <w:rPr>
          <w:rFonts w:hint="eastAsia"/>
        </w:rPr>
      </w:pPr>
      <w:bookmarkStart w:id="86" w:name="_Toc17999"/>
      <w:r>
        <w:rPr>
          <w:rFonts w:hint="eastAsia"/>
          <w:lang w:val="en-US" w:eastAsia="zh-CN"/>
        </w:rPr>
        <w:t>3.6.2</w:t>
      </w:r>
      <w:r>
        <w:rPr>
          <w:rFonts w:hint="eastAsia"/>
        </w:rPr>
        <w:t>环评及批复的环境风险防控和应急措施落实情况</w:t>
      </w:r>
      <w:bookmarkEnd w:id="86"/>
    </w:p>
    <w:p>
      <w:pPr>
        <w:pStyle w:val="6"/>
        <w:spacing w:before="163"/>
        <w:rPr>
          <w:rFonts w:hint="eastAsia" w:ascii="宋体" w:hAnsi="宋体" w:eastAsia="宋体" w:cs="宋体"/>
          <w:sz w:val="24"/>
          <w:szCs w:val="24"/>
        </w:rPr>
      </w:pPr>
      <w:r>
        <w:rPr>
          <w:rFonts w:hint="eastAsia" w:cs="宋体"/>
          <w:spacing w:val="-14"/>
          <w:sz w:val="24"/>
          <w:szCs w:val="24"/>
          <w:lang w:eastAsia="zh-CN"/>
        </w:rPr>
        <w:t>企业</w:t>
      </w:r>
      <w:r>
        <w:rPr>
          <w:rFonts w:hint="eastAsia" w:ascii="宋体" w:hAnsi="宋体" w:eastAsia="宋体" w:cs="宋体"/>
          <w:spacing w:val="-14"/>
          <w:sz w:val="24"/>
          <w:szCs w:val="24"/>
        </w:rPr>
        <w:t xml:space="preserve">于 </w:t>
      </w:r>
      <w:r>
        <w:rPr>
          <w:rFonts w:hint="eastAsia" w:ascii="宋体" w:hAnsi="宋体" w:eastAsia="宋体" w:cs="宋体"/>
          <w:sz w:val="24"/>
          <w:szCs w:val="24"/>
        </w:rPr>
        <w:t>20</w:t>
      </w:r>
      <w:r>
        <w:rPr>
          <w:rFonts w:hint="eastAsia" w:cs="宋体"/>
          <w:sz w:val="24"/>
          <w:szCs w:val="24"/>
          <w:lang w:val="en-US" w:eastAsia="zh-CN"/>
        </w:rPr>
        <w:t>08</w:t>
      </w:r>
      <w:r>
        <w:rPr>
          <w:rFonts w:hint="eastAsia" w:ascii="宋体" w:hAnsi="宋体" w:eastAsia="宋体" w:cs="宋体"/>
          <w:spacing w:val="-26"/>
          <w:sz w:val="24"/>
          <w:szCs w:val="24"/>
        </w:rPr>
        <w:t xml:space="preserve">年 </w:t>
      </w:r>
      <w:r>
        <w:rPr>
          <w:rFonts w:hint="eastAsia" w:cs="宋体"/>
          <w:spacing w:val="-26"/>
          <w:sz w:val="24"/>
          <w:szCs w:val="24"/>
          <w:lang w:val="en-US" w:eastAsia="zh-CN"/>
        </w:rPr>
        <w:t>1</w:t>
      </w:r>
      <w:r>
        <w:rPr>
          <w:rFonts w:hint="eastAsia" w:ascii="宋体" w:hAnsi="宋体" w:eastAsia="宋体" w:cs="宋体"/>
          <w:spacing w:val="1"/>
          <w:sz w:val="24"/>
          <w:szCs w:val="24"/>
        </w:rPr>
        <w:t>月委托</w:t>
      </w:r>
      <w:r>
        <w:rPr>
          <w:rFonts w:hint="eastAsia" w:cs="宋体"/>
          <w:spacing w:val="1"/>
          <w:sz w:val="24"/>
          <w:szCs w:val="24"/>
          <w:lang w:eastAsia="zh-CN"/>
        </w:rPr>
        <w:t>九江市环境科学研究所</w:t>
      </w:r>
      <w:r>
        <w:rPr>
          <w:rFonts w:hint="eastAsia" w:ascii="宋体" w:hAnsi="宋体" w:eastAsia="宋体" w:cs="宋体"/>
          <w:spacing w:val="1"/>
          <w:sz w:val="24"/>
          <w:szCs w:val="24"/>
        </w:rPr>
        <w:t>完成了《</w:t>
      </w:r>
      <w:r>
        <w:rPr>
          <w:rFonts w:hint="eastAsia" w:cs="宋体"/>
          <w:spacing w:val="1"/>
          <w:sz w:val="24"/>
          <w:szCs w:val="24"/>
          <w:lang w:eastAsia="zh-CN"/>
        </w:rPr>
        <w:t>年处理硫氢化钠废液</w:t>
      </w:r>
      <w:r>
        <w:rPr>
          <w:rFonts w:hint="eastAsia" w:cs="宋体"/>
          <w:spacing w:val="1"/>
          <w:sz w:val="24"/>
          <w:szCs w:val="24"/>
          <w:lang w:val="en-US" w:eastAsia="zh-CN"/>
        </w:rPr>
        <w:t>13600吨项目</w:t>
      </w:r>
      <w:r>
        <w:rPr>
          <w:rFonts w:hint="eastAsia" w:ascii="宋体" w:hAnsi="宋体" w:eastAsia="宋体" w:cs="宋体"/>
          <w:spacing w:val="-5"/>
          <w:sz w:val="24"/>
          <w:szCs w:val="24"/>
        </w:rPr>
        <w:t>环境影响报告表》的编制，</w:t>
      </w:r>
      <w:r>
        <w:rPr>
          <w:rFonts w:hint="eastAsia" w:cs="宋体"/>
          <w:spacing w:val="-12"/>
          <w:sz w:val="24"/>
          <w:szCs w:val="24"/>
          <w:lang w:eastAsia="zh-CN"/>
        </w:rPr>
        <w:t>九江</w:t>
      </w:r>
      <w:r>
        <w:rPr>
          <w:rFonts w:hint="eastAsia" w:ascii="宋体" w:hAnsi="宋体" w:eastAsia="宋体" w:cs="宋体"/>
          <w:sz w:val="24"/>
          <w:szCs w:val="24"/>
        </w:rPr>
        <w:t>市</w:t>
      </w:r>
      <w:r>
        <w:rPr>
          <w:rFonts w:hint="eastAsia" w:ascii="宋体" w:hAnsi="宋体" w:eastAsia="宋体" w:cs="宋体"/>
          <w:spacing w:val="-12"/>
          <w:sz w:val="24"/>
          <w:szCs w:val="24"/>
        </w:rPr>
        <w:t xml:space="preserve">环保局于 </w:t>
      </w:r>
      <w:r>
        <w:rPr>
          <w:rFonts w:hint="eastAsia" w:ascii="宋体" w:hAnsi="宋体" w:eastAsia="宋体" w:cs="宋体"/>
          <w:sz w:val="24"/>
          <w:szCs w:val="24"/>
        </w:rPr>
        <w:t>20</w:t>
      </w:r>
      <w:r>
        <w:rPr>
          <w:rFonts w:hint="eastAsia" w:cs="宋体"/>
          <w:sz w:val="24"/>
          <w:szCs w:val="24"/>
          <w:lang w:val="en-US" w:eastAsia="zh-CN"/>
        </w:rPr>
        <w:t>08</w:t>
      </w:r>
      <w:r>
        <w:rPr>
          <w:rFonts w:hint="eastAsia" w:ascii="宋体" w:hAnsi="宋体" w:eastAsia="宋体" w:cs="宋体"/>
          <w:sz w:val="24"/>
          <w:szCs w:val="24"/>
        </w:rPr>
        <w:t xml:space="preserve"> </w:t>
      </w:r>
      <w:r>
        <w:rPr>
          <w:rFonts w:hint="eastAsia" w:ascii="宋体" w:hAnsi="宋体" w:eastAsia="宋体" w:cs="宋体"/>
          <w:spacing w:val="-30"/>
          <w:sz w:val="24"/>
          <w:szCs w:val="24"/>
        </w:rPr>
        <w:t xml:space="preserve">年 </w:t>
      </w:r>
      <w:r>
        <w:rPr>
          <w:rFonts w:hint="eastAsia" w:ascii="宋体" w:hAnsi="宋体" w:eastAsia="宋体" w:cs="宋体"/>
          <w:sz w:val="24"/>
          <w:szCs w:val="24"/>
        </w:rPr>
        <w:t>予以批复，20</w:t>
      </w:r>
      <w:r>
        <w:rPr>
          <w:rFonts w:hint="eastAsia" w:cs="宋体"/>
          <w:sz w:val="24"/>
          <w:szCs w:val="24"/>
          <w:lang w:val="en-US" w:eastAsia="zh-CN"/>
        </w:rPr>
        <w:t>09</w:t>
      </w:r>
      <w:r>
        <w:rPr>
          <w:rFonts w:hint="eastAsia" w:ascii="宋体" w:hAnsi="宋体" w:eastAsia="宋体" w:cs="宋体"/>
          <w:sz w:val="24"/>
          <w:szCs w:val="24"/>
        </w:rPr>
        <w:t xml:space="preserve"> 年建成投产。按照</w:t>
      </w:r>
      <w:r>
        <w:rPr>
          <w:rFonts w:hint="eastAsia" w:cs="宋体"/>
          <w:sz w:val="24"/>
          <w:szCs w:val="24"/>
          <w:lang w:eastAsia="zh-CN"/>
        </w:rPr>
        <w:t>九江市</w:t>
      </w:r>
      <w:r>
        <w:rPr>
          <w:rFonts w:hint="eastAsia" w:ascii="宋体" w:hAnsi="宋体" w:eastAsia="宋体" w:cs="宋体"/>
          <w:sz w:val="24"/>
          <w:szCs w:val="24"/>
        </w:rPr>
        <w:t>环境保护局批复要求各项环保设施当时逐一落实。</w:t>
      </w:r>
    </w:p>
    <w:p>
      <w:pPr>
        <w:pStyle w:val="4"/>
        <w:rPr>
          <w:rFonts w:hint="eastAsia"/>
        </w:rPr>
      </w:pPr>
      <w:bookmarkStart w:id="87" w:name="_Toc3394"/>
      <w:r>
        <w:rPr>
          <w:rFonts w:hint="eastAsia"/>
          <w:lang w:val="en-US" w:eastAsia="zh-CN"/>
        </w:rPr>
        <w:t>3.6.3</w:t>
      </w:r>
      <w:r>
        <w:rPr>
          <w:rFonts w:hint="eastAsia"/>
        </w:rPr>
        <w:t>环境风险防范措施</w:t>
      </w:r>
      <w:bookmarkEnd w:id="87"/>
    </w:p>
    <w:p>
      <w:pPr>
        <w:numPr>
          <w:ilvl w:val="0"/>
          <w:numId w:val="0"/>
        </w:numPr>
        <w:ind w:leftChars="200" w:right="0" w:rightChars="0"/>
        <w:rPr>
          <w:rFonts w:hint="eastAsia"/>
        </w:rPr>
      </w:pPr>
      <w:r>
        <w:rPr>
          <w:rFonts w:hint="eastAsia"/>
          <w:lang w:eastAsia="zh-CN"/>
        </w:rPr>
        <w:t>（</w:t>
      </w:r>
      <w:r>
        <w:rPr>
          <w:rFonts w:hint="eastAsia"/>
          <w:lang w:val="en-US" w:eastAsia="zh-CN"/>
        </w:rPr>
        <w:t>1</w:t>
      </w:r>
      <w:r>
        <w:rPr>
          <w:rFonts w:hint="eastAsia"/>
          <w:lang w:eastAsia="zh-CN"/>
        </w:rPr>
        <w:t>）</w:t>
      </w:r>
      <w:r>
        <w:rPr>
          <w:rFonts w:hint="eastAsia"/>
        </w:rPr>
        <w:t>消防防范措施</w:t>
      </w:r>
    </w:p>
    <w:p>
      <w:pPr>
        <w:rPr>
          <w:rFonts w:hint="eastAsia"/>
        </w:rPr>
      </w:pPr>
      <w:r>
        <w:rPr>
          <w:rFonts w:hint="eastAsia"/>
        </w:rPr>
        <w:t>①针对本企业重点生产装置、重点部位、重要设备等易燃区，制定灭火作战方案，进行实地演练，不断提高业务素质和灭火防灾能力。</w:t>
      </w:r>
    </w:p>
    <w:p>
      <w:pPr>
        <w:rPr>
          <w:rFonts w:hint="eastAsia"/>
        </w:rPr>
      </w:pPr>
      <w:r>
        <w:rPr>
          <w:rFonts w:hint="eastAsia"/>
        </w:rPr>
        <w:t>②配备消防技术装备。消防技术装备主要包括各种性能的灭火器等，灭火器定时更换，满足消防规定要求。</w:t>
      </w:r>
    </w:p>
    <w:p>
      <w:pPr>
        <w:rPr>
          <w:rFonts w:hint="eastAsia" w:ascii="宋体" w:hAnsi="宋体" w:eastAsia="宋体" w:cs="宋体"/>
          <w:sz w:val="24"/>
          <w:szCs w:val="24"/>
          <w:lang w:val="en-US" w:eastAsia="zh-CN"/>
        </w:rPr>
      </w:pPr>
      <w:r>
        <w:rPr>
          <w:rFonts w:hint="eastAsia"/>
        </w:rPr>
        <w:t>③企业定期安排组织员工安全学习，从员工自身抓起，避免风险事故的发生。</w:t>
      </w:r>
    </w:p>
    <w:p>
      <w:pPr>
        <w:numPr>
          <w:ilvl w:val="0"/>
          <w:numId w:val="0"/>
        </w:numPr>
        <w:ind w:left="520" w:leftChars="0" w:right="0" w:rightChars="0"/>
        <w:rPr>
          <w:rFonts w:hint="eastAsia"/>
          <w:lang w:val="en-US" w:eastAsia="zh-CN"/>
        </w:rPr>
      </w:pPr>
      <w:r>
        <w:rPr>
          <w:rFonts w:hint="eastAsia" w:cs="宋体"/>
          <w:sz w:val="24"/>
          <w:szCs w:val="24"/>
          <w:lang w:eastAsia="zh-CN"/>
        </w:rPr>
        <w:t>（</w:t>
      </w:r>
      <w:r>
        <w:rPr>
          <w:rFonts w:hint="eastAsia" w:cs="宋体"/>
          <w:sz w:val="24"/>
          <w:szCs w:val="24"/>
          <w:lang w:val="en-US" w:eastAsia="zh-CN"/>
        </w:rPr>
        <w:t>2</w:t>
      </w:r>
      <w:r>
        <w:rPr>
          <w:rFonts w:hint="eastAsia" w:cs="宋体"/>
          <w:sz w:val="24"/>
          <w:szCs w:val="24"/>
          <w:lang w:eastAsia="zh-CN"/>
        </w:rPr>
        <w:t>）</w:t>
      </w:r>
      <w:r>
        <w:rPr>
          <w:rFonts w:hint="eastAsia" w:ascii="宋体" w:hAnsi="宋体" w:eastAsia="宋体" w:cs="宋体"/>
          <w:sz w:val="24"/>
          <w:szCs w:val="24"/>
        </w:rPr>
        <w:t xml:space="preserve">生产过程风险防范措施 </w:t>
      </w:r>
    </w:p>
    <w:p>
      <w:pPr>
        <w:rPr>
          <w:rFonts w:hint="eastAsia"/>
        </w:rPr>
      </w:pPr>
      <w:r>
        <w:rPr>
          <w:rFonts w:hint="eastAsia"/>
        </w:rPr>
        <w:t>操作人员应熟悉工艺要求及安全知识，加强全员教育和培训、个体安全防护意识，提高安全操作技能和事故应急处理能力。</w:t>
      </w:r>
    </w:p>
    <w:p>
      <w:pPr>
        <w:rPr>
          <w:rFonts w:hint="eastAsia"/>
        </w:rPr>
      </w:pPr>
      <w:r>
        <w:rPr>
          <w:rFonts w:hint="eastAsia"/>
        </w:rPr>
        <w:t>消除火源，严禁明火进入生产、贮存场所。</w:t>
      </w:r>
    </w:p>
    <w:p>
      <w:pPr>
        <w:rPr>
          <w:rFonts w:hint="eastAsia"/>
        </w:rPr>
      </w:pPr>
      <w:r>
        <w:rPr>
          <w:rFonts w:hint="eastAsia"/>
        </w:rPr>
        <w:t>严格执行操作规程，坚守岗位，发现异常应及时报告，并采取行之有效的措施。建立巡回检查制度，对出现的异常情况，及时采取措施立即清除，暂时不能清除的要采取有效的应急措施，以免扩大或发生事故</w:t>
      </w:r>
    </w:p>
    <w:p>
      <w:pPr>
        <w:pStyle w:val="20"/>
        <w:numPr>
          <w:ilvl w:val="0"/>
          <w:numId w:val="0"/>
        </w:numPr>
        <w:tabs>
          <w:tab w:val="left" w:pos="1360"/>
        </w:tabs>
        <w:spacing w:before="74" w:after="0" w:line="240" w:lineRule="auto"/>
        <w:ind w:leftChars="200" w:right="0" w:rightChars="0"/>
        <w:jc w:val="left"/>
        <w:rPr>
          <w:rFonts w:hint="eastAsia" w:ascii="宋体" w:hAnsi="宋体" w:eastAsia="宋体" w:cs="宋体"/>
          <w:sz w:val="24"/>
          <w:szCs w:val="24"/>
        </w:rPr>
      </w:pPr>
      <w:r>
        <w:rPr>
          <w:rFonts w:hint="eastAsia" w:cs="宋体"/>
          <w:sz w:val="24"/>
          <w:szCs w:val="24"/>
          <w:lang w:eastAsia="zh-CN"/>
        </w:rPr>
        <w:t>（</w:t>
      </w:r>
      <w:r>
        <w:rPr>
          <w:rFonts w:hint="eastAsia" w:cs="宋体"/>
          <w:sz w:val="24"/>
          <w:szCs w:val="24"/>
          <w:lang w:val="en-US" w:eastAsia="zh-CN"/>
        </w:rPr>
        <w:t>3</w:t>
      </w:r>
      <w:r>
        <w:rPr>
          <w:rFonts w:hint="eastAsia" w:cs="宋体"/>
          <w:sz w:val="24"/>
          <w:szCs w:val="24"/>
          <w:lang w:eastAsia="zh-CN"/>
        </w:rPr>
        <w:t>）</w:t>
      </w:r>
      <w:r>
        <w:rPr>
          <w:rFonts w:hint="eastAsia" w:ascii="宋体" w:hAnsi="宋体" w:eastAsia="宋体" w:cs="宋体"/>
          <w:sz w:val="24"/>
          <w:szCs w:val="24"/>
        </w:rPr>
        <w:t>防控措施</w:t>
      </w:r>
    </w:p>
    <w:p>
      <w:pPr>
        <w:rPr>
          <w:rFonts w:hint="eastAsia"/>
        </w:rPr>
      </w:pPr>
      <w:r>
        <w:rPr>
          <w:rFonts w:hint="eastAsia"/>
        </w:rPr>
        <w:t>①本项目厂区建设为四周高，中间低，保证冲洗地面水、整个厂区水均流入</w:t>
      </w:r>
      <w:r>
        <w:rPr>
          <w:rFonts w:hint="eastAsia"/>
          <w:lang w:eastAsia="zh-CN"/>
        </w:rPr>
        <w:t>消防水池</w:t>
      </w:r>
      <w:r>
        <w:rPr>
          <w:rFonts w:hint="eastAsia"/>
        </w:rPr>
        <w:t>，平时做为废水沉淀用，而在发生火灾时，做为一级防控池，防止消防水外流；</w:t>
      </w:r>
    </w:p>
    <w:p>
      <w:pPr>
        <w:rPr>
          <w:rFonts w:hint="eastAsia"/>
        </w:rPr>
      </w:pPr>
      <w:r>
        <w:rPr>
          <w:rFonts w:hint="eastAsia"/>
        </w:rPr>
        <w:t>②厂区生产车间、库房、办公室等部位设置了灭火器。保证初期火灾的扑救，减少火灾的蔓延。</w:t>
      </w:r>
    </w:p>
    <w:p>
      <w:pPr>
        <w:rPr>
          <w:rFonts w:hint="eastAsia"/>
        </w:rPr>
      </w:pPr>
      <w:r>
        <w:rPr>
          <w:rFonts w:hint="eastAsia"/>
        </w:rPr>
        <w:t>③厂区设置了厂区范围内的全天 24 小时监控。</w:t>
      </w:r>
    </w:p>
    <w:p>
      <w:pPr>
        <w:pStyle w:val="20"/>
        <w:numPr>
          <w:ilvl w:val="0"/>
          <w:numId w:val="0"/>
        </w:numPr>
        <w:tabs>
          <w:tab w:val="left" w:pos="1241"/>
        </w:tabs>
        <w:spacing w:before="213" w:after="0" w:line="240" w:lineRule="auto"/>
        <w:ind w:leftChars="200" w:right="0" w:rightChars="0"/>
        <w:jc w:val="left"/>
        <w:rPr>
          <w:rFonts w:hint="eastAsia" w:ascii="宋体" w:hAnsi="宋体" w:eastAsia="宋体" w:cs="宋体"/>
          <w:sz w:val="24"/>
          <w:szCs w:val="24"/>
        </w:rPr>
      </w:pPr>
      <w:r>
        <w:rPr>
          <w:rFonts w:hint="eastAsia" w:cs="宋体"/>
          <w:sz w:val="24"/>
          <w:szCs w:val="24"/>
          <w:lang w:eastAsia="zh-CN"/>
        </w:rPr>
        <w:t>（</w:t>
      </w:r>
      <w:r>
        <w:rPr>
          <w:rFonts w:hint="eastAsia" w:cs="宋体"/>
          <w:sz w:val="24"/>
          <w:szCs w:val="24"/>
          <w:lang w:val="en-US" w:eastAsia="zh-CN"/>
        </w:rPr>
        <w:t>4</w:t>
      </w:r>
      <w:r>
        <w:rPr>
          <w:rFonts w:hint="eastAsia" w:cs="宋体"/>
          <w:sz w:val="24"/>
          <w:szCs w:val="24"/>
          <w:lang w:eastAsia="zh-CN"/>
        </w:rPr>
        <w:t>）</w:t>
      </w:r>
      <w:r>
        <w:rPr>
          <w:rFonts w:hint="eastAsia" w:ascii="宋体" w:hAnsi="宋体" w:eastAsia="宋体" w:cs="宋体"/>
          <w:sz w:val="24"/>
          <w:szCs w:val="24"/>
        </w:rPr>
        <w:t>运输过程中的环境风险防范措施</w:t>
      </w:r>
    </w:p>
    <w:p>
      <w:pPr>
        <w:rPr>
          <w:rFonts w:hint="eastAsia"/>
        </w:rPr>
      </w:pPr>
      <w:r>
        <w:rPr>
          <w:rFonts w:hint="eastAsia"/>
        </w:rPr>
        <w:t>①运输过程中应对司乘人员进行安全防范教育，车辆行驶过程中应加强检查。</w:t>
      </w:r>
    </w:p>
    <w:p>
      <w:pPr>
        <w:rPr>
          <w:rFonts w:hint="eastAsia"/>
        </w:rPr>
      </w:pPr>
      <w:r>
        <w:rPr>
          <w:rFonts w:hint="eastAsia"/>
        </w:rPr>
        <w:t>②发生事故后应及时与有关部门联系，并启动突发事件的防护预案。</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360" w:lineRule="auto"/>
        <w:ind w:right="0" w:rightChars="0" w:firstLine="960" w:firstLineChars="400"/>
        <w:jc w:val="left"/>
        <w:textAlignment w:val="auto"/>
        <w:outlineLvl w:val="9"/>
        <w:rPr>
          <w:rFonts w:hint="eastAsia" w:ascii="宋体" w:hAnsi="宋体" w:eastAsia="宋体" w:cs="宋体"/>
          <w:lang w:val="en-US" w:eastAsia="zh-CN"/>
        </w:rPr>
      </w:pPr>
      <w:r>
        <w:rPr>
          <w:rFonts w:hint="eastAsia" w:ascii="宋体" w:hAnsi="宋体" w:eastAsia="宋体" w:cs="宋体"/>
        </w:rPr>
        <w:t>本项目采取环境风险防范措施相关情况详见表 3</w:t>
      </w:r>
      <w:r>
        <w:rPr>
          <w:rFonts w:hint="eastAsia" w:ascii="宋体" w:hAnsi="宋体" w:eastAsia="宋体" w:cs="宋体"/>
          <w:lang w:val="en-US" w:eastAsia="zh-CN"/>
        </w:rPr>
        <w:t>.6-3</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360" w:lineRule="auto"/>
        <w:ind w:right="0" w:rightChars="0" w:firstLine="964" w:firstLineChars="400"/>
        <w:jc w:val="left"/>
        <w:textAlignment w:val="auto"/>
        <w:outlineLvl w:val="9"/>
        <w:rPr>
          <w:rFonts w:hint="eastAsia" w:ascii="宋体" w:hAnsi="宋体" w:eastAsia="宋体" w:cs="宋体"/>
          <w:b/>
          <w:bCs/>
          <w:lang w:val="en-US" w:eastAsia="zh-CN"/>
        </w:rPr>
      </w:pPr>
      <w:r>
        <w:rPr>
          <w:rFonts w:hint="eastAsia" w:ascii="宋体" w:hAnsi="宋体" w:eastAsia="宋体" w:cs="宋体"/>
          <w:b/>
          <w:bCs/>
        </w:rPr>
        <w:t>表 3</w:t>
      </w:r>
      <w:r>
        <w:rPr>
          <w:rFonts w:hint="eastAsia" w:ascii="宋体" w:hAnsi="宋体" w:eastAsia="宋体" w:cs="宋体"/>
          <w:b/>
          <w:bCs/>
          <w:lang w:val="en-US" w:eastAsia="zh-CN"/>
        </w:rPr>
        <w:t>.6-3</w:t>
      </w:r>
      <w:r>
        <w:rPr>
          <w:rFonts w:hint="eastAsia" w:ascii="宋体" w:hAnsi="宋体" w:eastAsia="宋体" w:cs="宋体"/>
          <w:b/>
          <w:bCs/>
        </w:rPr>
        <w:t xml:space="preserve"> 项目环境风险防控措施一览表</w:t>
      </w:r>
    </w:p>
    <w:tbl>
      <w:tblPr>
        <w:tblStyle w:val="18"/>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3780"/>
        <w:gridCol w:w="3506"/>
        <w:gridCol w:w="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6" w:type="dxa"/>
            <w:gridSpan w:val="4"/>
            <w:vAlign w:val="top"/>
          </w:tcPr>
          <w:p>
            <w:pPr>
              <w:spacing w:line="300" w:lineRule="exact"/>
              <w:jc w:val="center"/>
              <w:rPr>
                <w:rFonts w:hint="eastAsia" w:ascii="宋体" w:hAnsi="宋体" w:eastAsia="宋体" w:cs="宋体"/>
                <w:color w:val="auto"/>
                <w:szCs w:val="21"/>
              </w:rPr>
            </w:pPr>
            <w:r>
              <w:rPr>
                <w:rFonts w:hint="eastAsia" w:ascii="宋体" w:hAnsi="宋体" w:eastAsia="宋体" w:cs="宋体"/>
              </w:rPr>
              <w:t>项目环境风险防控措施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spacing w:line="300" w:lineRule="exact"/>
              <w:ind w:left="0" w:leftChars="0" w:firstLine="0" w:firstLineChars="0"/>
              <w:rPr>
                <w:rFonts w:hint="eastAsia" w:ascii="宋体" w:hAnsi="宋体" w:eastAsia="宋体" w:cs="宋体"/>
                <w:color w:val="auto"/>
                <w:szCs w:val="21"/>
              </w:rPr>
            </w:pPr>
            <w:r>
              <w:rPr>
                <w:rFonts w:hint="eastAsia" w:ascii="宋体" w:hAnsi="宋体" w:eastAsia="宋体" w:cs="宋体"/>
                <w:color w:val="auto"/>
                <w:szCs w:val="21"/>
              </w:rPr>
              <w:t>检测、报警设施</w:t>
            </w:r>
          </w:p>
        </w:tc>
        <w:tc>
          <w:tcPr>
            <w:tcW w:w="3780" w:type="dxa"/>
            <w:vAlign w:val="top"/>
          </w:tcPr>
          <w:p>
            <w:pPr>
              <w:spacing w:line="340" w:lineRule="exact"/>
              <w:rPr>
                <w:rFonts w:hint="eastAsia" w:ascii="宋体" w:hAnsi="宋体" w:eastAsia="宋体" w:cs="宋体"/>
                <w:color w:val="auto"/>
                <w:szCs w:val="21"/>
              </w:rPr>
            </w:pPr>
            <w:r>
              <w:rPr>
                <w:rFonts w:hint="eastAsia" w:ascii="宋体" w:hAnsi="宋体" w:eastAsia="宋体" w:cs="宋体"/>
                <w:color w:val="auto"/>
                <w:szCs w:val="21"/>
              </w:rPr>
              <w:t>压力、温度、液位、流量、组份等报警设施，可燃气体、有毒有害气体、氧气等检测和报警设施，用于安全检查和安全数据分析等检验检测设备、仪器。</w:t>
            </w:r>
          </w:p>
        </w:tc>
        <w:tc>
          <w:tcPr>
            <w:tcW w:w="3506" w:type="dxa"/>
            <w:vAlign w:val="top"/>
          </w:tcPr>
          <w:p>
            <w:pPr>
              <w:spacing w:line="340" w:lineRule="exact"/>
              <w:rPr>
                <w:rFonts w:hint="eastAsia" w:ascii="宋体" w:hAnsi="宋体" w:eastAsia="宋体" w:cs="宋体"/>
                <w:color w:val="auto"/>
                <w:szCs w:val="21"/>
              </w:rPr>
            </w:pPr>
            <w:r>
              <w:rPr>
                <w:rFonts w:hint="eastAsia" w:ascii="宋体" w:hAnsi="宋体" w:eastAsia="宋体" w:cs="宋体"/>
                <w:color w:val="auto"/>
                <w:szCs w:val="21"/>
              </w:rPr>
              <w:t>1、储罐有浮标液位计；</w:t>
            </w:r>
          </w:p>
          <w:p>
            <w:pPr>
              <w:spacing w:line="340" w:lineRule="exact"/>
              <w:rPr>
                <w:rFonts w:hint="eastAsia" w:ascii="宋体" w:hAnsi="宋体" w:eastAsia="宋体" w:cs="宋体"/>
                <w:color w:val="auto"/>
                <w:szCs w:val="21"/>
              </w:rPr>
            </w:pPr>
            <w:r>
              <w:rPr>
                <w:rFonts w:hint="eastAsia" w:ascii="宋体" w:hAnsi="宋体" w:eastAsia="宋体" w:cs="宋体"/>
                <w:color w:val="auto"/>
                <w:szCs w:val="21"/>
              </w:rPr>
              <w:t>2、导热油炉有温度超高报警和控制装置；</w:t>
            </w:r>
          </w:p>
          <w:p>
            <w:pPr>
              <w:spacing w:line="340" w:lineRule="exact"/>
              <w:rPr>
                <w:rFonts w:hint="eastAsia" w:ascii="宋体" w:hAnsi="宋体" w:eastAsia="宋体" w:cs="宋体"/>
                <w:color w:val="auto"/>
                <w:szCs w:val="21"/>
              </w:rPr>
            </w:pPr>
            <w:r>
              <w:rPr>
                <w:rFonts w:hint="eastAsia" w:ascii="宋体" w:hAnsi="宋体" w:eastAsia="宋体" w:cs="宋体"/>
                <w:color w:val="auto"/>
                <w:szCs w:val="21"/>
              </w:rPr>
              <w:t>3、分析室设有重要参数的分析仪器。</w:t>
            </w:r>
          </w:p>
        </w:tc>
        <w:tc>
          <w:tcPr>
            <w:tcW w:w="728" w:type="dxa"/>
            <w:vAlign w:val="top"/>
          </w:tcPr>
          <w:p>
            <w:pPr>
              <w:spacing w:line="300" w:lineRule="exact"/>
              <w:rPr>
                <w:rFonts w:hint="eastAsia" w:ascii="宋体" w:hAnsi="宋体" w:eastAsia="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spacing w:line="300" w:lineRule="exact"/>
              <w:ind w:left="0" w:leftChars="0" w:firstLine="0" w:firstLineChars="0"/>
              <w:rPr>
                <w:rFonts w:hint="eastAsia" w:ascii="宋体" w:hAnsi="宋体" w:eastAsia="宋体" w:cs="宋体"/>
                <w:color w:val="auto"/>
                <w:szCs w:val="21"/>
              </w:rPr>
            </w:pPr>
            <w:r>
              <w:rPr>
                <w:rFonts w:hint="eastAsia" w:ascii="宋体" w:hAnsi="宋体" w:eastAsia="宋体" w:cs="宋体"/>
                <w:color w:val="auto"/>
                <w:szCs w:val="21"/>
              </w:rPr>
              <w:t>设备安全防护设施</w:t>
            </w:r>
          </w:p>
        </w:tc>
        <w:tc>
          <w:tcPr>
            <w:tcW w:w="3780" w:type="dxa"/>
            <w:vAlign w:val="top"/>
          </w:tcPr>
          <w:p>
            <w:pPr>
              <w:spacing w:line="300" w:lineRule="exact"/>
              <w:rPr>
                <w:rFonts w:hint="eastAsia" w:ascii="宋体" w:hAnsi="宋体" w:eastAsia="宋体" w:cs="宋体"/>
                <w:color w:val="auto"/>
                <w:szCs w:val="21"/>
              </w:rPr>
            </w:pPr>
            <w:r>
              <w:rPr>
                <w:rFonts w:hint="eastAsia" w:ascii="宋体" w:hAnsi="宋体" w:eastAsia="宋体" w:cs="宋体"/>
                <w:color w:val="auto"/>
                <w:szCs w:val="21"/>
              </w:rPr>
              <w:t>防护罩、防护屏、负荷限制器、行程限制器，制动、限速、防雷、防潮、防晒、防冻、防腐、防渗漏等设施，传动设备安全锁闭设施，电器过载保护设施，静电接地设施。</w:t>
            </w:r>
          </w:p>
        </w:tc>
        <w:tc>
          <w:tcPr>
            <w:tcW w:w="3506" w:type="dxa"/>
            <w:vAlign w:val="top"/>
          </w:tcPr>
          <w:p>
            <w:pPr>
              <w:spacing w:line="300" w:lineRule="exact"/>
              <w:rPr>
                <w:rFonts w:hint="eastAsia" w:ascii="宋体" w:hAnsi="宋体" w:eastAsia="宋体" w:cs="宋体"/>
                <w:color w:val="auto"/>
                <w:szCs w:val="21"/>
              </w:rPr>
            </w:pPr>
            <w:r>
              <w:rPr>
                <w:rFonts w:hint="eastAsia" w:ascii="宋体" w:hAnsi="宋体" w:eastAsia="宋体" w:cs="宋体"/>
                <w:color w:val="auto"/>
                <w:szCs w:val="21"/>
              </w:rPr>
              <w:t>1、电机的转子有防护罩；</w:t>
            </w:r>
          </w:p>
          <w:p>
            <w:pPr>
              <w:spacing w:line="300" w:lineRule="exact"/>
              <w:rPr>
                <w:rFonts w:hint="eastAsia" w:ascii="宋体" w:hAnsi="宋体" w:eastAsia="宋体" w:cs="宋体"/>
                <w:color w:val="auto"/>
                <w:szCs w:val="21"/>
                <w:highlight w:val="none"/>
              </w:rPr>
            </w:pPr>
            <w:r>
              <w:rPr>
                <w:rFonts w:hint="eastAsia" w:ascii="宋体" w:hAnsi="宋体" w:eastAsia="宋体" w:cs="宋体"/>
                <w:color w:val="000000" w:themeColor="text1"/>
                <w:szCs w:val="21"/>
                <w:highlight w:val="none"/>
                <w14:textFill>
                  <w14:solidFill>
                    <w14:schemeClr w14:val="tx1"/>
                  </w14:solidFill>
                </w14:textFill>
              </w:rPr>
              <w:t>2、按第二类建筑物设置防雷</w:t>
            </w:r>
            <w:r>
              <w:rPr>
                <w:rFonts w:hint="eastAsia" w:ascii="宋体" w:hAnsi="宋体" w:eastAsia="宋体" w:cs="宋体"/>
                <w:color w:val="auto"/>
                <w:szCs w:val="21"/>
                <w:highlight w:val="none"/>
              </w:rPr>
              <w:t>；</w:t>
            </w:r>
          </w:p>
          <w:p>
            <w:pPr>
              <w:spacing w:line="300" w:lineRule="exact"/>
              <w:rPr>
                <w:rFonts w:hint="eastAsia" w:ascii="宋体" w:hAnsi="宋体" w:eastAsia="宋体" w:cs="宋体"/>
                <w:color w:val="auto"/>
                <w:szCs w:val="21"/>
              </w:rPr>
            </w:pPr>
            <w:r>
              <w:rPr>
                <w:rFonts w:hint="eastAsia" w:ascii="宋体" w:hAnsi="宋体" w:eastAsia="宋体" w:cs="宋体"/>
                <w:color w:val="auto"/>
                <w:szCs w:val="21"/>
              </w:rPr>
              <w:t>3、储罐围堰内设有防渗漏；</w:t>
            </w:r>
          </w:p>
          <w:p>
            <w:pPr>
              <w:spacing w:line="300" w:lineRule="exact"/>
              <w:rPr>
                <w:rFonts w:hint="eastAsia" w:ascii="宋体" w:hAnsi="宋体" w:eastAsia="宋体" w:cs="宋体"/>
                <w:color w:val="auto"/>
                <w:szCs w:val="21"/>
              </w:rPr>
            </w:pPr>
            <w:r>
              <w:rPr>
                <w:rFonts w:hint="eastAsia" w:ascii="宋体" w:hAnsi="宋体" w:eastAsia="宋体" w:cs="宋体"/>
                <w:color w:val="auto"/>
                <w:szCs w:val="21"/>
              </w:rPr>
              <w:t>4、电气有过载保护设施。</w:t>
            </w:r>
          </w:p>
        </w:tc>
        <w:tc>
          <w:tcPr>
            <w:tcW w:w="728" w:type="dxa"/>
            <w:vAlign w:val="top"/>
          </w:tcPr>
          <w:p>
            <w:pPr>
              <w:spacing w:line="300" w:lineRule="exact"/>
              <w:rPr>
                <w:rFonts w:hint="eastAsia" w:ascii="宋体" w:hAnsi="宋体" w:eastAsia="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spacing w:line="300" w:lineRule="exact"/>
              <w:ind w:left="0" w:leftChars="0" w:firstLine="0" w:firstLineChars="0"/>
              <w:rPr>
                <w:rFonts w:hint="eastAsia" w:ascii="宋体" w:hAnsi="宋体" w:eastAsia="宋体" w:cs="宋体"/>
                <w:color w:val="auto"/>
                <w:szCs w:val="21"/>
              </w:rPr>
            </w:pPr>
            <w:r>
              <w:rPr>
                <w:rFonts w:hint="eastAsia" w:ascii="宋体" w:hAnsi="宋体" w:eastAsia="宋体" w:cs="宋体"/>
                <w:color w:val="auto"/>
                <w:szCs w:val="21"/>
              </w:rPr>
              <w:t>防爆设施</w:t>
            </w:r>
          </w:p>
          <w:p>
            <w:pPr>
              <w:spacing w:line="300" w:lineRule="exact"/>
              <w:rPr>
                <w:rFonts w:hint="eastAsia" w:ascii="宋体" w:hAnsi="宋体" w:eastAsia="宋体" w:cs="宋体"/>
                <w:color w:val="auto"/>
                <w:szCs w:val="21"/>
              </w:rPr>
            </w:pPr>
          </w:p>
        </w:tc>
        <w:tc>
          <w:tcPr>
            <w:tcW w:w="3780" w:type="dxa"/>
            <w:vAlign w:val="top"/>
          </w:tcPr>
          <w:p>
            <w:pPr>
              <w:spacing w:line="300" w:lineRule="exact"/>
              <w:rPr>
                <w:rFonts w:hint="eastAsia" w:ascii="宋体" w:hAnsi="宋体" w:eastAsia="宋体" w:cs="宋体"/>
                <w:color w:val="auto"/>
                <w:szCs w:val="21"/>
              </w:rPr>
            </w:pPr>
            <w:r>
              <w:rPr>
                <w:rFonts w:hint="eastAsia" w:ascii="宋体" w:hAnsi="宋体" w:eastAsia="宋体" w:cs="宋体"/>
                <w:color w:val="auto"/>
                <w:szCs w:val="21"/>
              </w:rPr>
              <w:t>各种电气、仪表的防爆设施，抑制助燃物品混入（如氮封）、易燃易爆气体和粉尘形成等设施，阻隔防爆器材，防爆工器具。</w:t>
            </w:r>
          </w:p>
        </w:tc>
        <w:tc>
          <w:tcPr>
            <w:tcW w:w="3506" w:type="dxa"/>
            <w:vAlign w:val="top"/>
          </w:tcPr>
          <w:p>
            <w:pPr>
              <w:spacing w:line="300" w:lineRule="exact"/>
              <w:rPr>
                <w:rFonts w:hint="eastAsia" w:ascii="宋体" w:hAnsi="宋体" w:eastAsia="宋体" w:cs="宋体"/>
                <w:color w:val="auto"/>
                <w:szCs w:val="21"/>
              </w:rPr>
            </w:pPr>
            <w:r>
              <w:rPr>
                <w:rFonts w:hint="eastAsia" w:ascii="宋体" w:hAnsi="宋体" w:eastAsia="宋体" w:cs="宋体"/>
                <w:color w:val="auto"/>
                <w:szCs w:val="21"/>
              </w:rPr>
              <w:t>不涉及</w:t>
            </w:r>
          </w:p>
        </w:tc>
        <w:tc>
          <w:tcPr>
            <w:tcW w:w="728" w:type="dxa"/>
            <w:vAlign w:val="top"/>
          </w:tcPr>
          <w:p>
            <w:pPr>
              <w:spacing w:line="300" w:lineRule="exact"/>
              <w:rPr>
                <w:rFonts w:hint="eastAsia" w:ascii="宋体" w:hAnsi="宋体" w:eastAsia="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spacing w:line="300" w:lineRule="exact"/>
              <w:ind w:left="0" w:leftChars="0" w:firstLine="0" w:firstLineChars="0"/>
              <w:rPr>
                <w:rFonts w:hint="eastAsia" w:ascii="宋体" w:hAnsi="宋体" w:eastAsia="宋体" w:cs="宋体"/>
                <w:color w:val="auto"/>
                <w:szCs w:val="21"/>
              </w:rPr>
            </w:pPr>
            <w:r>
              <w:rPr>
                <w:rFonts w:hint="eastAsia" w:ascii="宋体" w:hAnsi="宋体" w:eastAsia="宋体" w:cs="宋体"/>
                <w:color w:val="auto"/>
                <w:szCs w:val="21"/>
              </w:rPr>
              <w:t>作业场所防护设施</w:t>
            </w:r>
          </w:p>
        </w:tc>
        <w:tc>
          <w:tcPr>
            <w:tcW w:w="3780" w:type="dxa"/>
            <w:vAlign w:val="top"/>
          </w:tcPr>
          <w:p>
            <w:pPr>
              <w:spacing w:line="300" w:lineRule="exact"/>
              <w:rPr>
                <w:rFonts w:hint="eastAsia" w:ascii="宋体" w:hAnsi="宋体" w:eastAsia="宋体" w:cs="宋体"/>
                <w:color w:val="auto"/>
                <w:szCs w:val="21"/>
              </w:rPr>
            </w:pPr>
            <w:r>
              <w:rPr>
                <w:rFonts w:hint="eastAsia" w:ascii="宋体" w:hAnsi="宋体" w:eastAsia="宋体" w:cs="宋体"/>
                <w:color w:val="auto"/>
                <w:szCs w:val="21"/>
              </w:rPr>
              <w:t>作业场所的防辐射、防静电、防噪音、通风（除尘、排毒）、防护栏（网）、防滑、防灼烫等设施。</w:t>
            </w:r>
          </w:p>
        </w:tc>
        <w:tc>
          <w:tcPr>
            <w:tcW w:w="3506" w:type="dxa"/>
            <w:vAlign w:val="top"/>
          </w:tcPr>
          <w:p>
            <w:pPr>
              <w:spacing w:line="300" w:lineRule="exact"/>
              <w:rPr>
                <w:rFonts w:hint="eastAsia" w:ascii="宋体" w:hAnsi="宋体" w:eastAsia="宋体" w:cs="宋体"/>
                <w:color w:val="auto"/>
                <w:szCs w:val="21"/>
              </w:rPr>
            </w:pPr>
            <w:r>
              <w:rPr>
                <w:rFonts w:hint="eastAsia" w:ascii="宋体" w:hAnsi="宋体" w:eastAsia="宋体" w:cs="宋体"/>
                <w:color w:val="auto"/>
                <w:szCs w:val="21"/>
              </w:rPr>
              <w:t>1、2m以上操作平台有防护栏杆；</w:t>
            </w:r>
          </w:p>
          <w:p>
            <w:pPr>
              <w:spacing w:line="300" w:lineRule="exact"/>
              <w:rPr>
                <w:rFonts w:hint="eastAsia" w:ascii="宋体" w:hAnsi="宋体" w:eastAsia="宋体" w:cs="宋体"/>
                <w:color w:val="auto"/>
                <w:szCs w:val="21"/>
              </w:rPr>
            </w:pPr>
            <w:r>
              <w:rPr>
                <w:rFonts w:hint="eastAsia" w:ascii="宋体" w:hAnsi="宋体" w:eastAsia="宋体" w:cs="宋体"/>
                <w:color w:val="auto"/>
                <w:szCs w:val="21"/>
              </w:rPr>
              <w:t>2、操作平台有防滑设施；</w:t>
            </w:r>
          </w:p>
          <w:p>
            <w:pPr>
              <w:spacing w:line="300" w:lineRule="exact"/>
              <w:rPr>
                <w:rFonts w:hint="eastAsia" w:ascii="宋体" w:hAnsi="宋体" w:eastAsia="宋体" w:cs="宋体"/>
                <w:color w:val="auto"/>
                <w:szCs w:val="21"/>
              </w:rPr>
            </w:pPr>
            <w:r>
              <w:rPr>
                <w:rFonts w:hint="eastAsia" w:ascii="宋体" w:hAnsi="宋体" w:eastAsia="宋体" w:cs="宋体"/>
                <w:color w:val="auto"/>
                <w:szCs w:val="21"/>
              </w:rPr>
              <w:t>3、高温管道设有保温层，可防灼烫。</w:t>
            </w:r>
          </w:p>
        </w:tc>
        <w:tc>
          <w:tcPr>
            <w:tcW w:w="728" w:type="dxa"/>
            <w:vAlign w:val="top"/>
          </w:tcPr>
          <w:p>
            <w:pPr>
              <w:spacing w:line="300" w:lineRule="exact"/>
              <w:rPr>
                <w:rFonts w:hint="eastAsia" w:ascii="宋体" w:hAnsi="宋体" w:eastAsia="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spacing w:line="300" w:lineRule="exact"/>
              <w:ind w:left="0" w:leftChars="0" w:firstLine="0" w:firstLineChars="0"/>
              <w:rPr>
                <w:rFonts w:hint="eastAsia" w:ascii="宋体" w:hAnsi="宋体" w:eastAsia="宋体" w:cs="宋体"/>
                <w:color w:val="auto"/>
                <w:szCs w:val="21"/>
              </w:rPr>
            </w:pPr>
            <w:r>
              <w:rPr>
                <w:rFonts w:hint="eastAsia" w:ascii="宋体" w:hAnsi="宋体" w:eastAsia="宋体" w:cs="宋体"/>
                <w:color w:val="auto"/>
                <w:szCs w:val="21"/>
              </w:rPr>
              <w:t>安全警示标志</w:t>
            </w:r>
          </w:p>
        </w:tc>
        <w:tc>
          <w:tcPr>
            <w:tcW w:w="3780" w:type="dxa"/>
            <w:vAlign w:val="top"/>
          </w:tcPr>
          <w:p>
            <w:pPr>
              <w:spacing w:line="300" w:lineRule="exact"/>
              <w:rPr>
                <w:rFonts w:hint="eastAsia" w:ascii="宋体" w:hAnsi="宋体" w:eastAsia="宋体" w:cs="宋体"/>
                <w:color w:val="auto"/>
                <w:szCs w:val="21"/>
              </w:rPr>
            </w:pPr>
            <w:r>
              <w:rPr>
                <w:rFonts w:hint="eastAsia" w:ascii="宋体" w:hAnsi="宋体" w:eastAsia="宋体" w:cs="宋体"/>
                <w:color w:val="auto"/>
                <w:szCs w:val="21"/>
              </w:rPr>
              <w:t>包括各种指示、警示作业安全和逃生避难及风向等警示标志。</w:t>
            </w:r>
          </w:p>
        </w:tc>
        <w:tc>
          <w:tcPr>
            <w:tcW w:w="3506" w:type="dxa"/>
            <w:vAlign w:val="top"/>
          </w:tcPr>
          <w:p>
            <w:pPr>
              <w:spacing w:line="300" w:lineRule="exact"/>
              <w:rPr>
                <w:rFonts w:hint="eastAsia" w:ascii="宋体" w:hAnsi="宋体" w:eastAsia="宋体" w:cs="宋体"/>
                <w:color w:val="auto"/>
                <w:szCs w:val="21"/>
              </w:rPr>
            </w:pPr>
            <w:r>
              <w:rPr>
                <w:rFonts w:hint="eastAsia" w:ascii="宋体" w:hAnsi="宋体" w:eastAsia="宋体" w:cs="宋体"/>
                <w:color w:val="auto"/>
                <w:szCs w:val="21"/>
              </w:rPr>
              <w:t>作业场所设有一定数量警示牌。</w:t>
            </w:r>
          </w:p>
        </w:tc>
        <w:tc>
          <w:tcPr>
            <w:tcW w:w="728" w:type="dxa"/>
            <w:vAlign w:val="top"/>
          </w:tcPr>
          <w:p>
            <w:pPr>
              <w:spacing w:line="300" w:lineRule="exact"/>
              <w:rPr>
                <w:rFonts w:hint="eastAsia" w:ascii="宋体" w:hAnsi="宋体" w:eastAsia="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6" w:type="dxa"/>
            <w:gridSpan w:val="4"/>
            <w:vAlign w:val="top"/>
          </w:tcPr>
          <w:p>
            <w:pPr>
              <w:spacing w:line="300" w:lineRule="exact"/>
              <w:jc w:val="center"/>
              <w:rPr>
                <w:rFonts w:hint="eastAsia" w:ascii="宋体" w:hAnsi="宋体" w:eastAsia="宋体" w:cs="宋体"/>
                <w:color w:val="auto"/>
                <w:szCs w:val="21"/>
              </w:rPr>
            </w:pPr>
            <w:r>
              <w:rPr>
                <w:rFonts w:hint="eastAsia" w:ascii="宋体" w:hAnsi="宋体" w:eastAsia="宋体" w:cs="宋体"/>
                <w:b/>
                <w:bCs/>
                <w:color w:val="auto"/>
                <w:szCs w:val="21"/>
              </w:rPr>
              <w:t>控制事故设施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spacing w:line="300" w:lineRule="exact"/>
              <w:ind w:left="0" w:leftChars="0" w:firstLine="0" w:firstLineChars="0"/>
              <w:rPr>
                <w:rFonts w:hint="eastAsia" w:ascii="宋体" w:hAnsi="宋体" w:eastAsia="宋体" w:cs="宋体"/>
                <w:color w:val="auto"/>
                <w:szCs w:val="21"/>
              </w:rPr>
            </w:pPr>
            <w:r>
              <w:rPr>
                <w:rFonts w:hint="eastAsia" w:ascii="宋体" w:hAnsi="宋体" w:eastAsia="宋体" w:cs="宋体"/>
                <w:color w:val="auto"/>
                <w:szCs w:val="21"/>
              </w:rPr>
              <w:t>泄压和止逆设施</w:t>
            </w:r>
          </w:p>
        </w:tc>
        <w:tc>
          <w:tcPr>
            <w:tcW w:w="3780" w:type="dxa"/>
            <w:vAlign w:val="top"/>
          </w:tcPr>
          <w:p>
            <w:pPr>
              <w:spacing w:line="300" w:lineRule="exact"/>
              <w:rPr>
                <w:rFonts w:hint="eastAsia" w:ascii="宋体" w:hAnsi="宋体" w:eastAsia="宋体" w:cs="宋体"/>
                <w:color w:val="auto"/>
                <w:szCs w:val="21"/>
              </w:rPr>
            </w:pPr>
            <w:r>
              <w:rPr>
                <w:rFonts w:hint="eastAsia" w:ascii="宋体" w:hAnsi="宋体" w:eastAsia="宋体" w:cs="宋体"/>
                <w:color w:val="auto"/>
                <w:szCs w:val="21"/>
              </w:rPr>
              <w:t>用于泄压的阀门、爆破片、放空管等设施,用于止逆的阀门等设施，真空系统的密封设施。</w:t>
            </w:r>
          </w:p>
        </w:tc>
        <w:tc>
          <w:tcPr>
            <w:tcW w:w="3506" w:type="dxa"/>
            <w:vAlign w:val="top"/>
          </w:tcPr>
          <w:p>
            <w:pPr>
              <w:spacing w:line="300" w:lineRule="exact"/>
              <w:rPr>
                <w:rFonts w:hint="eastAsia" w:ascii="宋体" w:hAnsi="宋体" w:eastAsia="宋体" w:cs="宋体"/>
                <w:color w:val="auto"/>
                <w:szCs w:val="21"/>
              </w:rPr>
            </w:pPr>
            <w:r>
              <w:rPr>
                <w:rFonts w:hint="eastAsia" w:ascii="宋体" w:hAnsi="宋体" w:eastAsia="宋体" w:cs="宋体"/>
                <w:color w:val="auto"/>
                <w:szCs w:val="21"/>
              </w:rPr>
              <w:t>导热油锅炉液相管设有安全阀；</w:t>
            </w:r>
          </w:p>
          <w:p>
            <w:pPr>
              <w:spacing w:line="300" w:lineRule="exact"/>
              <w:rPr>
                <w:rFonts w:hint="eastAsia" w:ascii="宋体" w:hAnsi="宋体" w:eastAsia="宋体" w:cs="宋体"/>
                <w:color w:val="auto"/>
                <w:szCs w:val="21"/>
              </w:rPr>
            </w:pPr>
            <w:r>
              <w:rPr>
                <w:rFonts w:hint="eastAsia" w:ascii="宋体" w:hAnsi="宋体" w:eastAsia="宋体" w:cs="宋体"/>
                <w:color w:val="auto"/>
                <w:szCs w:val="21"/>
              </w:rPr>
              <w:t>空压机设有安全阀</w:t>
            </w:r>
          </w:p>
        </w:tc>
        <w:tc>
          <w:tcPr>
            <w:tcW w:w="728" w:type="dxa"/>
            <w:vAlign w:val="top"/>
          </w:tcPr>
          <w:p>
            <w:pPr>
              <w:spacing w:line="300" w:lineRule="exact"/>
              <w:rPr>
                <w:rFonts w:hint="eastAsia" w:ascii="宋体" w:hAnsi="宋体" w:eastAsia="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spacing w:line="300" w:lineRule="exact"/>
              <w:ind w:left="0" w:leftChars="0" w:firstLine="0" w:firstLineChars="0"/>
              <w:rPr>
                <w:rFonts w:hint="eastAsia" w:ascii="宋体" w:hAnsi="宋体" w:eastAsia="宋体" w:cs="宋体"/>
                <w:color w:val="auto"/>
                <w:szCs w:val="21"/>
              </w:rPr>
            </w:pPr>
            <w:r>
              <w:rPr>
                <w:rFonts w:hint="eastAsia" w:ascii="宋体" w:hAnsi="宋体" w:eastAsia="宋体" w:cs="宋体"/>
                <w:color w:val="auto"/>
                <w:szCs w:val="21"/>
              </w:rPr>
              <w:t>紧急处理设施</w:t>
            </w:r>
          </w:p>
        </w:tc>
        <w:tc>
          <w:tcPr>
            <w:tcW w:w="3780" w:type="dxa"/>
            <w:vAlign w:val="top"/>
          </w:tcPr>
          <w:p>
            <w:pPr>
              <w:spacing w:line="300" w:lineRule="exact"/>
              <w:rPr>
                <w:rFonts w:hint="eastAsia" w:ascii="宋体" w:hAnsi="宋体" w:eastAsia="宋体" w:cs="宋体"/>
                <w:color w:val="auto"/>
                <w:szCs w:val="21"/>
              </w:rPr>
            </w:pPr>
            <w:r>
              <w:rPr>
                <w:rFonts w:hint="eastAsia" w:ascii="宋体" w:hAnsi="宋体" w:eastAsia="宋体" w:cs="宋体"/>
                <w:color w:val="auto"/>
                <w:szCs w:val="21"/>
              </w:rPr>
              <w:t>紧急备用电源，紧急切断、分流、排放（火炬）、吸收、中和、冷却等设施，通入或者加入惰性气体、反应抑制剂等设施，紧急停车、仪表联锁等设施。</w:t>
            </w:r>
          </w:p>
        </w:tc>
        <w:tc>
          <w:tcPr>
            <w:tcW w:w="3506" w:type="dxa"/>
            <w:vAlign w:val="top"/>
          </w:tcPr>
          <w:p>
            <w:pPr>
              <w:spacing w:line="300" w:lineRule="exact"/>
              <w:rPr>
                <w:rFonts w:hint="eastAsia" w:ascii="宋体" w:hAnsi="宋体" w:eastAsia="宋体" w:cs="宋体"/>
                <w:color w:val="auto"/>
                <w:szCs w:val="21"/>
              </w:rPr>
            </w:pPr>
            <w:r>
              <w:rPr>
                <w:rFonts w:hint="eastAsia" w:ascii="宋体" w:hAnsi="宋体" w:eastAsia="宋体" w:cs="宋体"/>
                <w:color w:val="auto"/>
                <w:szCs w:val="21"/>
              </w:rPr>
              <w:t>1、设有柴油发电机；</w:t>
            </w:r>
          </w:p>
          <w:p>
            <w:pPr>
              <w:spacing w:line="300" w:lineRule="exact"/>
              <w:rPr>
                <w:rFonts w:hint="eastAsia" w:ascii="宋体" w:hAnsi="宋体" w:eastAsia="宋体" w:cs="宋体"/>
                <w:color w:val="auto"/>
                <w:szCs w:val="21"/>
              </w:rPr>
            </w:pPr>
            <w:r>
              <w:rPr>
                <w:rFonts w:hint="eastAsia" w:ascii="宋体" w:hAnsi="宋体" w:eastAsia="宋体" w:cs="宋体"/>
                <w:color w:val="auto"/>
                <w:szCs w:val="21"/>
              </w:rPr>
              <w:t>2、设有冷冻水系统、冷却水循环设施；</w:t>
            </w:r>
          </w:p>
          <w:p>
            <w:pPr>
              <w:spacing w:line="300" w:lineRule="exact"/>
              <w:rPr>
                <w:rFonts w:hint="eastAsia" w:ascii="宋体" w:hAnsi="宋体" w:eastAsia="宋体" w:cs="宋体"/>
                <w:color w:val="auto"/>
                <w:szCs w:val="21"/>
              </w:rPr>
            </w:pPr>
            <w:r>
              <w:rPr>
                <w:rFonts w:hint="eastAsia" w:ascii="宋体" w:hAnsi="宋体" w:eastAsia="宋体" w:cs="宋体"/>
                <w:color w:val="auto"/>
                <w:szCs w:val="21"/>
              </w:rPr>
              <w:t>3、锅炉导热油温度超标报警联锁；</w:t>
            </w:r>
          </w:p>
          <w:p>
            <w:pPr>
              <w:spacing w:line="300" w:lineRule="exact"/>
              <w:rPr>
                <w:rFonts w:hint="eastAsia" w:ascii="宋体" w:hAnsi="宋体" w:eastAsia="宋体" w:cs="宋体"/>
                <w:color w:val="auto"/>
                <w:szCs w:val="21"/>
              </w:rPr>
            </w:pPr>
            <w:r>
              <w:rPr>
                <w:rFonts w:hint="eastAsia" w:ascii="宋体" w:hAnsi="宋体" w:eastAsia="宋体" w:cs="宋体"/>
                <w:color w:val="auto"/>
                <w:szCs w:val="21"/>
              </w:rPr>
              <w:t>4、设有废水收集池。</w:t>
            </w:r>
          </w:p>
        </w:tc>
        <w:tc>
          <w:tcPr>
            <w:tcW w:w="728" w:type="dxa"/>
            <w:vAlign w:val="top"/>
          </w:tcPr>
          <w:p>
            <w:pPr>
              <w:spacing w:line="300" w:lineRule="exact"/>
              <w:rPr>
                <w:rFonts w:hint="eastAsia" w:ascii="宋体" w:hAnsi="宋体" w:eastAsia="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6" w:type="dxa"/>
            <w:gridSpan w:val="4"/>
            <w:vAlign w:val="top"/>
          </w:tcPr>
          <w:p>
            <w:pPr>
              <w:spacing w:line="300" w:lineRule="exact"/>
              <w:ind w:firstLine="4048" w:firstLineChars="1680"/>
              <w:rPr>
                <w:rFonts w:hint="eastAsia" w:ascii="宋体" w:hAnsi="宋体" w:eastAsia="宋体" w:cs="宋体"/>
                <w:color w:val="auto"/>
                <w:szCs w:val="21"/>
              </w:rPr>
            </w:pPr>
            <w:r>
              <w:rPr>
                <w:rFonts w:hint="eastAsia" w:ascii="宋体" w:hAnsi="宋体" w:eastAsia="宋体" w:cs="宋体"/>
                <w:b/>
                <w:bCs/>
                <w:color w:val="auto"/>
                <w:szCs w:val="21"/>
              </w:rPr>
              <w:t>减少与消除事故影响设施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spacing w:line="300" w:lineRule="exact"/>
              <w:ind w:left="0" w:leftChars="0" w:firstLine="0" w:firstLineChars="0"/>
              <w:rPr>
                <w:rFonts w:hint="eastAsia" w:ascii="宋体" w:hAnsi="宋体" w:eastAsia="宋体" w:cs="宋体"/>
                <w:color w:val="auto"/>
                <w:szCs w:val="21"/>
              </w:rPr>
            </w:pPr>
            <w:r>
              <w:rPr>
                <w:rFonts w:hint="eastAsia" w:ascii="宋体" w:hAnsi="宋体" w:eastAsia="宋体" w:cs="宋体"/>
                <w:color w:val="auto"/>
                <w:szCs w:val="21"/>
              </w:rPr>
              <w:t>防止火灾蔓延设施</w:t>
            </w:r>
          </w:p>
        </w:tc>
        <w:tc>
          <w:tcPr>
            <w:tcW w:w="3780" w:type="dxa"/>
            <w:vAlign w:val="top"/>
          </w:tcPr>
          <w:p>
            <w:pPr>
              <w:spacing w:line="300" w:lineRule="exact"/>
              <w:rPr>
                <w:rFonts w:hint="eastAsia" w:ascii="宋体" w:hAnsi="宋体" w:eastAsia="宋体" w:cs="宋体"/>
                <w:color w:val="auto"/>
                <w:szCs w:val="21"/>
              </w:rPr>
            </w:pPr>
            <w:r>
              <w:rPr>
                <w:rFonts w:hint="eastAsia" w:ascii="宋体" w:hAnsi="宋体" w:eastAsia="宋体" w:cs="宋体"/>
                <w:color w:val="auto"/>
                <w:szCs w:val="21"/>
              </w:rPr>
              <w:t>阻火器、安全水封、回火防止器、防油（火）堤，防爆墙、防爆门等隔爆设施，防火墙、防火门、蒸汽幕、水幕等设施，防火材料涂层。</w:t>
            </w:r>
          </w:p>
        </w:tc>
        <w:tc>
          <w:tcPr>
            <w:tcW w:w="3506" w:type="dxa"/>
            <w:vAlign w:val="top"/>
          </w:tcPr>
          <w:p>
            <w:pPr>
              <w:spacing w:line="300" w:lineRule="exact"/>
              <w:rPr>
                <w:rFonts w:hint="eastAsia" w:ascii="宋体" w:hAnsi="宋体" w:eastAsia="宋体" w:cs="宋体"/>
                <w:color w:val="auto"/>
                <w:szCs w:val="21"/>
              </w:rPr>
            </w:pPr>
            <w:r>
              <w:rPr>
                <w:rFonts w:hint="eastAsia" w:ascii="宋体" w:hAnsi="宋体" w:eastAsia="宋体" w:cs="宋体"/>
                <w:color w:val="auto"/>
                <w:szCs w:val="21"/>
              </w:rPr>
              <w:t>该企业原料储罐不属于易燃、可燃物质，罐区设有30cm的围堤。</w:t>
            </w:r>
          </w:p>
        </w:tc>
        <w:tc>
          <w:tcPr>
            <w:tcW w:w="728" w:type="dxa"/>
            <w:vAlign w:val="top"/>
          </w:tcPr>
          <w:p>
            <w:pPr>
              <w:spacing w:line="300" w:lineRule="exact"/>
              <w:rPr>
                <w:rFonts w:hint="eastAsia" w:ascii="宋体" w:hAnsi="宋体" w:eastAsia="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spacing w:line="300" w:lineRule="exact"/>
              <w:ind w:left="0" w:leftChars="0" w:firstLine="0" w:firstLineChars="0"/>
              <w:rPr>
                <w:rFonts w:hint="eastAsia" w:ascii="宋体" w:hAnsi="宋体" w:eastAsia="宋体" w:cs="宋体"/>
                <w:color w:val="auto"/>
                <w:szCs w:val="21"/>
              </w:rPr>
            </w:pPr>
            <w:r>
              <w:rPr>
                <w:rFonts w:hint="eastAsia" w:ascii="宋体" w:hAnsi="宋体" w:eastAsia="宋体" w:cs="宋体"/>
                <w:color w:val="auto"/>
                <w:szCs w:val="21"/>
              </w:rPr>
              <w:t>灭火设施</w:t>
            </w:r>
          </w:p>
          <w:p>
            <w:pPr>
              <w:spacing w:line="300" w:lineRule="exact"/>
              <w:ind w:firstLine="480" w:firstLineChars="200"/>
              <w:rPr>
                <w:rFonts w:hint="eastAsia" w:ascii="宋体" w:hAnsi="宋体" w:eastAsia="宋体" w:cs="宋体"/>
                <w:color w:val="auto"/>
                <w:szCs w:val="21"/>
              </w:rPr>
            </w:pPr>
          </w:p>
        </w:tc>
        <w:tc>
          <w:tcPr>
            <w:tcW w:w="3780" w:type="dxa"/>
            <w:vAlign w:val="top"/>
          </w:tcPr>
          <w:p>
            <w:pPr>
              <w:spacing w:line="300" w:lineRule="exact"/>
              <w:rPr>
                <w:rFonts w:hint="eastAsia" w:ascii="宋体" w:hAnsi="宋体" w:eastAsia="宋体" w:cs="宋体"/>
                <w:color w:val="auto"/>
                <w:szCs w:val="21"/>
              </w:rPr>
            </w:pPr>
            <w:r>
              <w:rPr>
                <w:rFonts w:hint="eastAsia" w:ascii="宋体" w:hAnsi="宋体" w:eastAsia="宋体" w:cs="宋体"/>
                <w:color w:val="auto"/>
                <w:szCs w:val="21"/>
              </w:rPr>
              <w:t>水喷淋、惰性气体、蒸气、泡沫释放等灭火设施，消火栓、高压水枪（炮）、消防车、消防水管网、消防站等。</w:t>
            </w:r>
          </w:p>
        </w:tc>
        <w:tc>
          <w:tcPr>
            <w:tcW w:w="3506" w:type="dxa"/>
            <w:vAlign w:val="top"/>
          </w:tcPr>
          <w:p>
            <w:pPr>
              <w:spacing w:line="300" w:lineRule="exact"/>
              <w:rPr>
                <w:rFonts w:hint="eastAsia" w:ascii="宋体" w:hAnsi="宋体" w:eastAsia="宋体" w:cs="宋体"/>
                <w:color w:val="auto"/>
                <w:szCs w:val="21"/>
              </w:rPr>
            </w:pPr>
            <w:r>
              <w:rPr>
                <w:rFonts w:hint="eastAsia" w:ascii="宋体" w:hAnsi="宋体" w:eastAsia="宋体" w:cs="宋体"/>
                <w:color w:val="auto"/>
                <w:szCs w:val="21"/>
              </w:rPr>
              <w:t>1、厂区设有5个室外消防栓；</w:t>
            </w:r>
          </w:p>
          <w:p>
            <w:pPr>
              <w:spacing w:line="300" w:lineRule="exac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auto"/>
                <w:szCs w:val="21"/>
              </w:rPr>
              <w:t>2、设有30</w:t>
            </w:r>
            <w:r>
              <w:rPr>
                <w:rFonts w:hint="eastAsia" w:ascii="宋体" w:hAnsi="宋体" w:eastAsia="宋体" w:cs="宋体"/>
                <w:color w:val="000000" w:themeColor="text1"/>
                <w:szCs w:val="21"/>
                <w14:textFill>
                  <w14:solidFill>
                    <w14:schemeClr w14:val="tx1"/>
                  </w14:solidFill>
                </w14:textFill>
              </w:rPr>
              <w:t>0m</w:t>
            </w:r>
            <w:r>
              <w:rPr>
                <w:rFonts w:hint="eastAsia" w:ascii="宋体" w:hAnsi="宋体" w:eastAsia="宋体" w:cs="宋体"/>
                <w:color w:val="000000" w:themeColor="text1"/>
                <w:szCs w:val="21"/>
                <w:vertAlign w:val="superscript"/>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消防水池；配置XBD4.2／20-100L消防泵2台，（流量为20L／S、压力为0.42Mpa，功率为15KW）；</w:t>
            </w:r>
          </w:p>
          <w:p>
            <w:pPr>
              <w:spacing w:line="300" w:lineRule="exact"/>
              <w:rPr>
                <w:rFonts w:hint="eastAsia" w:ascii="宋体" w:hAnsi="宋体" w:eastAsia="宋体" w:cs="宋体"/>
                <w:color w:val="auto"/>
                <w:szCs w:val="21"/>
              </w:rPr>
            </w:pPr>
            <w:r>
              <w:rPr>
                <w:rFonts w:hint="eastAsia" w:ascii="宋体" w:hAnsi="宋体" w:eastAsia="宋体" w:cs="宋体"/>
                <w:color w:val="000000" w:themeColor="text1"/>
                <w:szCs w:val="21"/>
                <w14:textFill>
                  <w14:solidFill>
                    <w14:schemeClr w14:val="tx1"/>
                  </w14:solidFill>
                </w14:textFill>
              </w:rPr>
              <w:t>3、MFZ4</w:t>
            </w:r>
            <w:r>
              <w:rPr>
                <w:rFonts w:hint="eastAsia" w:ascii="宋体" w:hAnsi="宋体" w:eastAsia="宋体" w:cs="宋体"/>
                <w:color w:val="000000" w:themeColor="text1"/>
                <w:szCs w:val="21"/>
                <w:lang w:eastAsia="zh-CN"/>
                <w14:textFill>
                  <w14:solidFill>
                    <w14:schemeClr w14:val="tx1"/>
                  </w14:solidFill>
                </w14:textFill>
              </w:rPr>
              <w:t>灭火器</w:t>
            </w:r>
            <w:r>
              <w:rPr>
                <w:rFonts w:hint="eastAsia" w:ascii="宋体" w:hAnsi="宋体" w:eastAsia="宋体" w:cs="宋体"/>
                <w:color w:val="000000" w:themeColor="text1"/>
                <w:szCs w:val="21"/>
                <w:lang w:val="en-US" w:eastAsia="zh-CN"/>
                <w14:textFill>
                  <w14:solidFill>
                    <w14:schemeClr w14:val="tx1"/>
                  </w14:solidFill>
                </w14:textFill>
              </w:rPr>
              <w:t>40</w:t>
            </w:r>
            <w:r>
              <w:rPr>
                <w:rFonts w:hint="eastAsia" w:ascii="宋体" w:hAnsi="宋体" w:eastAsia="宋体" w:cs="宋体"/>
                <w:color w:val="000000" w:themeColor="text1"/>
                <w:szCs w:val="21"/>
                <w14:textFill>
                  <w14:solidFill>
                    <w14:schemeClr w14:val="tx1"/>
                  </w14:solidFill>
                </w14:textFill>
              </w:rPr>
              <w:t>个。</w:t>
            </w:r>
          </w:p>
        </w:tc>
        <w:tc>
          <w:tcPr>
            <w:tcW w:w="728" w:type="dxa"/>
            <w:vAlign w:val="top"/>
          </w:tcPr>
          <w:p>
            <w:pPr>
              <w:spacing w:line="300" w:lineRule="exact"/>
              <w:rPr>
                <w:rFonts w:hint="eastAsia" w:ascii="宋体" w:hAnsi="宋体" w:eastAsia="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spacing w:line="300" w:lineRule="exact"/>
              <w:ind w:left="0" w:leftChars="0" w:firstLine="0" w:firstLineChars="0"/>
              <w:rPr>
                <w:rFonts w:hint="eastAsia" w:ascii="宋体" w:hAnsi="宋体" w:eastAsia="宋体" w:cs="宋体"/>
                <w:color w:val="auto"/>
                <w:szCs w:val="21"/>
              </w:rPr>
            </w:pPr>
            <w:r>
              <w:rPr>
                <w:rFonts w:hint="eastAsia" w:ascii="宋体" w:hAnsi="宋体" w:eastAsia="宋体" w:cs="宋体"/>
                <w:color w:val="auto"/>
                <w:szCs w:val="21"/>
              </w:rPr>
              <w:t>紧急个体处置设施</w:t>
            </w:r>
          </w:p>
        </w:tc>
        <w:tc>
          <w:tcPr>
            <w:tcW w:w="3780" w:type="dxa"/>
            <w:vAlign w:val="top"/>
          </w:tcPr>
          <w:p>
            <w:pPr>
              <w:spacing w:line="300" w:lineRule="exact"/>
              <w:rPr>
                <w:rFonts w:hint="eastAsia" w:ascii="宋体" w:hAnsi="宋体" w:eastAsia="宋体" w:cs="宋体"/>
                <w:color w:val="auto"/>
                <w:szCs w:val="21"/>
              </w:rPr>
            </w:pPr>
            <w:r>
              <w:rPr>
                <w:rFonts w:hint="eastAsia" w:ascii="宋体" w:hAnsi="宋体" w:eastAsia="宋体" w:cs="宋体"/>
                <w:color w:val="auto"/>
                <w:szCs w:val="21"/>
              </w:rPr>
              <w:t>洗眼器、喷淋器、逃生器、逃生索、应急照明等设施。</w:t>
            </w:r>
          </w:p>
        </w:tc>
        <w:tc>
          <w:tcPr>
            <w:tcW w:w="3506" w:type="dxa"/>
            <w:vAlign w:val="top"/>
          </w:tcPr>
          <w:p>
            <w:pPr>
              <w:spacing w:line="300" w:lineRule="exact"/>
              <w:rPr>
                <w:rFonts w:hint="eastAsia" w:ascii="宋体" w:hAnsi="宋体" w:eastAsia="宋体" w:cs="宋体"/>
                <w:color w:val="auto"/>
                <w:szCs w:val="21"/>
              </w:rPr>
            </w:pPr>
            <w:r>
              <w:rPr>
                <w:rFonts w:hint="eastAsia" w:ascii="宋体" w:hAnsi="宋体" w:eastAsia="宋体" w:cs="宋体"/>
                <w:color w:val="auto"/>
                <w:szCs w:val="21"/>
              </w:rPr>
              <w:t>生产厂房设有洗眼器、喷淋器（总8处）；</w:t>
            </w:r>
          </w:p>
        </w:tc>
        <w:tc>
          <w:tcPr>
            <w:tcW w:w="728" w:type="dxa"/>
            <w:vAlign w:val="top"/>
          </w:tcPr>
          <w:p>
            <w:pPr>
              <w:spacing w:line="300" w:lineRule="exact"/>
              <w:rPr>
                <w:rFonts w:hint="eastAsia" w:ascii="宋体" w:hAnsi="宋体" w:eastAsia="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pStyle w:val="7"/>
              <w:spacing w:line="300" w:lineRule="exact"/>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应急救援设施</w:t>
            </w:r>
          </w:p>
        </w:tc>
        <w:tc>
          <w:tcPr>
            <w:tcW w:w="3780" w:type="dxa"/>
            <w:vAlign w:val="top"/>
          </w:tcPr>
          <w:p>
            <w:pPr>
              <w:pStyle w:val="7"/>
              <w:spacing w:line="300" w:lineRule="exact"/>
              <w:ind w:firstLine="0"/>
              <w:rPr>
                <w:rFonts w:hint="eastAsia" w:ascii="宋体" w:hAnsi="宋体" w:eastAsia="宋体" w:cs="宋体"/>
                <w:color w:val="auto"/>
                <w:sz w:val="21"/>
                <w:szCs w:val="21"/>
              </w:rPr>
            </w:pPr>
            <w:r>
              <w:rPr>
                <w:rFonts w:hint="eastAsia" w:ascii="宋体" w:hAnsi="宋体" w:eastAsia="宋体" w:cs="宋体"/>
                <w:color w:val="auto"/>
                <w:sz w:val="21"/>
                <w:szCs w:val="21"/>
              </w:rPr>
              <w:t>堵漏、工程抢险装备和现场受伤人员医疗抢救装备。</w:t>
            </w:r>
          </w:p>
        </w:tc>
        <w:tc>
          <w:tcPr>
            <w:tcW w:w="3506" w:type="dxa"/>
            <w:vAlign w:val="top"/>
          </w:tcPr>
          <w:p>
            <w:pPr>
              <w:spacing w:line="300" w:lineRule="exact"/>
              <w:rPr>
                <w:rFonts w:hint="eastAsia" w:ascii="宋体" w:hAnsi="宋体" w:eastAsia="宋体" w:cs="宋体"/>
                <w:color w:val="auto"/>
                <w:szCs w:val="21"/>
              </w:rPr>
            </w:pPr>
            <w:r>
              <w:rPr>
                <w:rFonts w:hint="eastAsia" w:ascii="宋体" w:hAnsi="宋体" w:eastAsia="宋体" w:cs="宋体"/>
                <w:color w:val="auto"/>
                <w:szCs w:val="21"/>
              </w:rPr>
              <w:t>急救药箱4只；防毒面具2个；警戒线2盘；铁锹5把；</w:t>
            </w:r>
          </w:p>
          <w:p>
            <w:pPr>
              <w:spacing w:line="300" w:lineRule="exact"/>
              <w:rPr>
                <w:rFonts w:hint="eastAsia" w:ascii="宋体" w:hAnsi="宋体" w:eastAsia="宋体" w:cs="宋体"/>
                <w:color w:val="auto"/>
                <w:szCs w:val="21"/>
              </w:rPr>
            </w:pPr>
            <w:r>
              <w:rPr>
                <w:rFonts w:hint="eastAsia" w:ascii="宋体" w:hAnsi="宋体" w:eastAsia="宋体" w:cs="宋体"/>
                <w:color w:val="auto"/>
                <w:szCs w:val="21"/>
              </w:rPr>
              <w:t>有堵漏的沙；</w:t>
            </w:r>
          </w:p>
          <w:p>
            <w:pPr>
              <w:spacing w:line="300" w:lineRule="exact"/>
              <w:rPr>
                <w:rFonts w:hint="eastAsia" w:ascii="宋体" w:hAnsi="宋体" w:eastAsia="宋体" w:cs="宋体"/>
                <w:color w:val="auto"/>
                <w:szCs w:val="21"/>
              </w:rPr>
            </w:pPr>
            <w:r>
              <w:rPr>
                <w:rFonts w:hint="eastAsia" w:ascii="宋体" w:hAnsi="宋体" w:eastAsia="宋体" w:cs="宋体"/>
                <w:color w:val="auto"/>
                <w:szCs w:val="21"/>
              </w:rPr>
              <w:t>厂部小车可应急用；</w:t>
            </w:r>
          </w:p>
        </w:tc>
        <w:tc>
          <w:tcPr>
            <w:tcW w:w="728" w:type="dxa"/>
            <w:vAlign w:val="top"/>
          </w:tcPr>
          <w:p>
            <w:pPr>
              <w:spacing w:line="300" w:lineRule="exact"/>
              <w:rPr>
                <w:rFonts w:hint="eastAsia" w:ascii="宋体" w:hAnsi="宋体" w:eastAsia="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pStyle w:val="7"/>
              <w:spacing w:line="300" w:lineRule="exact"/>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逃生避难设施</w:t>
            </w:r>
          </w:p>
        </w:tc>
        <w:tc>
          <w:tcPr>
            <w:tcW w:w="3780" w:type="dxa"/>
            <w:vAlign w:val="top"/>
          </w:tcPr>
          <w:p>
            <w:pPr>
              <w:pStyle w:val="7"/>
              <w:spacing w:line="300" w:lineRule="exact"/>
              <w:ind w:firstLine="0"/>
              <w:rPr>
                <w:rFonts w:hint="eastAsia" w:ascii="宋体" w:hAnsi="宋体" w:eastAsia="宋体" w:cs="宋体"/>
                <w:color w:val="auto"/>
                <w:sz w:val="21"/>
                <w:szCs w:val="21"/>
              </w:rPr>
            </w:pPr>
            <w:r>
              <w:rPr>
                <w:rFonts w:hint="eastAsia" w:ascii="宋体" w:hAnsi="宋体" w:eastAsia="宋体" w:cs="宋体"/>
                <w:color w:val="auto"/>
                <w:sz w:val="21"/>
                <w:szCs w:val="21"/>
              </w:rPr>
              <w:t>逃生和避难的安全通道（梯）、安全避难所（带空气呼吸系统）、避难信号等。</w:t>
            </w:r>
          </w:p>
        </w:tc>
        <w:tc>
          <w:tcPr>
            <w:tcW w:w="3506" w:type="dxa"/>
            <w:vAlign w:val="top"/>
          </w:tcPr>
          <w:p>
            <w:pPr>
              <w:spacing w:line="300" w:lineRule="exact"/>
              <w:rPr>
                <w:rFonts w:hint="eastAsia" w:ascii="宋体" w:hAnsi="宋体" w:eastAsia="宋体" w:cs="宋体"/>
                <w:color w:val="auto"/>
                <w:szCs w:val="21"/>
              </w:rPr>
            </w:pPr>
            <w:r>
              <w:rPr>
                <w:rFonts w:hint="eastAsia" w:ascii="宋体" w:hAnsi="宋体" w:eastAsia="宋体" w:cs="宋体"/>
                <w:color w:val="auto"/>
                <w:szCs w:val="21"/>
              </w:rPr>
              <w:t>厂房设有4个安全通道；</w:t>
            </w:r>
          </w:p>
          <w:p>
            <w:pPr>
              <w:spacing w:line="300" w:lineRule="exact"/>
              <w:rPr>
                <w:rFonts w:hint="eastAsia" w:ascii="宋体" w:hAnsi="宋体" w:eastAsia="宋体" w:cs="宋体"/>
                <w:color w:val="auto"/>
                <w:szCs w:val="21"/>
              </w:rPr>
            </w:pPr>
            <w:r>
              <w:rPr>
                <w:rFonts w:hint="eastAsia" w:ascii="宋体" w:hAnsi="宋体" w:eastAsia="宋体" w:cs="宋体"/>
                <w:color w:val="auto"/>
                <w:szCs w:val="21"/>
              </w:rPr>
              <w:t>操作平台设有2个疏散通道；</w:t>
            </w:r>
          </w:p>
          <w:p>
            <w:pPr>
              <w:spacing w:line="300" w:lineRule="exact"/>
              <w:rPr>
                <w:rFonts w:hint="eastAsia" w:ascii="宋体" w:hAnsi="宋体" w:eastAsia="宋体" w:cs="宋体"/>
                <w:color w:val="auto"/>
                <w:szCs w:val="21"/>
              </w:rPr>
            </w:pPr>
            <w:r>
              <w:rPr>
                <w:rFonts w:hint="eastAsia" w:ascii="宋体" w:hAnsi="宋体" w:eastAsia="宋体" w:cs="宋体"/>
                <w:color w:val="auto"/>
                <w:szCs w:val="21"/>
              </w:rPr>
              <w:t>仓库设有2个出入口；</w:t>
            </w:r>
          </w:p>
        </w:tc>
        <w:tc>
          <w:tcPr>
            <w:tcW w:w="728" w:type="dxa"/>
            <w:vAlign w:val="top"/>
          </w:tcPr>
          <w:p>
            <w:pPr>
              <w:spacing w:line="300" w:lineRule="exact"/>
              <w:rPr>
                <w:rFonts w:hint="eastAsia" w:ascii="宋体" w:hAnsi="宋体" w:eastAsia="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spacing w:line="300" w:lineRule="exact"/>
              <w:ind w:left="0" w:leftChars="0" w:firstLine="0" w:firstLineChars="0"/>
              <w:rPr>
                <w:rFonts w:hint="eastAsia" w:ascii="宋体" w:hAnsi="宋体" w:eastAsia="宋体" w:cs="宋体"/>
                <w:color w:val="auto"/>
                <w:szCs w:val="21"/>
              </w:rPr>
            </w:pPr>
            <w:r>
              <w:rPr>
                <w:rFonts w:hint="eastAsia" w:ascii="宋体" w:hAnsi="宋体" w:eastAsia="宋体" w:cs="宋体"/>
                <w:color w:val="auto"/>
                <w:szCs w:val="21"/>
              </w:rPr>
              <w:t>劳动防护用品和装备</w:t>
            </w:r>
          </w:p>
        </w:tc>
        <w:tc>
          <w:tcPr>
            <w:tcW w:w="3780" w:type="dxa"/>
            <w:vAlign w:val="top"/>
          </w:tcPr>
          <w:p>
            <w:pPr>
              <w:spacing w:line="300" w:lineRule="exact"/>
              <w:rPr>
                <w:rFonts w:hint="eastAsia" w:ascii="宋体" w:hAnsi="宋体" w:eastAsia="宋体" w:cs="宋体"/>
                <w:color w:val="auto"/>
                <w:szCs w:val="21"/>
              </w:rPr>
            </w:pPr>
            <w:r>
              <w:rPr>
                <w:rFonts w:hint="eastAsia" w:ascii="宋体" w:hAnsi="宋体" w:eastAsia="宋体" w:cs="宋体"/>
                <w:color w:val="auto"/>
                <w:szCs w:val="21"/>
              </w:rPr>
              <w:t>包括头部，面部，视觉、呼吸、听觉器官，四肢，躯干防火、防毒、防灼烫、防腐蚀、防噪声、防光射、防高处坠落、防砸击、防刺伤等免受作业场所物理、化学因素伤害的劳动防护用品和装备。</w:t>
            </w:r>
          </w:p>
        </w:tc>
        <w:tc>
          <w:tcPr>
            <w:tcW w:w="3506" w:type="dxa"/>
            <w:vAlign w:val="top"/>
          </w:tcPr>
          <w:p>
            <w:pPr>
              <w:spacing w:line="300" w:lineRule="exact"/>
              <w:rPr>
                <w:rFonts w:hint="eastAsia" w:ascii="宋体" w:hAnsi="宋体" w:eastAsia="宋体" w:cs="宋体"/>
                <w:color w:val="auto"/>
                <w:szCs w:val="21"/>
              </w:rPr>
            </w:pPr>
            <w:r>
              <w:rPr>
                <w:rFonts w:hint="eastAsia" w:ascii="宋体" w:hAnsi="宋体" w:eastAsia="宋体" w:cs="宋体"/>
                <w:color w:val="auto"/>
                <w:szCs w:val="21"/>
              </w:rPr>
              <w:t>为员工发放:乳胶防护手套、防毒口罩（15套）、护目镜、耐酸碱工作服、锅炉手套、氩弧焊手套、安全帽、防静电工作服</w:t>
            </w:r>
          </w:p>
        </w:tc>
        <w:tc>
          <w:tcPr>
            <w:tcW w:w="728" w:type="dxa"/>
            <w:vAlign w:val="top"/>
          </w:tcPr>
          <w:p>
            <w:pPr>
              <w:spacing w:line="300" w:lineRule="exact"/>
              <w:rPr>
                <w:rFonts w:hint="eastAsia" w:ascii="宋体" w:hAnsi="宋体" w:eastAsia="宋体" w:cs="宋体"/>
                <w:color w:val="auto"/>
                <w:szCs w:val="21"/>
              </w:rPr>
            </w:pPr>
          </w:p>
        </w:tc>
      </w:tr>
    </w:tbl>
    <w:p>
      <w:pPr>
        <w:pStyle w:val="3"/>
        <w:rPr>
          <w:rFonts w:hint="eastAsia"/>
        </w:rPr>
      </w:pPr>
      <w:bookmarkStart w:id="88" w:name="_Toc21721"/>
      <w:bookmarkStart w:id="89" w:name="_Toc24031"/>
      <w:bookmarkStart w:id="90" w:name="_Toc4770"/>
      <w:r>
        <w:rPr>
          <w:rFonts w:hint="eastAsia"/>
        </w:rPr>
        <w:t>3.7 现有应急物资与装备、救援队伍情况</w:t>
      </w:r>
      <w:bookmarkEnd w:id="88"/>
      <w:bookmarkEnd w:id="89"/>
      <w:bookmarkEnd w:id="90"/>
    </w:p>
    <w:p>
      <w:pPr>
        <w:pStyle w:val="4"/>
        <w:rPr>
          <w:rFonts w:hint="eastAsia"/>
        </w:rPr>
      </w:pPr>
      <w:bookmarkStart w:id="91" w:name="_Toc6769"/>
      <w:bookmarkStart w:id="92" w:name="_Toc24"/>
      <w:bookmarkStart w:id="93" w:name="_Toc401654925"/>
      <w:bookmarkStart w:id="94" w:name="_Toc421483209"/>
      <w:r>
        <w:rPr>
          <w:rFonts w:hint="eastAsia"/>
        </w:rPr>
        <w:t>3.7.1 现有应急物资与装备</w:t>
      </w:r>
      <w:bookmarkEnd w:id="91"/>
      <w:bookmarkEnd w:id="92"/>
      <w:bookmarkEnd w:id="93"/>
      <w:bookmarkEnd w:id="94"/>
    </w:p>
    <w:p>
      <w:pPr>
        <w:pStyle w:val="5"/>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表</w:t>
      </w:r>
      <w:r>
        <w:rPr>
          <w:rFonts w:hint="eastAsia" w:ascii="宋体" w:hAnsi="宋体" w:eastAsia="宋体" w:cs="宋体"/>
          <w:b/>
          <w:bCs/>
          <w:color w:val="auto"/>
          <w:sz w:val="24"/>
          <w:szCs w:val="24"/>
          <w:lang w:val="en-US" w:eastAsia="zh-CN"/>
        </w:rPr>
        <w:t>3.7-1 现有应急物资及装备</w:t>
      </w:r>
    </w:p>
    <w:tbl>
      <w:tblPr>
        <w:tblStyle w:val="18"/>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3780"/>
        <w:gridCol w:w="3506"/>
        <w:gridCol w:w="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leftChars="0" w:firstLine="0" w:firstLineChars="0"/>
              <w:textAlignment w:val="auto"/>
              <w:outlineLvl w:val="9"/>
              <w:rPr>
                <w:rFonts w:hint="eastAsia"/>
                <w:b/>
                <w:color w:val="auto"/>
                <w:szCs w:val="21"/>
              </w:rPr>
            </w:pPr>
            <w:r>
              <w:rPr>
                <w:rFonts w:hint="eastAsia"/>
                <w:b/>
                <w:color w:val="auto"/>
                <w:szCs w:val="21"/>
              </w:rPr>
              <w:t>检查项目</w:t>
            </w:r>
          </w:p>
        </w:tc>
        <w:tc>
          <w:tcPr>
            <w:tcW w:w="37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b/>
                <w:color w:val="auto"/>
                <w:szCs w:val="21"/>
              </w:rPr>
            </w:pPr>
            <w:r>
              <w:rPr>
                <w:rFonts w:hint="eastAsia"/>
                <w:b/>
                <w:color w:val="auto"/>
                <w:szCs w:val="21"/>
              </w:rPr>
              <w:t>检查内容</w:t>
            </w:r>
          </w:p>
        </w:tc>
        <w:tc>
          <w:tcPr>
            <w:tcW w:w="350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b/>
                <w:color w:val="auto"/>
                <w:szCs w:val="21"/>
              </w:rPr>
            </w:pPr>
            <w:r>
              <w:rPr>
                <w:rFonts w:hint="eastAsia"/>
                <w:b/>
                <w:color w:val="auto"/>
                <w:szCs w:val="21"/>
              </w:rPr>
              <w:t>检查情况</w:t>
            </w:r>
          </w:p>
        </w:tc>
        <w:tc>
          <w:tcPr>
            <w:tcW w:w="728"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left="0" w:leftChars="0" w:firstLine="0" w:firstLineChars="0"/>
              <w:textAlignment w:val="auto"/>
              <w:outlineLvl w:val="9"/>
              <w:rPr>
                <w:rFonts w:hint="eastAsia"/>
                <w:b/>
                <w:color w:val="auto"/>
                <w:szCs w:val="21"/>
              </w:rPr>
            </w:pPr>
            <w:r>
              <w:rPr>
                <w:rFonts w:hint="eastAsia"/>
                <w:b/>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6" w:type="dxa"/>
            <w:gridSpan w:val="4"/>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color w:val="auto"/>
                <w:szCs w:val="21"/>
              </w:rPr>
            </w:pPr>
            <w:r>
              <w:rPr>
                <w:rFonts w:hint="eastAsia"/>
                <w:b/>
                <w:bCs/>
                <w:color w:val="auto"/>
                <w:szCs w:val="21"/>
              </w:rPr>
              <w:t>预防事故设施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检测、报警设施</w:t>
            </w:r>
          </w:p>
        </w:tc>
        <w:tc>
          <w:tcPr>
            <w:tcW w:w="37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压力、温度、液位、流量、组份等报警设施，可燃气体、有毒有害气体、氧气等检测和报警设施，用于安全检查和安全数据分析等检验检测设备、仪器。</w:t>
            </w:r>
          </w:p>
        </w:tc>
        <w:tc>
          <w:tcPr>
            <w:tcW w:w="350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1、储罐有浮标液位计；</w:t>
            </w:r>
          </w:p>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2、导热油炉有温度超高报警和控制装置；</w:t>
            </w:r>
          </w:p>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3、分析室设有重要参数的分析仪器。</w:t>
            </w:r>
          </w:p>
        </w:tc>
        <w:tc>
          <w:tcPr>
            <w:tcW w:w="728"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设备安全防护设施</w:t>
            </w:r>
          </w:p>
        </w:tc>
        <w:tc>
          <w:tcPr>
            <w:tcW w:w="37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防护罩、防护屏、负荷限制器、行程限制器，制动、限速、防雷、防潮、防晒、防冻、防腐、防渗漏等设施，传动设备安全锁闭设施，电器过载保护设施，静电接地设施。</w:t>
            </w:r>
          </w:p>
        </w:tc>
        <w:tc>
          <w:tcPr>
            <w:tcW w:w="350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1、电机的转子有防护罩；</w:t>
            </w:r>
          </w:p>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2、按第二类建筑物设置防雷；</w:t>
            </w:r>
          </w:p>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3、储罐围堰内设有防渗漏；</w:t>
            </w:r>
          </w:p>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000000" w:themeColor="text1"/>
                <w:szCs w:val="21"/>
                <w14:textFill>
                  <w14:solidFill>
                    <w14:schemeClr w14:val="tx1"/>
                  </w14:solidFill>
                </w14:textFill>
              </w:rPr>
              <w:t>4、电气有过载保护设施</w:t>
            </w:r>
            <w:r>
              <w:rPr>
                <w:rFonts w:hint="eastAsia"/>
                <w:color w:val="auto"/>
                <w:szCs w:val="21"/>
              </w:rPr>
              <w:t>。</w:t>
            </w:r>
          </w:p>
        </w:tc>
        <w:tc>
          <w:tcPr>
            <w:tcW w:w="728"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color w:val="auto"/>
                <w:szCs w:val="21"/>
              </w:rPr>
            </w:pPr>
            <w:r>
              <w:rPr>
                <w:rFonts w:hint="eastAsia"/>
                <w:color w:val="auto"/>
                <w:szCs w:val="21"/>
              </w:rPr>
              <w:t>防爆设施</w:t>
            </w:r>
          </w:p>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p>
        </w:tc>
        <w:tc>
          <w:tcPr>
            <w:tcW w:w="37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各种电气、仪表的防爆设施，抑制助燃物品混入（如氮封）、易燃易爆气体和粉尘形成等设施，阻隔防爆器材，防爆工器具。</w:t>
            </w:r>
          </w:p>
        </w:tc>
        <w:tc>
          <w:tcPr>
            <w:tcW w:w="350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不涉及</w:t>
            </w:r>
          </w:p>
        </w:tc>
        <w:tc>
          <w:tcPr>
            <w:tcW w:w="728"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作业场所防护设施</w:t>
            </w:r>
          </w:p>
        </w:tc>
        <w:tc>
          <w:tcPr>
            <w:tcW w:w="37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作业场所的防辐射、防静电、防噪音、通风（除尘、排毒）、防护栏（网）、防滑、防灼烫等设施。</w:t>
            </w:r>
          </w:p>
        </w:tc>
        <w:tc>
          <w:tcPr>
            <w:tcW w:w="350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1、2m以上操作平台有防护栏杆；</w:t>
            </w:r>
          </w:p>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2、操作平台有防滑设施；</w:t>
            </w:r>
          </w:p>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3、高温管道设有保温层，可防灼烫。</w:t>
            </w:r>
          </w:p>
        </w:tc>
        <w:tc>
          <w:tcPr>
            <w:tcW w:w="728"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安全警示标志</w:t>
            </w:r>
          </w:p>
        </w:tc>
        <w:tc>
          <w:tcPr>
            <w:tcW w:w="37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包括各种指示、警示作业安全和逃生避难及风向等警示标志。</w:t>
            </w:r>
          </w:p>
        </w:tc>
        <w:tc>
          <w:tcPr>
            <w:tcW w:w="350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作业场所设有一定数量警示牌。</w:t>
            </w:r>
          </w:p>
        </w:tc>
        <w:tc>
          <w:tcPr>
            <w:tcW w:w="728"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6" w:type="dxa"/>
            <w:gridSpan w:val="4"/>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color w:val="auto"/>
                <w:szCs w:val="21"/>
              </w:rPr>
            </w:pPr>
            <w:r>
              <w:rPr>
                <w:rFonts w:hint="eastAsia"/>
                <w:b/>
                <w:bCs/>
                <w:color w:val="auto"/>
                <w:szCs w:val="21"/>
              </w:rPr>
              <w:t>控制事故设施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泄压和止逆设施</w:t>
            </w:r>
          </w:p>
        </w:tc>
        <w:tc>
          <w:tcPr>
            <w:tcW w:w="37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用于泄压的阀门、爆破片、放空管等设施</w:t>
            </w:r>
            <w:r>
              <w:rPr>
                <w:color w:val="auto"/>
                <w:szCs w:val="21"/>
              </w:rPr>
              <w:t>,用于止逆的阀门等设施，真空系统的密封设施。</w:t>
            </w:r>
          </w:p>
        </w:tc>
        <w:tc>
          <w:tcPr>
            <w:tcW w:w="350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导热油锅炉液相管设有安全阀；</w:t>
            </w:r>
          </w:p>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空压机设有安全阀</w:t>
            </w:r>
          </w:p>
        </w:tc>
        <w:tc>
          <w:tcPr>
            <w:tcW w:w="728"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紧急处理设施</w:t>
            </w:r>
          </w:p>
        </w:tc>
        <w:tc>
          <w:tcPr>
            <w:tcW w:w="37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紧急备用电源，紧急切断、分流、排放（火炬）、吸收、中和、冷却等设施，通入或者加入惰性气体、反应抑制剂等设施，紧急停车、仪表联锁等设施。</w:t>
            </w:r>
          </w:p>
        </w:tc>
        <w:tc>
          <w:tcPr>
            <w:tcW w:w="350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1、设有柴油发电机；</w:t>
            </w:r>
          </w:p>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2、设有冷冻水系统、冷却水循环设施；</w:t>
            </w:r>
          </w:p>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3、锅炉导热油温度超标报警联锁；</w:t>
            </w:r>
          </w:p>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4、设有废水收集池。</w:t>
            </w:r>
          </w:p>
        </w:tc>
        <w:tc>
          <w:tcPr>
            <w:tcW w:w="728"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6" w:type="dxa"/>
            <w:gridSpan w:val="4"/>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b/>
                <w:bCs/>
                <w:color w:val="auto"/>
                <w:szCs w:val="21"/>
              </w:rPr>
              <w:t>减少与消除事故影响设施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防止火灾蔓延设施</w:t>
            </w:r>
          </w:p>
        </w:tc>
        <w:tc>
          <w:tcPr>
            <w:tcW w:w="37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阻火器、安全水封、回火防止器、防油（火）堤，防爆墙、防爆门等隔爆设施，防火墙、防火门、蒸汽幕、水幕等设施，防火材料涂层。</w:t>
            </w:r>
          </w:p>
        </w:tc>
        <w:tc>
          <w:tcPr>
            <w:tcW w:w="350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该企业原料储罐不属于易燃、可燃物质，罐区设有30cm的围堤。</w:t>
            </w:r>
          </w:p>
        </w:tc>
        <w:tc>
          <w:tcPr>
            <w:tcW w:w="728"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color w:val="auto"/>
                <w:szCs w:val="21"/>
              </w:rPr>
            </w:pPr>
            <w:r>
              <w:rPr>
                <w:rFonts w:hint="eastAsia"/>
                <w:color w:val="auto"/>
                <w:szCs w:val="21"/>
              </w:rPr>
              <w:t>灭火设施</w:t>
            </w:r>
          </w:p>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p>
        </w:tc>
        <w:tc>
          <w:tcPr>
            <w:tcW w:w="37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水喷淋、惰性气体、蒸气、泡沫释放等灭火设施，消火栓、高压水枪（炮）、消防车、消防水管网、消防站等。</w:t>
            </w:r>
          </w:p>
        </w:tc>
        <w:tc>
          <w:tcPr>
            <w:tcW w:w="350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1、厂区设有5个室外消防栓；</w:t>
            </w:r>
          </w:p>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color w:val="auto"/>
                <w:szCs w:val="21"/>
              </w:rPr>
            </w:pPr>
            <w:r>
              <w:rPr>
                <w:rFonts w:hint="eastAsia"/>
                <w:color w:val="auto"/>
                <w:szCs w:val="21"/>
              </w:rPr>
              <w:t>2、设有300m</w:t>
            </w:r>
            <w:r>
              <w:rPr>
                <w:rFonts w:hint="eastAsia"/>
                <w:color w:val="auto"/>
                <w:szCs w:val="21"/>
                <w:vertAlign w:val="superscript"/>
              </w:rPr>
              <w:t>3</w:t>
            </w:r>
            <w:r>
              <w:rPr>
                <w:rFonts w:hint="eastAsia"/>
                <w:color w:val="auto"/>
                <w:szCs w:val="21"/>
              </w:rPr>
              <w:t>消防水池；配置XBD4.</w:t>
            </w:r>
            <w:r>
              <w:rPr>
                <w:rFonts w:hint="eastAsia" w:ascii="宋体" w:hAnsi="宋体"/>
                <w:color w:val="auto"/>
                <w:szCs w:val="21"/>
              </w:rPr>
              <w:t>2／20-100L消防泵2台，（流量为20L／S、压力为0.42Mpa，功率为15KW）；</w:t>
            </w:r>
          </w:p>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ascii="宋体" w:hAnsi="宋体"/>
                <w:color w:val="auto"/>
                <w:szCs w:val="21"/>
              </w:rPr>
              <w:t>3、MFZ4</w:t>
            </w:r>
            <w:r>
              <w:rPr>
                <w:rFonts w:hint="eastAsia" w:ascii="宋体" w:hAnsi="宋体"/>
                <w:color w:val="auto"/>
                <w:szCs w:val="21"/>
                <w:lang w:eastAsia="zh-CN"/>
              </w:rPr>
              <w:t>灭火器</w:t>
            </w:r>
            <w:r>
              <w:rPr>
                <w:rFonts w:hint="eastAsia" w:ascii="宋体" w:hAnsi="宋体"/>
                <w:color w:val="auto"/>
                <w:szCs w:val="21"/>
                <w:lang w:val="en-US" w:eastAsia="zh-CN"/>
              </w:rPr>
              <w:t>40</w:t>
            </w:r>
            <w:r>
              <w:rPr>
                <w:rFonts w:hint="eastAsia" w:ascii="宋体" w:hAnsi="宋体"/>
                <w:color w:val="auto"/>
                <w:szCs w:val="21"/>
              </w:rPr>
              <w:t>个。</w:t>
            </w:r>
          </w:p>
        </w:tc>
        <w:tc>
          <w:tcPr>
            <w:tcW w:w="728"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紧急个体处置设施</w:t>
            </w:r>
          </w:p>
        </w:tc>
        <w:tc>
          <w:tcPr>
            <w:tcW w:w="37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洗眼器、喷淋器、逃生器、逃生索、应急照明等设施。</w:t>
            </w:r>
          </w:p>
        </w:tc>
        <w:tc>
          <w:tcPr>
            <w:tcW w:w="350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生产厂房设有洗眼器、喷淋器（总8处）；</w:t>
            </w:r>
          </w:p>
        </w:tc>
        <w:tc>
          <w:tcPr>
            <w:tcW w:w="728"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pStyle w:val="7"/>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color w:val="auto"/>
                <w:sz w:val="21"/>
                <w:szCs w:val="21"/>
              </w:rPr>
            </w:pPr>
            <w:r>
              <w:rPr>
                <w:color w:val="auto"/>
                <w:sz w:val="21"/>
                <w:szCs w:val="21"/>
              </w:rPr>
              <w:t>应急救援设施</w:t>
            </w:r>
          </w:p>
        </w:tc>
        <w:tc>
          <w:tcPr>
            <w:tcW w:w="3780" w:type="dxa"/>
            <w:vAlign w:val="top"/>
          </w:tcPr>
          <w:p>
            <w:pPr>
              <w:pStyle w:val="7"/>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color w:val="auto"/>
                <w:sz w:val="21"/>
                <w:szCs w:val="21"/>
              </w:rPr>
            </w:pPr>
            <w:r>
              <w:rPr>
                <w:color w:val="auto"/>
                <w:sz w:val="21"/>
                <w:szCs w:val="21"/>
              </w:rPr>
              <w:t>堵漏、工程抢险装备和现场受伤人员医疗抢救装备。</w:t>
            </w:r>
          </w:p>
        </w:tc>
        <w:tc>
          <w:tcPr>
            <w:tcW w:w="350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急救药箱4只；防毒面具2个；警戒线2盘；铁锹5把；</w:t>
            </w:r>
          </w:p>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有堵漏的沙；</w:t>
            </w:r>
          </w:p>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厂部小车可应急用；</w:t>
            </w:r>
          </w:p>
        </w:tc>
        <w:tc>
          <w:tcPr>
            <w:tcW w:w="728"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pStyle w:val="7"/>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color w:val="auto"/>
                <w:sz w:val="21"/>
                <w:szCs w:val="21"/>
              </w:rPr>
            </w:pPr>
            <w:r>
              <w:rPr>
                <w:color w:val="auto"/>
                <w:sz w:val="21"/>
                <w:szCs w:val="21"/>
              </w:rPr>
              <w:t>逃生避难设施</w:t>
            </w:r>
          </w:p>
        </w:tc>
        <w:tc>
          <w:tcPr>
            <w:tcW w:w="3780" w:type="dxa"/>
            <w:vAlign w:val="top"/>
          </w:tcPr>
          <w:p>
            <w:pPr>
              <w:pStyle w:val="7"/>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color w:val="auto"/>
                <w:sz w:val="21"/>
                <w:szCs w:val="21"/>
              </w:rPr>
            </w:pPr>
            <w:r>
              <w:rPr>
                <w:color w:val="auto"/>
                <w:sz w:val="21"/>
                <w:szCs w:val="21"/>
              </w:rPr>
              <w:t>逃生和避难的安全通道（梯）、安全避难所（带空气呼吸系统）、避难信号等。</w:t>
            </w:r>
          </w:p>
        </w:tc>
        <w:tc>
          <w:tcPr>
            <w:tcW w:w="350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厂房设有4个安全通道；</w:t>
            </w:r>
          </w:p>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操作平台设有2个疏散通道；</w:t>
            </w:r>
          </w:p>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仓库设有2个出入口；</w:t>
            </w:r>
          </w:p>
        </w:tc>
        <w:tc>
          <w:tcPr>
            <w:tcW w:w="728"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2"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劳动防护用品和装备</w:t>
            </w:r>
          </w:p>
        </w:tc>
        <w:tc>
          <w:tcPr>
            <w:tcW w:w="3780"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包括头部，面部，视觉、呼吸、听觉器官，四肢，躯干防火、防毒、防灼烫、防腐蚀、防噪声、防光射、防高处坠落、防砸击、防刺伤等免受作业场所物理、化学因素伤害的劳动防护用品和装备。</w:t>
            </w:r>
          </w:p>
        </w:tc>
        <w:tc>
          <w:tcPr>
            <w:tcW w:w="3506"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r>
              <w:rPr>
                <w:rFonts w:hint="eastAsia"/>
                <w:color w:val="auto"/>
                <w:szCs w:val="21"/>
              </w:rPr>
              <w:t>为员工发放:乳胶防护手套、防毒口罩（15套）、护目镜、耐酸碱工作服、锅炉手套、氩弧焊手套、安全帽、防静电工作服</w:t>
            </w:r>
          </w:p>
        </w:tc>
        <w:tc>
          <w:tcPr>
            <w:tcW w:w="728" w:type="dxa"/>
            <w:vAlign w:val="top"/>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auto"/>
                <w:szCs w:val="21"/>
              </w:rPr>
            </w:pPr>
          </w:p>
        </w:tc>
      </w:tr>
    </w:tbl>
    <w:p>
      <w:pPr>
        <w:pStyle w:val="4"/>
      </w:pPr>
      <w:bookmarkStart w:id="95" w:name="_Toc24446"/>
      <w:r>
        <w:rPr>
          <w:rFonts w:hint="eastAsia"/>
          <w:lang w:val="en-US" w:eastAsia="zh-CN"/>
        </w:rPr>
        <w:t>3.7.2</w:t>
      </w:r>
      <w:bookmarkStart w:id="96" w:name="_Toc519646489"/>
      <w:r>
        <w:t>内部救援队伍</w:t>
      </w:r>
      <w:bookmarkEnd w:id="95"/>
      <w:bookmarkEnd w:id="96"/>
    </w:p>
    <w:tbl>
      <w:tblPr>
        <w:tblStyle w:val="17"/>
        <w:tblW w:w="8313" w:type="dxa"/>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849"/>
        <w:gridCol w:w="3108"/>
        <w:gridCol w:w="1664"/>
        <w:gridCol w:w="2692"/>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49" w:type="dxa"/>
            <w:shd w:val="clear" w:color="auto" w:fill="auto"/>
            <w:vAlign w:val="center"/>
          </w:tcPr>
          <w:p>
            <w:pPr>
              <w:ind w:left="0" w:leftChars="0" w:firstLine="0" w:firstLineChars="0"/>
              <w:jc w:val="both"/>
              <w:rPr>
                <w:b/>
                <w:szCs w:val="21"/>
              </w:rPr>
            </w:pPr>
            <w:r>
              <w:rPr>
                <w:b/>
                <w:szCs w:val="21"/>
              </w:rPr>
              <w:t>序号</w:t>
            </w:r>
          </w:p>
        </w:tc>
        <w:tc>
          <w:tcPr>
            <w:tcW w:w="3108" w:type="dxa"/>
            <w:shd w:val="clear" w:color="auto" w:fill="auto"/>
            <w:vAlign w:val="center"/>
          </w:tcPr>
          <w:p>
            <w:pPr>
              <w:jc w:val="center"/>
              <w:rPr>
                <w:b/>
                <w:szCs w:val="21"/>
              </w:rPr>
            </w:pPr>
            <w:r>
              <w:rPr>
                <w:b/>
                <w:szCs w:val="21"/>
              </w:rPr>
              <w:t>单位</w:t>
            </w:r>
          </w:p>
        </w:tc>
        <w:tc>
          <w:tcPr>
            <w:tcW w:w="1664" w:type="dxa"/>
            <w:shd w:val="clear" w:color="auto" w:fill="auto"/>
            <w:vAlign w:val="center"/>
          </w:tcPr>
          <w:p>
            <w:pPr>
              <w:jc w:val="center"/>
              <w:rPr>
                <w:b/>
                <w:szCs w:val="21"/>
              </w:rPr>
            </w:pPr>
            <w:r>
              <w:rPr>
                <w:b/>
                <w:szCs w:val="21"/>
              </w:rPr>
              <w:t>姓名</w:t>
            </w:r>
          </w:p>
        </w:tc>
        <w:tc>
          <w:tcPr>
            <w:tcW w:w="2692" w:type="dxa"/>
            <w:shd w:val="clear" w:color="auto" w:fill="auto"/>
            <w:vAlign w:val="center"/>
          </w:tcPr>
          <w:p>
            <w:pPr>
              <w:jc w:val="center"/>
              <w:rPr>
                <w:b/>
                <w:szCs w:val="21"/>
              </w:rPr>
            </w:pPr>
            <w:r>
              <w:rPr>
                <w:b/>
                <w:szCs w:val="21"/>
              </w:rPr>
              <w:t>手机号码</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49" w:type="dxa"/>
            <w:shd w:val="clear" w:color="auto" w:fill="auto"/>
            <w:vAlign w:val="center"/>
          </w:tcPr>
          <w:p>
            <w:r>
              <w:t>1</w:t>
            </w:r>
          </w:p>
        </w:tc>
        <w:tc>
          <w:tcPr>
            <w:tcW w:w="3108" w:type="dxa"/>
            <w:shd w:val="clear" w:color="auto" w:fill="auto"/>
            <w:vAlign w:val="center"/>
          </w:tcPr>
          <w:p>
            <w:r>
              <w:t>环境监测组</w:t>
            </w:r>
          </w:p>
        </w:tc>
        <w:tc>
          <w:tcPr>
            <w:tcW w:w="1664" w:type="dxa"/>
            <w:shd w:val="clear" w:color="auto" w:fill="auto"/>
            <w:vAlign w:val="center"/>
          </w:tcPr>
          <w:p>
            <w:r>
              <w:rPr>
                <w:rFonts w:hint="eastAsia"/>
              </w:rPr>
              <w:t>周  勇</w:t>
            </w:r>
          </w:p>
        </w:tc>
        <w:tc>
          <w:tcPr>
            <w:tcW w:w="2692" w:type="dxa"/>
            <w:shd w:val="clear" w:color="auto" w:fill="auto"/>
            <w:vAlign w:val="center"/>
          </w:tcPr>
          <w:p>
            <w:r>
              <w:rPr>
                <w:rFonts w:hint="eastAsia"/>
              </w:rPr>
              <w:t>13767200070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49" w:type="dxa"/>
            <w:shd w:val="clear" w:color="auto" w:fill="auto"/>
            <w:vAlign w:val="center"/>
          </w:tcPr>
          <w:p>
            <w:r>
              <w:t>2</w:t>
            </w:r>
          </w:p>
        </w:tc>
        <w:tc>
          <w:tcPr>
            <w:tcW w:w="3108" w:type="dxa"/>
            <w:shd w:val="clear" w:color="auto" w:fill="auto"/>
            <w:vAlign w:val="center"/>
          </w:tcPr>
          <w:p>
            <w:r>
              <w:t>警戒保卫组</w:t>
            </w:r>
          </w:p>
        </w:tc>
        <w:tc>
          <w:tcPr>
            <w:tcW w:w="1664" w:type="dxa"/>
            <w:shd w:val="clear" w:color="auto" w:fill="auto"/>
            <w:vAlign w:val="center"/>
          </w:tcPr>
          <w:p>
            <w:r>
              <w:rPr>
                <w:rFonts w:hint="eastAsia"/>
              </w:rPr>
              <w:t>艾平洋</w:t>
            </w:r>
          </w:p>
        </w:tc>
        <w:tc>
          <w:tcPr>
            <w:tcW w:w="2692" w:type="dxa"/>
            <w:shd w:val="clear" w:color="auto" w:fill="auto"/>
            <w:vAlign w:val="center"/>
          </w:tcPr>
          <w:p>
            <w:r>
              <w:rPr>
                <w:rFonts w:hint="eastAsia"/>
              </w:rPr>
              <w:t>13979205258</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49" w:type="dxa"/>
            <w:shd w:val="clear" w:color="auto" w:fill="auto"/>
            <w:vAlign w:val="center"/>
          </w:tcPr>
          <w:p>
            <w:pPr>
              <w:rPr>
                <w:rFonts w:hint="eastAsia"/>
                <w:lang w:eastAsia="zh-CN"/>
              </w:rPr>
            </w:pPr>
            <w:r>
              <w:rPr>
                <w:rFonts w:hint="eastAsia"/>
                <w:lang w:val="en-US" w:eastAsia="zh-CN"/>
              </w:rPr>
              <w:t>3</w:t>
            </w:r>
          </w:p>
        </w:tc>
        <w:tc>
          <w:tcPr>
            <w:tcW w:w="3108" w:type="dxa"/>
            <w:shd w:val="clear" w:color="auto" w:fill="auto"/>
            <w:vAlign w:val="center"/>
          </w:tcPr>
          <w:p>
            <w:r>
              <w:t>抢险</w:t>
            </w:r>
            <w:r>
              <w:rPr>
                <w:rFonts w:hint="eastAsia"/>
                <w:lang w:eastAsia="zh-CN"/>
              </w:rPr>
              <w:t>救援</w:t>
            </w:r>
            <w:r>
              <w:t>组</w:t>
            </w:r>
          </w:p>
        </w:tc>
        <w:tc>
          <w:tcPr>
            <w:tcW w:w="1664" w:type="dxa"/>
            <w:shd w:val="clear" w:color="auto" w:fill="auto"/>
            <w:vAlign w:val="center"/>
          </w:tcPr>
          <w:p>
            <w:r>
              <w:rPr>
                <w:rFonts w:hint="eastAsia"/>
              </w:rPr>
              <w:t>杨华兵</w:t>
            </w:r>
          </w:p>
        </w:tc>
        <w:tc>
          <w:tcPr>
            <w:tcW w:w="2692" w:type="dxa"/>
            <w:shd w:val="clear" w:color="auto" w:fill="auto"/>
            <w:vAlign w:val="center"/>
          </w:tcPr>
          <w:p>
            <w:r>
              <w:rPr>
                <w:rFonts w:hint="eastAsia"/>
              </w:rPr>
              <w:t>13479880877</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49" w:type="dxa"/>
            <w:shd w:val="clear" w:color="auto" w:fill="auto"/>
            <w:vAlign w:val="center"/>
          </w:tcPr>
          <w:p>
            <w:pPr>
              <w:rPr>
                <w:rFonts w:hint="eastAsia"/>
                <w:lang w:eastAsia="zh-CN"/>
              </w:rPr>
            </w:pPr>
            <w:r>
              <w:rPr>
                <w:rFonts w:hint="eastAsia"/>
                <w:lang w:val="en-US" w:eastAsia="zh-CN"/>
              </w:rPr>
              <w:t>4</w:t>
            </w:r>
          </w:p>
        </w:tc>
        <w:tc>
          <w:tcPr>
            <w:tcW w:w="3108" w:type="dxa"/>
            <w:shd w:val="clear" w:color="auto" w:fill="auto"/>
            <w:vAlign w:val="center"/>
          </w:tcPr>
          <w:p>
            <w:r>
              <w:rPr>
                <w:rFonts w:hint="eastAsia"/>
              </w:rPr>
              <w:t>通信联络组</w:t>
            </w:r>
          </w:p>
        </w:tc>
        <w:tc>
          <w:tcPr>
            <w:tcW w:w="1664" w:type="dxa"/>
            <w:shd w:val="clear" w:color="auto" w:fill="auto"/>
            <w:vAlign w:val="center"/>
          </w:tcPr>
          <w:p>
            <w:r>
              <w:rPr>
                <w:rFonts w:hint="eastAsia"/>
              </w:rPr>
              <w:t>沈友龙</w:t>
            </w:r>
          </w:p>
        </w:tc>
        <w:tc>
          <w:tcPr>
            <w:tcW w:w="2692" w:type="dxa"/>
            <w:shd w:val="clear" w:color="auto" w:fill="auto"/>
            <w:vAlign w:val="center"/>
          </w:tcPr>
          <w:p>
            <w:r>
              <w:rPr>
                <w:rFonts w:hint="eastAsia"/>
              </w:rPr>
              <w:t>13879276057</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49" w:type="dxa"/>
            <w:shd w:val="clear" w:color="auto" w:fill="auto"/>
            <w:vAlign w:val="center"/>
          </w:tcPr>
          <w:p>
            <w:pPr>
              <w:rPr>
                <w:rFonts w:hint="eastAsia"/>
                <w:lang w:eastAsia="zh-CN"/>
              </w:rPr>
            </w:pPr>
            <w:r>
              <w:rPr>
                <w:rFonts w:hint="eastAsia"/>
                <w:lang w:val="en-US" w:eastAsia="zh-CN"/>
              </w:rPr>
              <w:t>5</w:t>
            </w:r>
          </w:p>
        </w:tc>
        <w:tc>
          <w:tcPr>
            <w:tcW w:w="3108" w:type="dxa"/>
            <w:shd w:val="clear" w:color="auto" w:fill="auto"/>
            <w:vAlign w:val="center"/>
          </w:tcPr>
          <w:p>
            <w:r>
              <w:t>物资供应组</w:t>
            </w:r>
          </w:p>
        </w:tc>
        <w:tc>
          <w:tcPr>
            <w:tcW w:w="1664" w:type="dxa"/>
            <w:shd w:val="clear" w:color="auto" w:fill="auto"/>
            <w:vAlign w:val="center"/>
          </w:tcPr>
          <w:p>
            <w:r>
              <w:rPr>
                <w:rFonts w:hint="eastAsia"/>
              </w:rPr>
              <w:t>廖雪燕</w:t>
            </w:r>
          </w:p>
        </w:tc>
        <w:tc>
          <w:tcPr>
            <w:tcW w:w="2692" w:type="dxa"/>
            <w:shd w:val="clear" w:color="auto" w:fill="auto"/>
            <w:vAlign w:val="center"/>
          </w:tcPr>
          <w:p>
            <w:r>
              <w:rPr>
                <w:rFonts w:hint="eastAsia"/>
              </w:rPr>
              <w:t>13755278021</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49" w:type="dxa"/>
            <w:shd w:val="clear" w:color="auto" w:fill="auto"/>
            <w:vAlign w:val="center"/>
          </w:tcPr>
          <w:p>
            <w:pPr>
              <w:rPr>
                <w:rFonts w:hint="eastAsia"/>
                <w:lang w:eastAsia="zh-CN"/>
              </w:rPr>
            </w:pPr>
            <w:r>
              <w:rPr>
                <w:rFonts w:hint="eastAsia"/>
                <w:lang w:val="en-US" w:eastAsia="zh-CN"/>
              </w:rPr>
              <w:t>6</w:t>
            </w:r>
          </w:p>
        </w:tc>
        <w:tc>
          <w:tcPr>
            <w:tcW w:w="3108" w:type="dxa"/>
            <w:shd w:val="clear" w:color="auto" w:fill="auto"/>
            <w:vAlign w:val="center"/>
          </w:tcPr>
          <w:p>
            <w:r>
              <w:t>医疗救护组</w:t>
            </w:r>
          </w:p>
        </w:tc>
        <w:tc>
          <w:tcPr>
            <w:tcW w:w="1664" w:type="dxa"/>
            <w:shd w:val="clear" w:color="auto" w:fill="auto"/>
            <w:vAlign w:val="center"/>
          </w:tcPr>
          <w:p>
            <w:r>
              <w:rPr>
                <w:rFonts w:hint="eastAsia"/>
              </w:rPr>
              <w:t>杨志华</w:t>
            </w:r>
          </w:p>
        </w:tc>
        <w:tc>
          <w:tcPr>
            <w:tcW w:w="2692" w:type="dxa"/>
            <w:shd w:val="clear" w:color="auto" w:fill="auto"/>
            <w:vAlign w:val="center"/>
          </w:tcPr>
          <w:p>
            <w:r>
              <w:rPr>
                <w:rFonts w:hint="eastAsia"/>
              </w:rPr>
              <w:t>13479880335</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49" w:type="dxa"/>
            <w:shd w:val="clear" w:color="auto" w:fill="auto"/>
            <w:vAlign w:val="center"/>
          </w:tcPr>
          <w:p>
            <w:pPr>
              <w:rPr>
                <w:rFonts w:hint="eastAsia"/>
                <w:lang w:val="en-US" w:eastAsia="zh-CN"/>
              </w:rPr>
            </w:pPr>
            <w:r>
              <w:rPr>
                <w:rFonts w:hint="eastAsia"/>
                <w:lang w:val="en-US" w:eastAsia="zh-CN"/>
              </w:rPr>
              <w:t>7</w:t>
            </w:r>
          </w:p>
        </w:tc>
        <w:tc>
          <w:tcPr>
            <w:tcW w:w="3108" w:type="dxa"/>
            <w:shd w:val="clear" w:color="auto" w:fill="auto"/>
            <w:vAlign w:val="center"/>
          </w:tcPr>
          <w:p>
            <w:pPr>
              <w:rPr>
                <w:rFonts w:hint="eastAsia" w:eastAsia="宋体"/>
                <w:lang w:eastAsia="zh-CN"/>
              </w:rPr>
            </w:pPr>
            <w:r>
              <w:rPr>
                <w:rFonts w:hint="eastAsia"/>
                <w:lang w:eastAsia="zh-CN"/>
              </w:rPr>
              <w:t>总指挥</w:t>
            </w:r>
          </w:p>
        </w:tc>
        <w:tc>
          <w:tcPr>
            <w:tcW w:w="1664" w:type="dxa"/>
            <w:shd w:val="clear" w:color="auto" w:fill="auto"/>
            <w:vAlign w:val="center"/>
          </w:tcPr>
          <w:p>
            <w:pPr>
              <w:ind w:left="0" w:leftChars="0" w:right="0" w:rightChars="0" w:firstLine="480" w:firstLineChars="200"/>
              <w:rPr>
                <w:rFonts w:hint="eastAsia"/>
              </w:rPr>
            </w:pPr>
            <w:r>
              <w:rPr>
                <w:rFonts w:hint="eastAsia"/>
              </w:rPr>
              <w:t>黄国勋</w:t>
            </w:r>
          </w:p>
        </w:tc>
        <w:tc>
          <w:tcPr>
            <w:tcW w:w="2692" w:type="dxa"/>
            <w:shd w:val="clear" w:color="auto" w:fill="auto"/>
            <w:vAlign w:val="center"/>
          </w:tcPr>
          <w:p>
            <w:pPr>
              <w:ind w:left="0" w:leftChars="0" w:right="0" w:rightChars="0" w:firstLine="480" w:firstLineChars="200"/>
              <w:rPr>
                <w:rFonts w:hint="eastAsia"/>
              </w:rPr>
            </w:pPr>
            <w:r>
              <w:rPr>
                <w:rFonts w:hint="eastAsia"/>
              </w:rPr>
              <w:t>13979261633</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49" w:type="dxa"/>
            <w:shd w:val="clear" w:color="auto" w:fill="auto"/>
            <w:vAlign w:val="center"/>
          </w:tcPr>
          <w:p>
            <w:pPr>
              <w:rPr>
                <w:rFonts w:hint="eastAsia"/>
                <w:lang w:val="en-US" w:eastAsia="zh-CN"/>
              </w:rPr>
            </w:pPr>
            <w:r>
              <w:rPr>
                <w:rFonts w:hint="eastAsia"/>
                <w:lang w:val="en-US" w:eastAsia="zh-CN"/>
              </w:rPr>
              <w:t>8</w:t>
            </w:r>
          </w:p>
        </w:tc>
        <w:tc>
          <w:tcPr>
            <w:tcW w:w="3108" w:type="dxa"/>
            <w:shd w:val="clear" w:color="auto" w:fill="auto"/>
            <w:vAlign w:val="center"/>
          </w:tcPr>
          <w:p>
            <w:pPr>
              <w:rPr>
                <w:rFonts w:hint="eastAsia" w:eastAsia="宋体"/>
                <w:lang w:eastAsia="zh-CN"/>
              </w:rPr>
            </w:pPr>
            <w:r>
              <w:rPr>
                <w:rFonts w:hint="eastAsia"/>
                <w:lang w:eastAsia="zh-CN"/>
              </w:rPr>
              <w:t>副总指挥</w:t>
            </w:r>
          </w:p>
        </w:tc>
        <w:tc>
          <w:tcPr>
            <w:tcW w:w="1664" w:type="dxa"/>
            <w:shd w:val="clear" w:color="auto" w:fill="auto"/>
            <w:vAlign w:val="center"/>
          </w:tcPr>
          <w:p>
            <w:pPr>
              <w:ind w:left="0" w:leftChars="0" w:right="0" w:rightChars="0" w:firstLine="480" w:firstLineChars="200"/>
              <w:rPr>
                <w:rFonts w:hint="eastAsia"/>
              </w:rPr>
            </w:pPr>
            <w:r>
              <w:rPr>
                <w:rFonts w:hint="eastAsia"/>
              </w:rPr>
              <w:t>杨庭宗</w:t>
            </w:r>
          </w:p>
        </w:tc>
        <w:tc>
          <w:tcPr>
            <w:tcW w:w="2692" w:type="dxa"/>
            <w:shd w:val="clear" w:color="auto" w:fill="auto"/>
            <w:vAlign w:val="center"/>
          </w:tcPr>
          <w:p>
            <w:pPr>
              <w:ind w:left="0" w:leftChars="0" w:right="0" w:rightChars="0" w:firstLine="480" w:firstLineChars="200"/>
              <w:rPr>
                <w:rFonts w:hint="eastAsia"/>
              </w:rPr>
            </w:pPr>
            <w:r>
              <w:rPr>
                <w:rFonts w:hint="eastAsia"/>
              </w:rPr>
              <w:t>13979285846</w:t>
            </w:r>
          </w:p>
        </w:tc>
      </w:tr>
    </w:tbl>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360" w:lineRule="auto"/>
        <w:ind w:right="0" w:rightChars="0" w:firstLine="960" w:firstLineChars="400"/>
        <w:jc w:val="left"/>
        <w:textAlignment w:val="auto"/>
        <w:outlineLvl w:val="9"/>
        <w:rPr>
          <w:rFonts w:hint="eastAsia" w:ascii="宋体" w:hAnsi="宋体" w:eastAsia="宋体" w:cs="宋体"/>
          <w:lang w:val="en-US" w:eastAsia="zh-CN"/>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360" w:lineRule="auto"/>
        <w:ind w:right="0" w:rightChars="0" w:firstLine="960" w:firstLineChars="400"/>
        <w:jc w:val="left"/>
        <w:textAlignment w:val="auto"/>
        <w:outlineLvl w:val="9"/>
        <w:rPr>
          <w:rFonts w:hint="eastAsia" w:ascii="宋体" w:hAnsi="宋体" w:eastAsia="宋体" w:cs="宋体"/>
          <w:lang w:val="en-US" w:eastAsia="zh-CN"/>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360" w:lineRule="auto"/>
        <w:ind w:right="0" w:rightChars="0" w:firstLine="960" w:firstLineChars="400"/>
        <w:jc w:val="left"/>
        <w:textAlignment w:val="auto"/>
        <w:outlineLvl w:val="9"/>
        <w:rPr>
          <w:rFonts w:hint="eastAsia" w:ascii="宋体" w:hAnsi="宋体" w:eastAsia="宋体" w:cs="宋体"/>
          <w:lang w:val="en-US" w:eastAsia="zh-CN"/>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360" w:lineRule="auto"/>
        <w:ind w:right="0" w:rightChars="0" w:firstLine="960" w:firstLineChars="400"/>
        <w:jc w:val="left"/>
        <w:textAlignment w:val="auto"/>
        <w:outlineLvl w:val="9"/>
        <w:rPr>
          <w:rFonts w:hint="eastAsia" w:ascii="宋体" w:hAnsi="宋体" w:eastAsia="宋体" w:cs="宋体"/>
          <w:lang w:val="en-US" w:eastAsia="zh-CN"/>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360" w:lineRule="auto"/>
        <w:ind w:right="0" w:rightChars="0" w:firstLine="960" w:firstLineChars="400"/>
        <w:jc w:val="left"/>
        <w:textAlignment w:val="auto"/>
        <w:outlineLvl w:val="9"/>
        <w:rPr>
          <w:rFonts w:hint="eastAsia" w:ascii="宋体" w:hAnsi="宋体" w:eastAsia="宋体" w:cs="宋体"/>
          <w:lang w:val="en-US" w:eastAsia="zh-CN"/>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360" w:lineRule="auto"/>
        <w:ind w:right="0" w:rightChars="0" w:firstLine="960" w:firstLineChars="400"/>
        <w:jc w:val="left"/>
        <w:textAlignment w:val="auto"/>
        <w:outlineLvl w:val="9"/>
        <w:rPr>
          <w:rFonts w:hint="eastAsia" w:ascii="宋体" w:hAnsi="宋体" w:eastAsia="宋体" w:cs="宋体"/>
          <w:lang w:val="en-US" w:eastAsia="zh-CN"/>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360" w:lineRule="auto"/>
        <w:ind w:right="0" w:rightChars="0" w:firstLine="960" w:firstLineChars="400"/>
        <w:jc w:val="left"/>
        <w:textAlignment w:val="auto"/>
        <w:outlineLvl w:val="9"/>
        <w:rPr>
          <w:rFonts w:hint="eastAsia" w:ascii="宋体" w:hAnsi="宋体" w:eastAsia="宋体" w:cs="宋体"/>
          <w:lang w:val="en-US" w:eastAsia="zh-CN"/>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360" w:lineRule="auto"/>
        <w:ind w:right="0" w:rightChars="0"/>
        <w:jc w:val="left"/>
        <w:textAlignment w:val="auto"/>
        <w:outlineLvl w:val="9"/>
        <w:rPr>
          <w:rFonts w:hint="eastAsia" w:ascii="宋体" w:hAnsi="宋体" w:eastAsia="宋体" w:cs="宋体"/>
          <w:lang w:val="en-US" w:eastAsia="zh-CN"/>
        </w:rPr>
      </w:pPr>
    </w:p>
    <w:p>
      <w:pPr>
        <w:pStyle w:val="2"/>
        <w:rPr>
          <w:rFonts w:hint="eastAsia" w:ascii="宋体" w:hAnsi="宋体" w:eastAsia="宋体" w:cs="宋体"/>
        </w:rPr>
      </w:pPr>
      <w:bookmarkStart w:id="97" w:name="_Toc3973"/>
      <w:bookmarkStart w:id="98" w:name="_Toc4634"/>
      <w:bookmarkStart w:id="99" w:name="_Toc19974"/>
      <w:r>
        <w:rPr>
          <w:rFonts w:hint="eastAsia"/>
        </w:rPr>
        <w:t>4 突发环境事件及后果分析</w:t>
      </w:r>
      <w:bookmarkEnd w:id="97"/>
      <w:bookmarkEnd w:id="98"/>
      <w:bookmarkEnd w:id="99"/>
    </w:p>
    <w:p>
      <w:pPr>
        <w:pStyle w:val="3"/>
        <w:rPr>
          <w:rFonts w:hint="eastAsia" w:ascii="宋体" w:hAnsi="宋体" w:eastAsia="宋体" w:cs="宋体"/>
          <w:color w:val="auto"/>
        </w:rPr>
      </w:pPr>
      <w:bookmarkStart w:id="100" w:name="_Toc3028"/>
      <w:bookmarkStart w:id="101" w:name="_Toc20350"/>
      <w:r>
        <w:rPr>
          <w:rFonts w:hint="eastAsia" w:ascii="宋体" w:hAnsi="宋体" w:eastAsia="宋体" w:cs="宋体"/>
          <w:color w:val="auto"/>
        </w:rPr>
        <w:t>4.</w:t>
      </w:r>
      <w:r>
        <w:rPr>
          <w:rFonts w:hint="eastAsia" w:ascii="宋体" w:hAnsi="宋体" w:eastAsia="宋体" w:cs="宋体"/>
          <w:color w:val="auto"/>
          <w:lang w:val="en-US" w:eastAsia="zh-CN"/>
        </w:rPr>
        <w:t>1</w:t>
      </w:r>
      <w:r>
        <w:rPr>
          <w:rFonts w:hint="eastAsia" w:ascii="宋体" w:hAnsi="宋体" w:eastAsia="宋体" w:cs="宋体"/>
          <w:color w:val="auto"/>
        </w:rPr>
        <w:t xml:space="preserve"> 突发环境事件情景分析</w:t>
      </w:r>
      <w:bookmarkEnd w:id="100"/>
      <w:bookmarkEnd w:id="101"/>
    </w:p>
    <w:tbl>
      <w:tblPr>
        <w:tblStyle w:val="18"/>
        <w:tblW w:w="9071"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84"/>
        <w:gridCol w:w="2235"/>
        <w:gridCol w:w="605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84" w:type="dxa"/>
            <w:tcBorders>
              <w:tl2br w:val="nil"/>
              <w:tr2bl w:val="nil"/>
            </w:tcBorders>
            <w:vAlign w:val="center"/>
          </w:tcPr>
          <w:p>
            <w:pPr>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序号</w:t>
            </w:r>
          </w:p>
        </w:tc>
        <w:tc>
          <w:tcPr>
            <w:tcW w:w="2235" w:type="dxa"/>
            <w:tcBorders>
              <w:tl2br w:val="nil"/>
              <w:tr2bl w:val="nil"/>
            </w:tcBorders>
            <w:vAlign w:val="center"/>
          </w:tcPr>
          <w:p>
            <w:pPr>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突发环境事件类型</w:t>
            </w:r>
          </w:p>
        </w:tc>
        <w:tc>
          <w:tcPr>
            <w:tcW w:w="6052" w:type="dxa"/>
            <w:tcBorders>
              <w:tl2br w:val="nil"/>
              <w:tr2bl w:val="nil"/>
            </w:tcBorders>
            <w:vAlign w:val="center"/>
          </w:tcPr>
          <w:p>
            <w:pPr>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事件引发或次生突发环境事件的最坏情景</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84" w:type="dxa"/>
            <w:tcBorders>
              <w:tl2br w:val="nil"/>
              <w:tr2bl w:val="nil"/>
            </w:tcBorders>
            <w:vAlign w:val="center"/>
          </w:tcPr>
          <w:p>
            <w:pPr>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2235" w:type="dxa"/>
            <w:tcBorders>
              <w:tl2br w:val="nil"/>
              <w:tr2bl w:val="nil"/>
            </w:tcBorders>
            <w:vAlign w:val="center"/>
          </w:tcPr>
          <w:p>
            <w:pPr>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含NaHS工业化纤废液</w:t>
            </w:r>
            <w:r>
              <w:rPr>
                <w:rFonts w:hint="eastAsia" w:ascii="宋体" w:hAnsi="宋体" w:eastAsia="宋体" w:cs="宋体"/>
                <w:color w:val="auto"/>
                <w:sz w:val="24"/>
                <w:szCs w:val="24"/>
                <w:lang w:eastAsia="zh-CN"/>
              </w:rPr>
              <w:t>泄露污染环境</w:t>
            </w:r>
          </w:p>
        </w:tc>
        <w:tc>
          <w:tcPr>
            <w:tcW w:w="6052" w:type="dxa"/>
            <w:tcBorders>
              <w:tl2br w:val="nil"/>
              <w:tr2bl w:val="nil"/>
            </w:tcBorders>
            <w:vAlign w:val="center"/>
          </w:tcPr>
          <w:p>
            <w:pPr>
              <w:pageBreakBefore w:val="0"/>
              <w:widowControl w:val="0"/>
              <w:numPr>
                <w:ilvl w:val="0"/>
                <w:numId w:val="0"/>
              </w:numPr>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fldChar w:fldCharType="begin"/>
            </w:r>
            <w:r>
              <w:rPr>
                <w:rFonts w:hint="eastAsia" w:ascii="宋体" w:hAnsi="宋体" w:eastAsia="宋体" w:cs="宋体"/>
                <w:color w:val="auto"/>
                <w:sz w:val="24"/>
                <w:szCs w:val="24"/>
                <w:lang w:eastAsia="zh-CN"/>
              </w:rPr>
              <w:instrText xml:space="preserve"> = 1 \* GB3 \* MERGEFORMAT </w:instrText>
            </w:r>
            <w:r>
              <w:rPr>
                <w:rFonts w:hint="eastAsia" w:ascii="宋体" w:hAnsi="宋体" w:eastAsia="宋体" w:cs="宋体"/>
                <w:color w:val="auto"/>
                <w:sz w:val="24"/>
                <w:szCs w:val="24"/>
                <w:lang w:eastAsia="zh-CN"/>
              </w:rPr>
              <w:fldChar w:fldCharType="separate"/>
            </w:r>
            <w:r>
              <w:rPr>
                <w:rFonts w:hint="eastAsia" w:ascii="宋体" w:hAnsi="宋体" w:eastAsia="宋体" w:cs="宋体"/>
                <w:sz w:val="24"/>
                <w:szCs w:val="24"/>
              </w:rPr>
              <w:t>①</w:t>
            </w:r>
            <w:r>
              <w:rPr>
                <w:rFonts w:hint="eastAsia" w:ascii="宋体" w:hAnsi="宋体" w:eastAsia="宋体" w:cs="宋体"/>
                <w:color w:val="auto"/>
                <w:sz w:val="24"/>
                <w:szCs w:val="24"/>
                <w:lang w:eastAsia="zh-CN"/>
              </w:rPr>
              <w:fldChar w:fldCharType="end"/>
            </w:r>
            <w:r>
              <w:rPr>
                <w:rFonts w:hint="eastAsia" w:ascii="宋体" w:hAnsi="宋体" w:eastAsia="宋体" w:cs="宋体"/>
                <w:color w:val="auto"/>
                <w:sz w:val="24"/>
                <w:szCs w:val="24"/>
                <w:lang w:eastAsia="zh-CN"/>
              </w:rPr>
              <w:t>储罐破损、被腐蚀，管道、设备老化故障，自然灾害等导致废液泄露并积聚在围堰内，若遇降雨将使废液溢出从而污染周围的环境。</w:t>
            </w:r>
          </w:p>
          <w:p>
            <w:pPr>
              <w:pageBreakBefore w:val="0"/>
              <w:widowControl w:val="0"/>
              <w:numPr>
                <w:ilvl w:val="0"/>
                <w:numId w:val="0"/>
              </w:numPr>
              <w:kinsoku/>
              <w:wordWrap/>
              <w:overflowPunct/>
              <w:topLinePunct w:val="0"/>
              <w:autoSpaceDE w:val="0"/>
              <w:autoSpaceDN w:val="0"/>
              <w:bidi w:val="0"/>
              <w:adjustRightInd/>
              <w:snapToGrid/>
              <w:spacing w:line="240" w:lineRule="auto"/>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fldChar w:fldCharType="begin"/>
            </w:r>
            <w:r>
              <w:rPr>
                <w:rFonts w:hint="eastAsia" w:ascii="宋体" w:hAnsi="宋体" w:eastAsia="宋体" w:cs="宋体"/>
                <w:color w:val="auto"/>
                <w:sz w:val="24"/>
                <w:szCs w:val="24"/>
                <w:lang w:eastAsia="zh-CN"/>
              </w:rPr>
              <w:instrText xml:space="preserve"> = 2 \* GB3 \* MERGEFORMAT </w:instrText>
            </w:r>
            <w:r>
              <w:rPr>
                <w:rFonts w:hint="eastAsia" w:ascii="宋体" w:hAnsi="宋体" w:eastAsia="宋体" w:cs="宋体"/>
                <w:color w:val="auto"/>
                <w:sz w:val="24"/>
                <w:szCs w:val="24"/>
                <w:lang w:eastAsia="zh-CN"/>
              </w:rPr>
              <w:fldChar w:fldCharType="separate"/>
            </w:r>
            <w:r>
              <w:rPr>
                <w:rFonts w:hint="eastAsia" w:ascii="宋体" w:hAnsi="宋体" w:eastAsia="宋体" w:cs="宋体"/>
                <w:sz w:val="24"/>
                <w:szCs w:val="24"/>
              </w:rPr>
              <w:t>②</w:t>
            </w:r>
            <w:r>
              <w:rPr>
                <w:rFonts w:hint="eastAsia" w:ascii="宋体" w:hAnsi="宋体" w:eastAsia="宋体" w:cs="宋体"/>
                <w:color w:val="auto"/>
                <w:sz w:val="24"/>
                <w:szCs w:val="24"/>
                <w:lang w:eastAsia="zh-CN"/>
              </w:rPr>
              <w:fldChar w:fldCharType="end"/>
            </w:r>
            <w:r>
              <w:rPr>
                <w:rFonts w:hint="eastAsia" w:ascii="宋体" w:hAnsi="宋体" w:eastAsia="宋体" w:cs="宋体"/>
                <w:color w:val="auto"/>
                <w:sz w:val="24"/>
                <w:szCs w:val="24"/>
                <w:lang w:eastAsia="zh-CN"/>
              </w:rPr>
              <w:t>由于人为原因管理不善、操作失误造成的装卸或者输送过程中废液外溢而污染周围环境。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84" w:type="dxa"/>
            <w:tcBorders>
              <w:tl2br w:val="nil"/>
              <w:tr2bl w:val="nil"/>
            </w:tcBorders>
            <w:vAlign w:val="center"/>
          </w:tcPr>
          <w:p>
            <w:pPr>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2235" w:type="dxa"/>
            <w:tcBorders>
              <w:tl2br w:val="nil"/>
              <w:tr2bl w:val="nil"/>
            </w:tcBorders>
            <w:vAlign w:val="center"/>
          </w:tcPr>
          <w:p>
            <w:pPr>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火灾、爆炸事故引发厂外环境污染</w:t>
            </w:r>
          </w:p>
        </w:tc>
        <w:tc>
          <w:tcPr>
            <w:tcW w:w="6052" w:type="dxa"/>
            <w:tcBorders>
              <w:tl2br w:val="nil"/>
              <w:tr2bl w:val="nil"/>
            </w:tcBorders>
            <w:vAlign w:val="center"/>
          </w:tcPr>
          <w:p>
            <w:pPr>
              <w:pageBreakBefore w:val="0"/>
              <w:widowControl w:val="0"/>
              <w:numPr>
                <w:ilvl w:val="0"/>
                <w:numId w:val="0"/>
              </w:numPr>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fldChar w:fldCharType="begin"/>
            </w:r>
            <w:r>
              <w:rPr>
                <w:rFonts w:hint="eastAsia" w:ascii="宋体" w:hAnsi="宋体" w:eastAsia="宋体" w:cs="宋体"/>
                <w:color w:val="auto"/>
                <w:sz w:val="24"/>
                <w:szCs w:val="24"/>
                <w:lang w:eastAsia="zh-CN"/>
              </w:rPr>
              <w:instrText xml:space="preserve"> = 1 \* GB3 \* MERGEFORMAT </w:instrText>
            </w:r>
            <w:r>
              <w:rPr>
                <w:rFonts w:hint="eastAsia" w:ascii="宋体" w:hAnsi="宋体" w:eastAsia="宋体" w:cs="宋体"/>
                <w:color w:val="auto"/>
                <w:sz w:val="24"/>
                <w:szCs w:val="24"/>
                <w:lang w:eastAsia="zh-CN"/>
              </w:rPr>
              <w:fldChar w:fldCharType="separate"/>
            </w:r>
            <w:r>
              <w:rPr>
                <w:rFonts w:hint="eastAsia" w:ascii="宋体" w:hAnsi="宋体" w:eastAsia="宋体" w:cs="宋体"/>
                <w:sz w:val="24"/>
                <w:szCs w:val="24"/>
              </w:rPr>
              <w:t>①</w:t>
            </w:r>
            <w:r>
              <w:rPr>
                <w:rFonts w:hint="eastAsia" w:ascii="宋体" w:hAnsi="宋体" w:eastAsia="宋体" w:cs="宋体"/>
                <w:color w:val="auto"/>
                <w:sz w:val="24"/>
                <w:szCs w:val="24"/>
                <w:lang w:eastAsia="zh-CN"/>
              </w:rPr>
              <w:fldChar w:fldCharType="end"/>
            </w:r>
            <w:r>
              <w:rPr>
                <w:rFonts w:hint="eastAsia" w:ascii="宋体" w:hAnsi="宋体" w:eastAsia="宋体" w:cs="宋体"/>
                <w:color w:val="auto"/>
                <w:sz w:val="24"/>
                <w:szCs w:val="24"/>
                <w:lang w:eastAsia="zh-CN"/>
              </w:rPr>
              <w:t>各种原因造成火灾、爆炸事故不完全燃烧产生的</w:t>
            </w:r>
            <w:r>
              <w:rPr>
                <w:rFonts w:hint="eastAsia" w:ascii="宋体" w:hAnsi="宋体" w:eastAsia="宋体" w:cs="宋体"/>
                <w:color w:val="auto"/>
                <w:sz w:val="24"/>
                <w:szCs w:val="24"/>
                <w:lang w:val="en-US" w:eastAsia="zh-CN"/>
              </w:rPr>
              <w:t>气体对大气环境产生不利影响</w:t>
            </w:r>
            <w:r>
              <w:rPr>
                <w:rFonts w:hint="eastAsia" w:ascii="宋体" w:hAnsi="宋体" w:eastAsia="宋体" w:cs="宋体"/>
                <w:color w:val="auto"/>
                <w:sz w:val="24"/>
                <w:szCs w:val="24"/>
                <w:lang w:eastAsia="zh-CN"/>
              </w:rPr>
              <w:t>。</w:t>
            </w:r>
          </w:p>
          <w:p>
            <w:pPr>
              <w:pageBreakBefore w:val="0"/>
              <w:widowControl w:val="0"/>
              <w:numPr>
                <w:ilvl w:val="0"/>
                <w:numId w:val="0"/>
              </w:numPr>
              <w:kinsoku/>
              <w:wordWrap/>
              <w:overflowPunct/>
              <w:topLinePunct w:val="0"/>
              <w:autoSpaceDE w:val="0"/>
              <w:autoSpaceDN w:val="0"/>
              <w:bidi w:val="0"/>
              <w:adjustRightInd/>
              <w:snapToGrid/>
              <w:spacing w:line="240" w:lineRule="auto"/>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fldChar w:fldCharType="begin"/>
            </w:r>
            <w:r>
              <w:rPr>
                <w:rFonts w:hint="eastAsia" w:ascii="宋体" w:hAnsi="宋体" w:eastAsia="宋体" w:cs="宋体"/>
                <w:color w:val="auto"/>
                <w:sz w:val="24"/>
                <w:szCs w:val="24"/>
                <w:lang w:eastAsia="zh-CN"/>
              </w:rPr>
              <w:instrText xml:space="preserve"> = 2 \* GB3 \* MERGEFORMAT </w:instrText>
            </w:r>
            <w:r>
              <w:rPr>
                <w:rFonts w:hint="eastAsia" w:ascii="宋体" w:hAnsi="宋体" w:eastAsia="宋体" w:cs="宋体"/>
                <w:color w:val="auto"/>
                <w:sz w:val="24"/>
                <w:szCs w:val="24"/>
                <w:lang w:eastAsia="zh-CN"/>
              </w:rPr>
              <w:fldChar w:fldCharType="separate"/>
            </w:r>
            <w:r>
              <w:rPr>
                <w:rFonts w:hint="eastAsia" w:ascii="宋体" w:hAnsi="宋体" w:eastAsia="宋体" w:cs="宋体"/>
                <w:sz w:val="24"/>
                <w:szCs w:val="24"/>
              </w:rPr>
              <w:t>②</w:t>
            </w:r>
            <w:r>
              <w:rPr>
                <w:rFonts w:hint="eastAsia" w:ascii="宋体" w:hAnsi="宋体" w:eastAsia="宋体" w:cs="宋体"/>
                <w:color w:val="auto"/>
                <w:sz w:val="24"/>
                <w:szCs w:val="24"/>
                <w:lang w:eastAsia="zh-CN"/>
              </w:rPr>
              <w:fldChar w:fldCharType="end"/>
            </w:r>
            <w:r>
              <w:rPr>
                <w:rFonts w:hint="eastAsia" w:ascii="宋体" w:hAnsi="宋体" w:eastAsia="宋体" w:cs="宋体"/>
                <w:color w:val="auto"/>
                <w:sz w:val="24"/>
                <w:szCs w:val="24"/>
                <w:lang w:eastAsia="zh-CN"/>
              </w:rPr>
              <w:t>各种原因造成火灾、爆炸事故消防救援过程产生的消防废水若处置不当将会对周边地表水体产生影响。</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84" w:type="dxa"/>
            <w:tcBorders>
              <w:tl2br w:val="nil"/>
              <w:tr2bl w:val="nil"/>
            </w:tcBorders>
            <w:vAlign w:val="center"/>
          </w:tcPr>
          <w:p>
            <w:pPr>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2235" w:type="dxa"/>
            <w:tcBorders>
              <w:tl2br w:val="nil"/>
              <w:tr2bl w:val="nil"/>
            </w:tcBorders>
            <w:vAlign w:val="center"/>
          </w:tcPr>
          <w:p>
            <w:pPr>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风险防控设施失灵</w:t>
            </w:r>
          </w:p>
        </w:tc>
        <w:tc>
          <w:tcPr>
            <w:tcW w:w="6052" w:type="dxa"/>
            <w:tcBorders>
              <w:tl2br w:val="nil"/>
              <w:tr2bl w:val="nil"/>
            </w:tcBorders>
            <w:vAlign w:val="center"/>
          </w:tcPr>
          <w:p>
            <w:pPr>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仪器失灵造成不能及时发现废液泄露，易污染地表水和地下水，遇明火有发生火灾、爆炸的风险，影响大气环境。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84" w:type="dxa"/>
            <w:tcBorders>
              <w:tl2br w:val="nil"/>
              <w:tr2bl w:val="nil"/>
            </w:tcBorders>
            <w:vAlign w:val="center"/>
          </w:tcPr>
          <w:p>
            <w:pPr>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2235" w:type="dxa"/>
            <w:tcBorders>
              <w:tl2br w:val="nil"/>
              <w:tr2bl w:val="nil"/>
            </w:tcBorders>
            <w:vAlign w:val="center"/>
          </w:tcPr>
          <w:p>
            <w:pPr>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污染治理设施异常</w:t>
            </w:r>
          </w:p>
        </w:tc>
        <w:tc>
          <w:tcPr>
            <w:tcW w:w="6052" w:type="dxa"/>
            <w:tcBorders>
              <w:tl2br w:val="nil"/>
              <w:tr2bl w:val="nil"/>
            </w:tcBorders>
            <w:vAlign w:val="center"/>
          </w:tcPr>
          <w:p>
            <w:pPr>
              <w:pageBreakBefore w:val="0"/>
              <w:widowControl w:val="0"/>
              <w:numPr>
                <w:ilvl w:val="0"/>
                <w:numId w:val="0"/>
              </w:numPr>
              <w:kinsoku/>
              <w:wordWrap/>
              <w:overflowPunct/>
              <w:topLinePunct w:val="0"/>
              <w:autoSpaceDE w:val="0"/>
              <w:autoSpaceDN w:val="0"/>
              <w:bidi w:val="0"/>
              <w:adjustRightInd/>
              <w:snapToGrid/>
              <w:spacing w:line="240" w:lineRule="auto"/>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fldChar w:fldCharType="begin"/>
            </w:r>
            <w:r>
              <w:rPr>
                <w:rFonts w:hint="eastAsia" w:ascii="宋体" w:hAnsi="宋体" w:eastAsia="宋体" w:cs="宋体"/>
                <w:color w:val="auto"/>
                <w:sz w:val="24"/>
                <w:szCs w:val="24"/>
                <w:lang w:eastAsia="zh-CN"/>
              </w:rPr>
              <w:instrText xml:space="preserve"> = 1 \* GB3 \* MERGEFORMAT </w:instrText>
            </w:r>
            <w:r>
              <w:rPr>
                <w:rFonts w:hint="eastAsia" w:ascii="宋体" w:hAnsi="宋体" w:eastAsia="宋体" w:cs="宋体"/>
                <w:color w:val="auto"/>
                <w:sz w:val="24"/>
                <w:szCs w:val="24"/>
                <w:lang w:eastAsia="zh-CN"/>
              </w:rPr>
              <w:fldChar w:fldCharType="separate"/>
            </w:r>
            <w:r>
              <w:rPr>
                <w:rFonts w:hint="eastAsia" w:ascii="宋体" w:hAnsi="宋体" w:eastAsia="宋体" w:cs="宋体"/>
                <w:sz w:val="24"/>
                <w:szCs w:val="24"/>
              </w:rPr>
              <w:t>①</w:t>
            </w:r>
            <w:r>
              <w:rPr>
                <w:rFonts w:hint="eastAsia" w:ascii="宋体" w:hAnsi="宋体" w:eastAsia="宋体" w:cs="宋体"/>
                <w:color w:val="auto"/>
                <w:sz w:val="24"/>
                <w:szCs w:val="24"/>
                <w:lang w:eastAsia="zh-CN"/>
              </w:rPr>
              <w:fldChar w:fldCharType="end"/>
            </w:r>
            <w:r>
              <w:rPr>
                <w:rFonts w:hint="eastAsia" w:ascii="宋体" w:hAnsi="宋体" w:eastAsia="宋体" w:cs="宋体"/>
                <w:color w:val="auto"/>
                <w:sz w:val="24"/>
                <w:szCs w:val="24"/>
              </w:rPr>
              <w:t>企业废气治理设施</w:t>
            </w:r>
            <w:r>
              <w:rPr>
                <w:rFonts w:hint="eastAsia" w:ascii="宋体" w:hAnsi="宋体" w:eastAsia="宋体" w:cs="宋体"/>
                <w:color w:val="auto"/>
                <w:sz w:val="24"/>
                <w:szCs w:val="24"/>
                <w:lang w:val="en-US" w:eastAsia="zh-CN"/>
              </w:rPr>
              <w:t>装置</w:t>
            </w:r>
            <w:r>
              <w:rPr>
                <w:rFonts w:hint="eastAsia" w:ascii="宋体" w:hAnsi="宋体" w:eastAsia="宋体" w:cs="宋体"/>
                <w:color w:val="auto"/>
                <w:sz w:val="24"/>
                <w:szCs w:val="24"/>
              </w:rPr>
              <w:t>非正常运行，未起到预计的处理效果，导致</w:t>
            </w:r>
            <w:r>
              <w:rPr>
                <w:rFonts w:hint="eastAsia" w:cs="宋体"/>
                <w:color w:val="auto"/>
                <w:sz w:val="24"/>
                <w:szCs w:val="24"/>
                <w:lang w:eastAsia="zh-CN"/>
              </w:rPr>
              <w:t>废气</w:t>
            </w:r>
            <w:r>
              <w:rPr>
                <w:rFonts w:hint="eastAsia" w:ascii="宋体" w:hAnsi="宋体" w:eastAsia="宋体" w:cs="宋体"/>
                <w:color w:val="auto"/>
                <w:sz w:val="24"/>
                <w:szCs w:val="24"/>
              </w:rPr>
              <w:t>处理效率下降，影响周围大气环境。</w:t>
            </w:r>
          </w:p>
          <w:p>
            <w:pPr>
              <w:pageBreakBefore w:val="0"/>
              <w:widowControl w:val="0"/>
              <w:numPr>
                <w:ilvl w:val="0"/>
                <w:numId w:val="0"/>
              </w:numPr>
              <w:kinsoku/>
              <w:wordWrap/>
              <w:overflowPunct/>
              <w:topLinePunct w:val="0"/>
              <w:autoSpaceDE w:val="0"/>
              <w:autoSpaceDN w:val="0"/>
              <w:bidi w:val="0"/>
              <w:adjustRightInd/>
              <w:snapToGrid/>
              <w:spacing w:line="240" w:lineRule="auto"/>
              <w:ind w:left="0" w:leftChars="0"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fldChar w:fldCharType="begin"/>
            </w:r>
            <w:r>
              <w:rPr>
                <w:rFonts w:hint="eastAsia" w:ascii="宋体" w:hAnsi="宋体" w:eastAsia="宋体" w:cs="宋体"/>
                <w:color w:val="auto"/>
                <w:sz w:val="24"/>
                <w:szCs w:val="24"/>
                <w:lang w:eastAsia="zh-CN"/>
              </w:rPr>
              <w:instrText xml:space="preserve"> = 2 \* GB3 \* MERGEFORMAT </w:instrText>
            </w:r>
            <w:r>
              <w:rPr>
                <w:rFonts w:hint="eastAsia" w:ascii="宋体" w:hAnsi="宋体" w:eastAsia="宋体" w:cs="宋体"/>
                <w:color w:val="auto"/>
                <w:sz w:val="24"/>
                <w:szCs w:val="24"/>
                <w:lang w:eastAsia="zh-CN"/>
              </w:rPr>
              <w:fldChar w:fldCharType="separate"/>
            </w:r>
            <w:r>
              <w:rPr>
                <w:rFonts w:hint="eastAsia" w:ascii="宋体" w:hAnsi="宋体" w:eastAsia="宋体" w:cs="宋体"/>
                <w:sz w:val="24"/>
                <w:szCs w:val="24"/>
              </w:rPr>
              <w:t>②</w:t>
            </w:r>
            <w:r>
              <w:rPr>
                <w:rFonts w:hint="eastAsia" w:ascii="宋体" w:hAnsi="宋体" w:eastAsia="宋体" w:cs="宋体"/>
                <w:color w:val="auto"/>
                <w:sz w:val="24"/>
                <w:szCs w:val="24"/>
                <w:lang w:eastAsia="zh-CN"/>
              </w:rPr>
              <w:fldChar w:fldCharType="end"/>
            </w:r>
            <w:r>
              <w:rPr>
                <w:rFonts w:hint="eastAsia"/>
              </w:rPr>
              <w:t>废水治理设施运行异常</w:t>
            </w:r>
            <w:r>
              <w:rPr>
                <w:rFonts w:hint="eastAsia"/>
                <w:lang w:eastAsia="zh-CN"/>
              </w:rPr>
              <w:t>，</w:t>
            </w:r>
            <w:r>
              <w:rPr>
                <w:rFonts w:hint="eastAsia"/>
              </w:rPr>
              <w:t>废水未经有效处理直接排放</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84" w:type="dxa"/>
            <w:tcBorders>
              <w:tl2br w:val="nil"/>
              <w:tr2bl w:val="nil"/>
            </w:tcBorders>
            <w:vAlign w:val="center"/>
          </w:tcPr>
          <w:p>
            <w:pPr>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2235" w:type="dxa"/>
            <w:tcBorders>
              <w:tl2br w:val="nil"/>
              <w:tr2bl w:val="nil"/>
            </w:tcBorders>
            <w:vAlign w:val="center"/>
          </w:tcPr>
          <w:p>
            <w:pPr>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违法排污</w:t>
            </w:r>
          </w:p>
        </w:tc>
        <w:tc>
          <w:tcPr>
            <w:tcW w:w="6052" w:type="dxa"/>
            <w:tcBorders>
              <w:tl2br w:val="nil"/>
              <w:tr2bl w:val="nil"/>
            </w:tcBorders>
            <w:vAlign w:val="center"/>
          </w:tcPr>
          <w:p>
            <w:pPr>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在生产过程中，会有一定污泥产生，每月约有3吨</w:t>
            </w:r>
            <w:r>
              <w:rPr>
                <w:rFonts w:hint="eastAsia" w:ascii="宋体" w:hAnsi="宋体" w:eastAsia="宋体" w:cs="宋体"/>
                <w:color w:val="auto"/>
                <w:sz w:val="24"/>
                <w:szCs w:val="24"/>
                <w:lang w:eastAsia="zh-CN"/>
              </w:rPr>
              <w:t>未经资质单位处置擅自排放从而污染环境。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84" w:type="dxa"/>
            <w:tcBorders>
              <w:tl2br w:val="nil"/>
              <w:tr2bl w:val="nil"/>
            </w:tcBorders>
            <w:vAlign w:val="center"/>
          </w:tcPr>
          <w:p>
            <w:pPr>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2235" w:type="dxa"/>
            <w:tcBorders>
              <w:tl2br w:val="nil"/>
              <w:tr2bl w:val="nil"/>
            </w:tcBorders>
            <w:vAlign w:val="center"/>
          </w:tcPr>
          <w:p>
            <w:pPr>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通讯或运输系统故障</w:t>
            </w:r>
          </w:p>
        </w:tc>
        <w:tc>
          <w:tcPr>
            <w:tcW w:w="6052" w:type="dxa"/>
            <w:tcBorders>
              <w:tl2br w:val="nil"/>
              <w:tr2bl w:val="nil"/>
            </w:tcBorders>
            <w:vAlign w:val="center"/>
          </w:tcPr>
          <w:p>
            <w:pPr>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通讯系统中断，如果企业发生突发事件，不能及时与内部应急人员以及外部救援组织及时取得联系，延误抢救时间，增大了风险事故的危害性。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84" w:type="dxa"/>
            <w:tcBorders>
              <w:tl2br w:val="nil"/>
              <w:tr2bl w:val="nil"/>
            </w:tcBorders>
            <w:vAlign w:val="center"/>
          </w:tcPr>
          <w:p>
            <w:pPr>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2235" w:type="dxa"/>
            <w:tcBorders>
              <w:tl2br w:val="nil"/>
              <w:tr2bl w:val="nil"/>
            </w:tcBorders>
            <w:vAlign w:val="center"/>
          </w:tcPr>
          <w:p>
            <w:pPr>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各种自然灾害、极端或不利天气气象条件</w:t>
            </w:r>
          </w:p>
        </w:tc>
        <w:tc>
          <w:tcPr>
            <w:tcW w:w="6052" w:type="dxa"/>
            <w:tcBorders>
              <w:tl2br w:val="nil"/>
              <w:tr2bl w:val="nil"/>
            </w:tcBorders>
            <w:vAlign w:val="center"/>
          </w:tcPr>
          <w:p>
            <w:pPr>
              <w:pageBreakBefore w:val="0"/>
              <w:widowControl w:val="0"/>
              <w:kinsoku/>
              <w:wordWrap/>
              <w:overflowPunct/>
              <w:topLinePunct w:val="0"/>
              <w:autoSpaceDE w:val="0"/>
              <w:autoSpaceDN w:val="0"/>
              <w:bidi w:val="0"/>
              <w:adjustRightInd/>
              <w:snapToGrid/>
              <w:spacing w:line="240" w:lineRule="auto"/>
              <w:ind w:left="0" w:leftChars="0" w:right="0" w:righ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w:t>
            </w:r>
            <w:r>
              <w:rPr>
                <w:rFonts w:hint="eastAsia" w:ascii="宋体" w:hAnsi="宋体" w:eastAsia="宋体" w:cs="宋体"/>
                <w:color w:val="auto"/>
                <w:sz w:val="24"/>
                <w:szCs w:val="24"/>
                <w:lang w:eastAsia="zh-CN"/>
              </w:rPr>
              <w:t>项目区</w:t>
            </w:r>
            <w:r>
              <w:rPr>
                <w:rFonts w:hint="eastAsia" w:ascii="宋体" w:hAnsi="宋体" w:eastAsia="宋体" w:cs="宋体"/>
                <w:color w:val="auto"/>
                <w:sz w:val="24"/>
                <w:szCs w:val="24"/>
              </w:rPr>
              <w:t>多年气象资料，本地区最有可能出现的极端天气为台风及暴雨，发生上述极端天气可导致</w:t>
            </w:r>
            <w:r>
              <w:rPr>
                <w:rFonts w:hint="eastAsia" w:ascii="宋体" w:hAnsi="宋体" w:eastAsia="宋体" w:cs="宋体"/>
                <w:color w:val="auto"/>
                <w:sz w:val="24"/>
                <w:szCs w:val="24"/>
                <w:lang w:eastAsia="zh-CN"/>
              </w:rPr>
              <w:t>断电并使环保检测设备不能工作，对周边环境产生影响</w:t>
            </w:r>
            <w:r>
              <w:rPr>
                <w:rFonts w:hint="eastAsia" w:ascii="宋体" w:hAnsi="宋体" w:eastAsia="宋体" w:cs="宋体"/>
                <w:color w:val="auto"/>
                <w:sz w:val="24"/>
                <w:szCs w:val="24"/>
              </w:rPr>
              <w:t>。</w:t>
            </w:r>
          </w:p>
        </w:tc>
      </w:tr>
    </w:tbl>
    <w:p>
      <w:pPr>
        <w:pStyle w:val="4"/>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rPr>
      </w:pPr>
      <w:bookmarkStart w:id="102" w:name="_Toc432846609"/>
      <w:bookmarkStart w:id="103" w:name="_Toc12009"/>
      <w:bookmarkStart w:id="104" w:name="_Toc421817099"/>
      <w:bookmarkStart w:id="105" w:name="_Toc421483863"/>
      <w:bookmarkStart w:id="106" w:name="_Toc421483229"/>
      <w:bookmarkStart w:id="107" w:name="_Toc421487096"/>
      <w:bookmarkStart w:id="108" w:name="_Toc24188"/>
      <w:bookmarkStart w:id="109" w:name="_Toc19748"/>
      <w:bookmarkStart w:id="110" w:name="_Toc421487021"/>
      <w:r>
        <w:rPr>
          <w:rFonts w:hint="eastAsia"/>
        </w:rPr>
        <w:t>4.1.1国内外同类企业突发环境事件案例</w:t>
      </w:r>
      <w:bookmarkEnd w:id="102"/>
      <w:bookmarkEnd w:id="103"/>
    </w:p>
    <w:p>
      <w:pPr>
        <w:rPr>
          <w:rFonts w:hint="eastAsia"/>
        </w:rPr>
      </w:pPr>
      <w:bookmarkStart w:id="111" w:name="_Toc432846610"/>
      <w:r>
        <w:rPr>
          <w:rFonts w:hint="eastAsia"/>
        </w:rPr>
        <w:t>4.1.1.1</w:t>
      </w:r>
      <w:bookmarkEnd w:id="111"/>
      <w:r>
        <w:rPr>
          <w:rFonts w:hint="eastAsia"/>
        </w:rPr>
        <w:t>石家庄晋州市一非法染料中间体生产窝点“9·8”爆炸事故</w:t>
      </w:r>
    </w:p>
    <w:p>
      <w:pPr>
        <w:rPr>
          <w:rFonts w:hint="eastAsia"/>
        </w:rPr>
      </w:pPr>
      <w:r>
        <w:rPr>
          <w:rFonts w:hint="eastAsia"/>
        </w:rPr>
        <w:t>1.事件经过及污染</w:t>
      </w:r>
    </w:p>
    <w:p>
      <w:pPr>
        <w:rPr>
          <w:rFonts w:hint="eastAsia"/>
        </w:rPr>
      </w:pPr>
      <w:r>
        <w:rPr>
          <w:rFonts w:hint="eastAsia"/>
        </w:rPr>
        <w:t>2016 年 9 月 7 日晚，操作工甲(只上夜班)、操作工乙、操作工丙上班进行苦味酸生产。</w:t>
      </w:r>
    </w:p>
    <w:p>
      <w:pPr>
        <w:ind w:left="0" w:leftChars="0" w:firstLine="0" w:firstLineChars="0"/>
        <w:rPr>
          <w:rFonts w:hint="eastAsia"/>
        </w:rPr>
      </w:pPr>
      <w:r>
        <w:rPr>
          <w:rFonts w:hint="eastAsia"/>
        </w:rPr>
        <w:t>9 月 8 日 8 时，苦氨酸钠 2 名包装工开始上班作业。9 时，外来施工人员 5 人进入生产场地，在闲置厂房内安装设备，在厂房外进行循环水管线切割及安装等作业。9 时 30 分</w:t>
      </w:r>
      <w:r>
        <w:rPr>
          <w:rFonts w:hint="eastAsia"/>
          <w:lang w:eastAsia="zh-CN"/>
        </w:rPr>
        <w:t>。</w:t>
      </w:r>
      <w:r>
        <w:rPr>
          <w:rFonts w:hint="eastAsia"/>
        </w:rPr>
        <w:t>窝点负责人甲、乙先后到达，查看了生产情况，并与施工队人员商量循环水管线走向。10 时，操作工乙、操作工丙将半成品苦味酸放入抽滤槽内抽滤后，先后离开下班。10 时 15 分，窝点负责人甲、乙一同乘车离开，现场有 2 名包装工及 5 名外来施工人员继续工作。10 时 55 分，厂房南侧抽滤槽内苦味酸及相邻堆放的苦味酸发生爆燃。10 时 57 分，爆燃产生的高温致仓库内存放的苦味酸发生爆炸，造成现场 2 名包装工及 5 名外来施工人员死亡，厂房被摧毁。</w:t>
      </w:r>
    </w:p>
    <w:p>
      <w:pPr>
        <w:rPr>
          <w:rFonts w:hint="eastAsia"/>
        </w:rPr>
      </w:pPr>
      <w:r>
        <w:rPr>
          <w:rFonts w:hint="eastAsia"/>
        </w:rPr>
        <w:t>2.事件的原因分析</w:t>
      </w:r>
    </w:p>
    <w:p>
      <w:pPr>
        <w:rPr>
          <w:rFonts w:hint="eastAsia"/>
        </w:rPr>
      </w:pPr>
      <w:r>
        <w:rPr>
          <w:rFonts w:hint="eastAsia"/>
        </w:rPr>
        <w:t>一）直接原因</w:t>
      </w:r>
    </w:p>
    <w:p>
      <w:pPr>
        <w:rPr>
          <w:rFonts w:hint="eastAsia"/>
        </w:rPr>
      </w:pPr>
      <w:r>
        <w:rPr>
          <w:rFonts w:hint="eastAsia"/>
        </w:rPr>
        <w:t>外来施工人员违反动火作业规范，在未检测、未采取安全措施、未经审批的情况下动火作业，气焊作业焊花掉落引起现场附近堆放的苦味酸爆燃，进而引发了库房内堆积的苦味酸爆炸。</w:t>
      </w:r>
    </w:p>
    <w:p>
      <w:pPr>
        <w:rPr>
          <w:rFonts w:hint="eastAsia"/>
        </w:rPr>
      </w:pPr>
      <w:r>
        <w:rPr>
          <w:rFonts w:hint="eastAsia"/>
        </w:rPr>
        <w:t>（二）间接原因</w:t>
      </w:r>
    </w:p>
    <w:p>
      <w:pPr>
        <w:rPr>
          <w:rFonts w:hint="eastAsia"/>
        </w:rPr>
      </w:pPr>
      <w:r>
        <w:rPr>
          <w:rFonts w:hint="eastAsia"/>
        </w:rPr>
        <w:t>1.生产组织者未取得任何资质、许可，在不具备安全条件的情况下非法组织生产、销售危险物品，造成严重事故后果。</w:t>
      </w:r>
    </w:p>
    <w:p>
      <w:pPr>
        <w:rPr>
          <w:rFonts w:hint="eastAsia"/>
        </w:rPr>
      </w:pPr>
      <w:r>
        <w:rPr>
          <w:rFonts w:hint="eastAsia"/>
        </w:rPr>
        <w:t>2.参与非法生产的作业人员没有安全意识及知识，盲目接受非法生产组织者安排的非法生产，没有安全操作规程和应急自救技能，给自己和他人造成伤害。</w:t>
      </w:r>
    </w:p>
    <w:p>
      <w:pPr>
        <w:rPr>
          <w:rFonts w:hint="eastAsia"/>
        </w:rPr>
      </w:pPr>
      <w:r>
        <w:rPr>
          <w:rFonts w:hint="eastAsia"/>
        </w:rPr>
        <w:t>3.当地村民对非法的危险物品生产缺乏觉悟，没有应有的自我保护及安全意识，未能及时制止，积极举报非法行为。</w:t>
      </w:r>
    </w:p>
    <w:p>
      <w:pPr>
        <w:rPr>
          <w:rFonts w:hint="eastAsia" w:ascii="宋体" w:hAnsi="宋体" w:eastAsia="宋体" w:cs="宋体"/>
          <w:color w:val="auto"/>
          <w:shd w:val="clear" w:color="auto" w:fill="auto"/>
        </w:rPr>
      </w:pPr>
      <w:r>
        <w:rPr>
          <w:rFonts w:hint="eastAsia"/>
        </w:rPr>
        <w:t>4.所在镇政府工作人员及村委会对非法生产未能及时发现，缺乏必要、有效、全面的排查，未发现、斩断非法生产、销售危险物品链条。</w:t>
      </w:r>
    </w:p>
    <w:p>
      <w:pPr>
        <w:pStyle w:val="3"/>
        <w:rPr>
          <w:rFonts w:hint="eastAsia" w:ascii="宋体" w:hAnsi="宋体" w:eastAsia="宋体" w:cs="宋体"/>
          <w:color w:val="auto"/>
          <w:shd w:val="clear" w:color="auto" w:fill="auto"/>
        </w:rPr>
      </w:pPr>
      <w:bookmarkStart w:id="112" w:name="_Toc1571"/>
      <w:r>
        <w:rPr>
          <w:rFonts w:hint="eastAsia" w:ascii="宋体" w:hAnsi="宋体" w:eastAsia="宋体" w:cs="宋体"/>
          <w:color w:val="auto"/>
          <w:shd w:val="clear" w:color="auto" w:fill="auto"/>
        </w:rPr>
        <w:t>4.</w:t>
      </w:r>
      <w:r>
        <w:rPr>
          <w:rFonts w:hint="eastAsia" w:ascii="宋体" w:hAnsi="宋体" w:eastAsia="宋体" w:cs="宋体"/>
          <w:color w:val="auto"/>
          <w:shd w:val="clear" w:color="auto" w:fill="auto"/>
          <w:lang w:val="en-US" w:eastAsia="zh-CN"/>
        </w:rPr>
        <w:t>2</w:t>
      </w:r>
      <w:r>
        <w:rPr>
          <w:rFonts w:hint="eastAsia" w:ascii="宋体" w:hAnsi="宋体" w:eastAsia="宋体" w:cs="宋体"/>
          <w:color w:val="auto"/>
          <w:shd w:val="clear" w:color="auto" w:fill="auto"/>
        </w:rPr>
        <w:t xml:space="preserve"> 突发环境事件源强分析</w:t>
      </w:r>
      <w:bookmarkEnd w:id="104"/>
      <w:bookmarkEnd w:id="105"/>
      <w:bookmarkEnd w:id="106"/>
      <w:bookmarkEnd w:id="107"/>
      <w:bookmarkEnd w:id="108"/>
      <w:bookmarkEnd w:id="109"/>
      <w:bookmarkEnd w:id="110"/>
      <w:bookmarkEnd w:id="112"/>
    </w:p>
    <w:p>
      <w:pPr>
        <w:pStyle w:val="4"/>
      </w:pPr>
      <w:bookmarkStart w:id="113" w:name="_Toc32056"/>
      <w:bookmarkStart w:id="114" w:name="_Toc519646495"/>
      <w:r>
        <w:rPr>
          <w:rFonts w:hint="eastAsia"/>
          <w:lang w:val="en-US" w:eastAsia="zh-CN"/>
        </w:rPr>
        <w:t>4.2.1</w:t>
      </w:r>
      <w:r>
        <w:t>企业相关物料的理化性质</w:t>
      </w:r>
      <w:bookmarkEnd w:id="113"/>
      <w:bookmarkEnd w:id="114"/>
    </w:p>
    <w:p>
      <w:pPr>
        <w:pStyle w:val="30"/>
        <w:ind w:firstLine="480"/>
      </w:pPr>
      <w:r>
        <w:rPr>
          <w:rFonts w:hint="eastAsia"/>
          <w:lang w:eastAsia="zh-CN"/>
        </w:rPr>
        <w:t>乔旭（九江）企业</w:t>
      </w:r>
      <w:r>
        <w:t>有限公司中储存的被识别出的危险化学品原辅料主要</w:t>
      </w:r>
      <w:r>
        <w:rPr>
          <w:rFonts w:hint="eastAsia"/>
          <w:lang w:eastAsia="zh-CN"/>
        </w:rPr>
        <w:t>硫氢化钠、氢氧化钠</w:t>
      </w:r>
      <w:r>
        <w:rPr>
          <w:rFonts w:hint="eastAsia"/>
        </w:rPr>
        <w:t>，</w:t>
      </w:r>
      <w:r>
        <w:t>主要理化性质见</w:t>
      </w:r>
      <w:r>
        <w:rPr>
          <w:rFonts w:hint="eastAsia"/>
        </w:rPr>
        <w:t>3.3.2节</w:t>
      </w:r>
      <w:r>
        <w:t>。</w:t>
      </w:r>
    </w:p>
    <w:p>
      <w:pPr>
        <w:pStyle w:val="4"/>
      </w:pPr>
      <w:bookmarkStart w:id="115" w:name="_Toc10016"/>
      <w:bookmarkStart w:id="116" w:name="_Toc519646496"/>
      <w:r>
        <w:rPr>
          <w:rFonts w:hint="eastAsia"/>
          <w:lang w:val="en-US" w:eastAsia="zh-CN"/>
        </w:rPr>
        <w:t>4.2.2</w:t>
      </w:r>
      <w:r>
        <w:t>风险类型</w:t>
      </w:r>
      <w:bookmarkEnd w:id="115"/>
      <w:bookmarkEnd w:id="116"/>
    </w:p>
    <w:p>
      <w:pPr>
        <w:pStyle w:val="30"/>
        <w:ind w:firstLine="480"/>
      </w:pPr>
      <w:r>
        <w:t>（1）</w:t>
      </w:r>
      <w:r>
        <w:rPr>
          <w:rFonts w:hint="eastAsia"/>
          <w:lang w:eastAsia="zh-CN"/>
        </w:rPr>
        <w:t>原料硫氢化钠属于不易燃不易爆液体，因储存不当泄漏</w:t>
      </w:r>
      <w:r>
        <w:t>会污染地表水环境；防渗措施失效后污染土壤和地下水环境。</w:t>
      </w:r>
    </w:p>
    <w:p>
      <w:pPr>
        <w:pStyle w:val="30"/>
        <w:ind w:firstLine="480"/>
      </w:pPr>
      <w:r>
        <w:t>（2）废气处理装置故障，伴生产生的有害气体污染大气环境。</w:t>
      </w:r>
    </w:p>
    <w:p>
      <w:pPr>
        <w:pStyle w:val="30"/>
        <w:ind w:firstLine="480"/>
        <w:rPr>
          <w:rFonts w:hint="eastAsia"/>
          <w:lang w:val="en-US" w:eastAsia="zh-CN"/>
        </w:rPr>
      </w:pPr>
      <w:r>
        <w:t>（3）污水处理装置故障，废水事故性排放，或储存装置破损泄漏外流，污染土壤、地表水和地下水环境。</w:t>
      </w:r>
    </w:p>
    <w:p>
      <w:pPr>
        <w:pStyle w:val="4"/>
        <w:rPr>
          <w:rFonts w:hint="eastAsia" w:ascii="宋体" w:hAnsi="宋体" w:eastAsia="宋体" w:cs="宋体"/>
          <w:lang w:val="en-US" w:eastAsia="zh-CN"/>
        </w:rPr>
      </w:pPr>
      <w:bookmarkStart w:id="117" w:name="_Toc19256"/>
      <w:bookmarkStart w:id="118" w:name="_Toc135811915"/>
      <w:bookmarkStart w:id="119" w:name="_Toc11168"/>
      <w:r>
        <w:rPr>
          <w:rFonts w:hint="eastAsia" w:ascii="宋体" w:hAnsi="宋体" w:eastAsia="宋体" w:cs="宋体"/>
          <w:color w:val="auto"/>
        </w:rPr>
        <w:t>4.</w:t>
      </w:r>
      <w:r>
        <w:rPr>
          <w:rFonts w:hint="eastAsia" w:ascii="宋体" w:hAnsi="宋体" w:eastAsia="宋体" w:cs="宋体"/>
          <w:color w:val="auto"/>
          <w:lang w:val="en-US" w:eastAsia="zh-CN"/>
        </w:rPr>
        <w:t>2</w:t>
      </w:r>
      <w:r>
        <w:rPr>
          <w:rFonts w:hint="eastAsia" w:ascii="宋体" w:hAnsi="宋体" w:eastAsia="宋体" w:cs="宋体"/>
          <w:color w:val="auto"/>
        </w:rPr>
        <w:t>.</w:t>
      </w:r>
      <w:r>
        <w:rPr>
          <w:rFonts w:hint="eastAsia" w:ascii="宋体" w:hAnsi="宋体" w:cs="宋体"/>
          <w:color w:val="auto"/>
          <w:lang w:val="en-US" w:eastAsia="zh-CN"/>
        </w:rPr>
        <w:t>3</w:t>
      </w:r>
      <w:r>
        <w:rPr>
          <w:rFonts w:hint="eastAsia" w:ascii="宋体" w:hAnsi="宋体" w:eastAsia="宋体" w:cs="宋体"/>
          <w:color w:val="auto"/>
        </w:rPr>
        <w:t xml:space="preserve"> 环境风险环节分析</w:t>
      </w:r>
      <w:bookmarkEnd w:id="117"/>
      <w:bookmarkEnd w:id="118"/>
      <w:bookmarkEnd w:id="119"/>
    </w:p>
    <w:p>
      <w:pPr>
        <w:adjustRightInd w:val="0"/>
        <w:snapToGrid w:val="0"/>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工艺装置因密封不严、操作失误或受物料、大气腐蚀、磨蚀等因素均会导致物料泄漏，引起火灾、爆炸或中毒事故。</w:t>
      </w:r>
    </w:p>
    <w:p>
      <w:pPr>
        <w:adjustRightInd w:val="0"/>
        <w:snapToGrid w:val="0"/>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安全附件或安全防护装置如安全阀、压力表、温度计、液位计、紧急停车的装置缺乏或失效，可引发火灾、爆炸、中毒事故。</w:t>
      </w:r>
    </w:p>
    <w:p>
      <w:pPr>
        <w:adjustRightInd w:val="0"/>
        <w:snapToGrid w:val="0"/>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机泵的类型、工艺参数与输送介质的性质（如腐蚀性）和输送特点、作业要求不符；电机因过载而发热燃烧，引起火灾爆炸事故。</w:t>
      </w:r>
    </w:p>
    <w:p>
      <w:pPr>
        <w:adjustRightInd w:val="0"/>
        <w:snapToGrid w:val="0"/>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机械设备的防护装置缺乏或失效，可引起机械伤害事故。</w:t>
      </w:r>
    </w:p>
    <w:p>
      <w:pPr>
        <w:adjustRightInd w:val="0"/>
        <w:snapToGrid w:val="0"/>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蒸发器内管道破裂，与冷料接触，可导致冷料突然膨胀，发生火灾、爆炸。蒸发设备、管线在管道内高速流动、摩擦过程中，金属壳体材料易出现金属疲劳。高温条件下操作可引起温差应力破坏，高温蠕变可导致蒸发器破裂。</w:t>
      </w:r>
    </w:p>
    <w:p>
      <w:pPr>
        <w:adjustRightInd w:val="0"/>
        <w:snapToGrid w:val="0"/>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吸收塔设计不合理、运行失效、断水等异常情况，可引起硫化氢泄漏，造成大面积中毒。</w:t>
      </w:r>
    </w:p>
    <w:p>
      <w:pPr>
        <w:pStyle w:val="4"/>
      </w:pPr>
      <w:bookmarkStart w:id="120" w:name="_Toc519646499"/>
      <w:bookmarkStart w:id="121" w:name="_Toc18537"/>
      <w:r>
        <w:rPr>
          <w:rFonts w:hint="eastAsia"/>
          <w:lang w:val="en-US" w:eastAsia="zh-CN"/>
        </w:rPr>
        <w:t>4.2.4</w:t>
      </w:r>
      <w:r>
        <w:t>最大可信事故</w:t>
      </w:r>
      <w:bookmarkEnd w:id="120"/>
      <w:bookmarkEnd w:id="121"/>
    </w:p>
    <w:p>
      <w:r>
        <w:t>本项目主要是储存各种化学品。从事故的类型来分，一是火灾或爆炸，二是物料的泄漏；从事故的严重性和损失后果可分为重大事故和一般性事故。国际化工界将重大事故定义为：导致反应装置及其它经济损失超过2.5万美元，或者造成严重人员伤亡的事故。火灾或爆炸事故常常属于此类事故。而一般事故是指那些没有造成重大经济损失和人员伤亡的事故，但此类事故如不采取有效措施加以控制，将对周围的环境产生不利影响。物料泄漏事故常常属于一般性的事故。</w:t>
      </w:r>
    </w:p>
    <w:p>
      <w:r>
        <w:rPr>
          <w:rFonts w:hint="eastAsia"/>
        </w:rPr>
        <w:t>⑴</w:t>
      </w:r>
      <w:r>
        <w:t>物料的泄漏事故</w:t>
      </w:r>
    </w:p>
    <w:p>
      <w:r>
        <w:t>物料泄漏主要以塑料桶或包装袋以及其他设备破损引起的。参照国际上和国内先进化工</w:t>
      </w:r>
      <w:r>
        <w:rPr>
          <w:rFonts w:hint="eastAsia"/>
          <w:lang w:eastAsia="zh-CN"/>
        </w:rPr>
        <w:t>的撒</w:t>
      </w:r>
      <w:r>
        <w:t>而国内较先进的化工企业约为0.2～0.4 次/年。国外先进化工企业的泄漏事故类型、原因及概率统计分析见表4.2-</w:t>
      </w:r>
      <w:r>
        <w:rPr>
          <w:rFonts w:hint="eastAsia"/>
          <w:lang w:val="en-US" w:eastAsia="zh-CN"/>
        </w:rPr>
        <w:t>1</w:t>
      </w:r>
      <w:r>
        <w:t>和4.2-</w:t>
      </w:r>
      <w:r>
        <w:rPr>
          <w:rFonts w:hint="eastAsia"/>
          <w:lang w:val="en-US" w:eastAsia="zh-CN"/>
        </w:rPr>
        <w:t>2</w:t>
      </w:r>
      <w:r>
        <w:t>。</w:t>
      </w:r>
    </w:p>
    <w:p>
      <w:pPr>
        <w:spacing w:line="360" w:lineRule="auto"/>
        <w:jc w:val="center"/>
        <w:rPr>
          <w:b/>
          <w:sz w:val="24"/>
        </w:rPr>
      </w:pPr>
      <w:r>
        <w:rPr>
          <w:b/>
          <w:sz w:val="24"/>
        </w:rPr>
        <w:t>表4.2-</w:t>
      </w:r>
      <w:r>
        <w:rPr>
          <w:rFonts w:hint="eastAsia"/>
          <w:b/>
          <w:sz w:val="24"/>
          <w:lang w:val="en-US" w:eastAsia="zh-CN"/>
        </w:rPr>
        <w:t>1</w:t>
      </w:r>
      <w:r>
        <w:rPr>
          <w:b/>
          <w:sz w:val="24"/>
        </w:rPr>
        <w:t xml:space="preserve"> 物料泄露事故类型统计</w:t>
      </w:r>
    </w:p>
    <w:tbl>
      <w:tblPr>
        <w:tblStyle w:val="17"/>
        <w:tblW w:w="8313" w:type="dxa"/>
        <w:tblInd w:w="0" w:type="dxa"/>
        <w:tblLayout w:type="fixed"/>
        <w:tblCellMar>
          <w:top w:w="0" w:type="dxa"/>
          <w:left w:w="0" w:type="dxa"/>
          <w:bottom w:w="0" w:type="dxa"/>
          <w:right w:w="0" w:type="dxa"/>
        </w:tblCellMar>
      </w:tblPr>
      <w:tblGrid>
        <w:gridCol w:w="1451"/>
        <w:gridCol w:w="3081"/>
        <w:gridCol w:w="3781"/>
      </w:tblGrid>
      <w:tr>
        <w:tblPrEx>
          <w:tblLayout w:type="fixed"/>
          <w:tblCellMar>
            <w:top w:w="0" w:type="dxa"/>
            <w:left w:w="0" w:type="dxa"/>
            <w:bottom w:w="0" w:type="dxa"/>
            <w:right w:w="0" w:type="dxa"/>
          </w:tblCellMar>
        </w:tblPrEx>
        <w:trPr>
          <w:trHeight w:val="20" w:hRule="atLeast"/>
        </w:trPr>
        <w:tc>
          <w:tcPr>
            <w:tcW w:w="1451" w:type="dxa"/>
            <w:tcBorders>
              <w:top w:val="single" w:color="000000" w:sz="12" w:space="0"/>
              <w:left w:val="nil"/>
              <w:bottom w:val="single" w:color="000000" w:sz="12" w:space="0"/>
              <w:right w:val="single" w:color="000000" w:sz="4" w:space="0"/>
            </w:tcBorders>
            <w:shd w:val="clear" w:color="auto" w:fill="auto"/>
            <w:vAlign w:val="center"/>
          </w:tcPr>
          <w:p>
            <w:pPr>
              <w:jc w:val="center"/>
              <w:rPr>
                <w:b/>
                <w:szCs w:val="21"/>
              </w:rPr>
            </w:pPr>
            <w:r>
              <w:rPr>
                <w:b/>
                <w:szCs w:val="21"/>
              </w:rPr>
              <w:t>序号</w:t>
            </w:r>
          </w:p>
        </w:tc>
        <w:tc>
          <w:tcPr>
            <w:tcW w:w="3081" w:type="dxa"/>
            <w:tcBorders>
              <w:top w:val="single" w:color="000000" w:sz="12" w:space="0"/>
              <w:left w:val="single" w:color="000000" w:sz="4" w:space="0"/>
              <w:bottom w:val="single" w:color="000000" w:sz="12" w:space="0"/>
              <w:right w:val="single" w:color="000000" w:sz="4" w:space="0"/>
            </w:tcBorders>
            <w:shd w:val="clear" w:color="auto" w:fill="auto"/>
            <w:vAlign w:val="center"/>
          </w:tcPr>
          <w:p>
            <w:pPr>
              <w:jc w:val="center"/>
              <w:rPr>
                <w:b/>
                <w:szCs w:val="21"/>
              </w:rPr>
            </w:pPr>
            <w:r>
              <w:rPr>
                <w:b/>
                <w:szCs w:val="21"/>
              </w:rPr>
              <w:t>事故</w:t>
            </w:r>
          </w:p>
        </w:tc>
        <w:tc>
          <w:tcPr>
            <w:tcW w:w="3781" w:type="dxa"/>
            <w:tcBorders>
              <w:top w:val="single" w:color="000000" w:sz="12" w:space="0"/>
              <w:left w:val="single" w:color="000000" w:sz="4" w:space="0"/>
              <w:bottom w:val="single" w:color="000000" w:sz="12" w:space="0"/>
              <w:right w:val="nil"/>
            </w:tcBorders>
            <w:shd w:val="clear" w:color="auto" w:fill="auto"/>
            <w:vAlign w:val="center"/>
          </w:tcPr>
          <w:p>
            <w:pPr>
              <w:jc w:val="center"/>
              <w:rPr>
                <w:b/>
                <w:szCs w:val="21"/>
              </w:rPr>
            </w:pPr>
            <w:r>
              <w:rPr>
                <w:b/>
                <w:szCs w:val="21"/>
              </w:rPr>
              <w:t>发生概率（次/年）</w:t>
            </w:r>
          </w:p>
        </w:tc>
      </w:tr>
      <w:tr>
        <w:tblPrEx>
          <w:tblLayout w:type="fixed"/>
          <w:tblCellMar>
            <w:top w:w="0" w:type="dxa"/>
            <w:left w:w="0" w:type="dxa"/>
            <w:bottom w:w="0" w:type="dxa"/>
            <w:right w:w="0" w:type="dxa"/>
          </w:tblCellMar>
        </w:tblPrEx>
        <w:trPr>
          <w:trHeight w:val="20" w:hRule="atLeast"/>
        </w:trPr>
        <w:tc>
          <w:tcPr>
            <w:tcW w:w="1451" w:type="dxa"/>
            <w:tcBorders>
              <w:top w:val="single" w:color="000000" w:sz="12" w:space="0"/>
              <w:left w:val="nil"/>
              <w:bottom w:val="single" w:color="000000" w:sz="4" w:space="0"/>
              <w:right w:val="single" w:color="000000" w:sz="4" w:space="0"/>
            </w:tcBorders>
            <w:shd w:val="clear" w:color="auto" w:fill="auto"/>
            <w:vAlign w:val="center"/>
          </w:tcPr>
          <w:p>
            <w:pPr>
              <w:jc w:val="center"/>
              <w:rPr>
                <w:szCs w:val="21"/>
              </w:rPr>
            </w:pPr>
            <w:r>
              <w:rPr>
                <w:szCs w:val="21"/>
              </w:rPr>
              <w:t>1</w:t>
            </w:r>
          </w:p>
        </w:tc>
        <w:tc>
          <w:tcPr>
            <w:tcW w:w="3081" w:type="dxa"/>
            <w:tcBorders>
              <w:top w:val="single" w:color="000000" w:sz="12" w:space="0"/>
              <w:left w:val="single" w:color="000000" w:sz="4" w:space="0"/>
              <w:bottom w:val="single" w:color="000000" w:sz="4" w:space="0"/>
              <w:right w:val="single" w:color="000000" w:sz="4" w:space="0"/>
            </w:tcBorders>
            <w:shd w:val="clear" w:color="auto" w:fill="auto"/>
            <w:vAlign w:val="center"/>
          </w:tcPr>
          <w:p>
            <w:pPr>
              <w:jc w:val="center"/>
              <w:rPr>
                <w:szCs w:val="21"/>
              </w:rPr>
            </w:pPr>
            <w:r>
              <w:rPr>
                <w:szCs w:val="21"/>
              </w:rPr>
              <w:t>管道输送泄漏</w:t>
            </w:r>
          </w:p>
        </w:tc>
        <w:tc>
          <w:tcPr>
            <w:tcW w:w="3781" w:type="dxa"/>
            <w:tcBorders>
              <w:top w:val="single" w:color="000000" w:sz="12" w:space="0"/>
              <w:left w:val="single" w:color="000000" w:sz="4" w:space="0"/>
              <w:bottom w:val="single" w:color="000000" w:sz="4" w:space="0"/>
              <w:right w:val="nil"/>
            </w:tcBorders>
            <w:shd w:val="clear" w:color="auto" w:fill="auto"/>
            <w:vAlign w:val="center"/>
          </w:tcPr>
          <w:p>
            <w:pPr>
              <w:jc w:val="center"/>
              <w:rPr>
                <w:szCs w:val="21"/>
              </w:rPr>
            </w:pPr>
            <w:r>
              <w:rPr>
                <w:szCs w:val="21"/>
              </w:rPr>
              <w:t>1.25</w:t>
            </w:r>
            <w:r>
              <w:rPr>
                <w:rFonts w:hint="eastAsia"/>
                <w:szCs w:val="21"/>
              </w:rPr>
              <w:t>×</w:t>
            </w:r>
            <w:r>
              <w:rPr>
                <w:szCs w:val="21"/>
              </w:rPr>
              <w:t>10</w:t>
            </w:r>
            <w:r>
              <w:rPr>
                <w:szCs w:val="21"/>
                <w:vertAlign w:val="superscript"/>
              </w:rPr>
              <w:t>-2</w:t>
            </w:r>
          </w:p>
        </w:tc>
      </w:tr>
      <w:tr>
        <w:tblPrEx>
          <w:tblLayout w:type="fixed"/>
          <w:tblCellMar>
            <w:top w:w="0" w:type="dxa"/>
            <w:left w:w="0" w:type="dxa"/>
            <w:bottom w:w="0" w:type="dxa"/>
            <w:right w:w="0" w:type="dxa"/>
          </w:tblCellMar>
        </w:tblPrEx>
        <w:trPr>
          <w:trHeight w:val="20" w:hRule="atLeast"/>
        </w:trPr>
        <w:tc>
          <w:tcPr>
            <w:tcW w:w="1451" w:type="dxa"/>
            <w:tcBorders>
              <w:top w:val="single" w:color="000000" w:sz="4" w:space="0"/>
              <w:left w:val="nil"/>
              <w:bottom w:val="single" w:color="000000" w:sz="4" w:space="0"/>
              <w:right w:val="single" w:color="000000" w:sz="4" w:space="0"/>
            </w:tcBorders>
            <w:shd w:val="clear" w:color="auto" w:fill="auto"/>
            <w:vAlign w:val="center"/>
          </w:tcPr>
          <w:p>
            <w:pPr>
              <w:jc w:val="center"/>
              <w:rPr>
                <w:szCs w:val="21"/>
              </w:rPr>
            </w:pPr>
            <w:r>
              <w:rPr>
                <w:szCs w:val="21"/>
              </w:rPr>
              <w:t>2</w:t>
            </w:r>
          </w:p>
        </w:tc>
        <w:tc>
          <w:tcPr>
            <w:tcW w:w="3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Cs w:val="21"/>
              </w:rPr>
            </w:pPr>
            <w:r>
              <w:rPr>
                <w:szCs w:val="21"/>
              </w:rPr>
              <w:t>泵泄漏</w:t>
            </w:r>
          </w:p>
        </w:tc>
        <w:tc>
          <w:tcPr>
            <w:tcW w:w="3781" w:type="dxa"/>
            <w:tcBorders>
              <w:top w:val="single" w:color="000000" w:sz="4" w:space="0"/>
              <w:left w:val="single" w:color="000000" w:sz="4" w:space="0"/>
              <w:bottom w:val="single" w:color="000000" w:sz="4" w:space="0"/>
              <w:right w:val="nil"/>
            </w:tcBorders>
            <w:shd w:val="clear" w:color="auto" w:fill="auto"/>
            <w:vAlign w:val="center"/>
          </w:tcPr>
          <w:p>
            <w:pPr>
              <w:jc w:val="center"/>
              <w:rPr>
                <w:szCs w:val="21"/>
              </w:rPr>
            </w:pPr>
            <w:r>
              <w:rPr>
                <w:szCs w:val="21"/>
              </w:rPr>
              <w:t>1.67</w:t>
            </w:r>
            <w:r>
              <w:rPr>
                <w:rFonts w:hint="eastAsia"/>
                <w:szCs w:val="21"/>
              </w:rPr>
              <w:t>×</w:t>
            </w:r>
            <w:r>
              <w:rPr>
                <w:szCs w:val="21"/>
              </w:rPr>
              <w:t>10</w:t>
            </w:r>
            <w:r>
              <w:rPr>
                <w:szCs w:val="21"/>
                <w:vertAlign w:val="superscript"/>
              </w:rPr>
              <w:t>-2</w:t>
            </w:r>
          </w:p>
        </w:tc>
      </w:tr>
      <w:tr>
        <w:tblPrEx>
          <w:tblLayout w:type="fixed"/>
          <w:tblCellMar>
            <w:top w:w="0" w:type="dxa"/>
            <w:left w:w="0" w:type="dxa"/>
            <w:bottom w:w="0" w:type="dxa"/>
            <w:right w:w="0" w:type="dxa"/>
          </w:tblCellMar>
        </w:tblPrEx>
        <w:trPr>
          <w:trHeight w:val="20" w:hRule="atLeast"/>
        </w:trPr>
        <w:tc>
          <w:tcPr>
            <w:tcW w:w="1451" w:type="dxa"/>
            <w:tcBorders>
              <w:top w:val="single" w:color="000000" w:sz="4" w:space="0"/>
              <w:left w:val="nil"/>
              <w:bottom w:val="single" w:color="000000" w:sz="4" w:space="0"/>
              <w:right w:val="single" w:color="000000" w:sz="4" w:space="0"/>
            </w:tcBorders>
            <w:shd w:val="clear" w:color="auto" w:fill="auto"/>
            <w:vAlign w:val="center"/>
          </w:tcPr>
          <w:p>
            <w:pPr>
              <w:jc w:val="center"/>
              <w:rPr>
                <w:szCs w:val="21"/>
              </w:rPr>
            </w:pPr>
            <w:r>
              <w:rPr>
                <w:szCs w:val="21"/>
              </w:rPr>
              <w:t>3</w:t>
            </w:r>
          </w:p>
        </w:tc>
        <w:tc>
          <w:tcPr>
            <w:tcW w:w="3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Cs w:val="21"/>
              </w:rPr>
            </w:pPr>
            <w:r>
              <w:rPr>
                <w:szCs w:val="21"/>
              </w:rPr>
              <w:t>装置泄漏</w:t>
            </w:r>
          </w:p>
        </w:tc>
        <w:tc>
          <w:tcPr>
            <w:tcW w:w="3781" w:type="dxa"/>
            <w:tcBorders>
              <w:top w:val="single" w:color="000000" w:sz="4" w:space="0"/>
              <w:left w:val="single" w:color="000000" w:sz="4" w:space="0"/>
              <w:bottom w:val="single" w:color="000000" w:sz="4" w:space="0"/>
              <w:right w:val="nil"/>
            </w:tcBorders>
            <w:shd w:val="clear" w:color="auto" w:fill="auto"/>
            <w:vAlign w:val="center"/>
          </w:tcPr>
          <w:p>
            <w:pPr>
              <w:jc w:val="center"/>
              <w:rPr>
                <w:szCs w:val="21"/>
              </w:rPr>
            </w:pPr>
            <w:r>
              <w:rPr>
                <w:szCs w:val="21"/>
              </w:rPr>
              <w:t>1.67</w:t>
            </w:r>
            <w:r>
              <w:rPr>
                <w:rFonts w:hint="eastAsia"/>
                <w:szCs w:val="21"/>
              </w:rPr>
              <w:t>×</w:t>
            </w:r>
            <w:r>
              <w:rPr>
                <w:szCs w:val="21"/>
              </w:rPr>
              <w:t>10</w:t>
            </w:r>
            <w:r>
              <w:rPr>
                <w:szCs w:val="21"/>
                <w:vertAlign w:val="superscript"/>
              </w:rPr>
              <w:t>-2</w:t>
            </w:r>
          </w:p>
        </w:tc>
      </w:tr>
      <w:tr>
        <w:tblPrEx>
          <w:tblLayout w:type="fixed"/>
          <w:tblCellMar>
            <w:top w:w="0" w:type="dxa"/>
            <w:left w:w="0" w:type="dxa"/>
            <w:bottom w:w="0" w:type="dxa"/>
            <w:right w:w="0" w:type="dxa"/>
          </w:tblCellMar>
        </w:tblPrEx>
        <w:trPr>
          <w:trHeight w:val="20" w:hRule="atLeast"/>
        </w:trPr>
        <w:tc>
          <w:tcPr>
            <w:tcW w:w="1451" w:type="dxa"/>
            <w:tcBorders>
              <w:top w:val="single" w:color="000000" w:sz="4" w:space="0"/>
              <w:left w:val="nil"/>
              <w:bottom w:val="single" w:color="000000" w:sz="4" w:space="0"/>
              <w:right w:val="single" w:color="000000" w:sz="4" w:space="0"/>
            </w:tcBorders>
            <w:shd w:val="clear" w:color="auto" w:fill="auto"/>
            <w:vAlign w:val="center"/>
          </w:tcPr>
          <w:p>
            <w:pPr>
              <w:jc w:val="center"/>
              <w:rPr>
                <w:szCs w:val="21"/>
              </w:rPr>
            </w:pPr>
            <w:r>
              <w:rPr>
                <w:szCs w:val="21"/>
              </w:rPr>
              <w:t>4</w:t>
            </w:r>
          </w:p>
        </w:tc>
        <w:tc>
          <w:tcPr>
            <w:tcW w:w="3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szCs w:val="21"/>
              </w:rPr>
            </w:pPr>
            <w:r>
              <w:rPr>
                <w:szCs w:val="21"/>
              </w:rPr>
              <w:t>其它</w:t>
            </w:r>
          </w:p>
        </w:tc>
        <w:tc>
          <w:tcPr>
            <w:tcW w:w="3781" w:type="dxa"/>
            <w:tcBorders>
              <w:top w:val="single" w:color="000000" w:sz="4" w:space="0"/>
              <w:left w:val="single" w:color="000000" w:sz="4" w:space="0"/>
              <w:bottom w:val="single" w:color="000000" w:sz="4" w:space="0"/>
              <w:right w:val="nil"/>
            </w:tcBorders>
            <w:shd w:val="clear" w:color="auto" w:fill="auto"/>
            <w:vAlign w:val="center"/>
          </w:tcPr>
          <w:p>
            <w:pPr>
              <w:jc w:val="center"/>
              <w:rPr>
                <w:szCs w:val="21"/>
              </w:rPr>
            </w:pPr>
            <w:r>
              <w:rPr>
                <w:szCs w:val="21"/>
              </w:rPr>
              <w:t>8.34</w:t>
            </w:r>
            <w:r>
              <w:rPr>
                <w:rFonts w:hint="eastAsia"/>
                <w:szCs w:val="21"/>
              </w:rPr>
              <w:t>×</w:t>
            </w:r>
            <w:r>
              <w:rPr>
                <w:szCs w:val="21"/>
              </w:rPr>
              <w:t>10</w:t>
            </w:r>
            <w:r>
              <w:rPr>
                <w:szCs w:val="21"/>
                <w:vertAlign w:val="superscript"/>
              </w:rPr>
              <w:t>-3</w:t>
            </w:r>
          </w:p>
        </w:tc>
      </w:tr>
      <w:tr>
        <w:tblPrEx>
          <w:tblLayout w:type="fixed"/>
          <w:tblCellMar>
            <w:top w:w="0" w:type="dxa"/>
            <w:left w:w="0" w:type="dxa"/>
            <w:bottom w:w="0" w:type="dxa"/>
            <w:right w:w="0" w:type="dxa"/>
          </w:tblCellMar>
        </w:tblPrEx>
        <w:trPr>
          <w:trHeight w:val="20" w:hRule="atLeast"/>
        </w:trPr>
        <w:tc>
          <w:tcPr>
            <w:tcW w:w="4532" w:type="dxa"/>
            <w:gridSpan w:val="2"/>
            <w:tcBorders>
              <w:top w:val="single" w:color="000000" w:sz="4" w:space="0"/>
              <w:left w:val="nil"/>
              <w:bottom w:val="single" w:color="000000" w:sz="12" w:space="0"/>
              <w:right w:val="single" w:color="000000" w:sz="4" w:space="0"/>
            </w:tcBorders>
            <w:shd w:val="clear" w:color="auto" w:fill="auto"/>
            <w:vAlign w:val="center"/>
          </w:tcPr>
          <w:p>
            <w:pPr>
              <w:jc w:val="center"/>
              <w:rPr>
                <w:szCs w:val="21"/>
              </w:rPr>
            </w:pPr>
            <w:r>
              <w:rPr>
                <w:szCs w:val="21"/>
              </w:rPr>
              <w:t>合计</w:t>
            </w:r>
          </w:p>
        </w:tc>
        <w:tc>
          <w:tcPr>
            <w:tcW w:w="3781" w:type="dxa"/>
            <w:tcBorders>
              <w:top w:val="single" w:color="000000" w:sz="4" w:space="0"/>
              <w:left w:val="single" w:color="000000" w:sz="4" w:space="0"/>
              <w:bottom w:val="single" w:color="000000" w:sz="12" w:space="0"/>
              <w:right w:val="nil"/>
            </w:tcBorders>
            <w:shd w:val="clear" w:color="auto" w:fill="auto"/>
            <w:vAlign w:val="center"/>
          </w:tcPr>
          <w:p>
            <w:pPr>
              <w:jc w:val="center"/>
              <w:rPr>
                <w:szCs w:val="21"/>
              </w:rPr>
            </w:pPr>
            <w:r>
              <w:rPr>
                <w:szCs w:val="21"/>
              </w:rPr>
              <w:t>5.41</w:t>
            </w:r>
            <w:r>
              <w:rPr>
                <w:rFonts w:hint="eastAsia"/>
                <w:szCs w:val="21"/>
              </w:rPr>
              <w:t>×</w:t>
            </w:r>
            <w:r>
              <w:rPr>
                <w:szCs w:val="21"/>
              </w:rPr>
              <w:t>10</w:t>
            </w:r>
            <w:r>
              <w:rPr>
                <w:szCs w:val="21"/>
                <w:vertAlign w:val="superscript"/>
              </w:rPr>
              <w:t>-2</w:t>
            </w:r>
          </w:p>
        </w:tc>
      </w:tr>
    </w:tbl>
    <w:p>
      <w:pPr>
        <w:pStyle w:val="30"/>
        <w:ind w:firstLine="480"/>
        <w:jc w:val="center"/>
        <w:rPr>
          <w:b/>
        </w:rPr>
      </w:pPr>
      <w:r>
        <w:rPr>
          <w:b/>
        </w:rPr>
        <w:t>表4.2-</w:t>
      </w:r>
      <w:r>
        <w:rPr>
          <w:rFonts w:hint="eastAsia"/>
          <w:b/>
          <w:lang w:val="en-US" w:eastAsia="zh-CN"/>
        </w:rPr>
        <w:t>2</w:t>
      </w:r>
      <w:r>
        <w:rPr>
          <w:b/>
        </w:rPr>
        <w:t xml:space="preserve">  泄露事故原因分析</w:t>
      </w:r>
    </w:p>
    <w:tbl>
      <w:tblPr>
        <w:tblStyle w:val="17"/>
        <w:tblW w:w="8313" w:type="dxa"/>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888"/>
        <w:gridCol w:w="2329"/>
        <w:gridCol w:w="2657"/>
        <w:gridCol w:w="2439"/>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75" w:hRule="atLeast"/>
        </w:trPr>
        <w:tc>
          <w:tcPr>
            <w:tcW w:w="888" w:type="dxa"/>
            <w:shd w:val="clear" w:color="auto" w:fill="auto"/>
            <w:vAlign w:val="top"/>
          </w:tcPr>
          <w:p>
            <w:pPr>
              <w:pStyle w:val="21"/>
              <w:spacing w:line="263" w:lineRule="exact"/>
              <w:ind w:left="272"/>
              <w:rPr>
                <w:rFonts w:eastAsia="Microsoft JhengHei"/>
                <w:sz w:val="21"/>
                <w:szCs w:val="21"/>
              </w:rPr>
            </w:pPr>
            <w:r>
              <w:rPr>
                <w:rFonts w:eastAsia="Microsoft JhengHei"/>
                <w:b/>
                <w:bCs/>
                <w:spacing w:val="-5"/>
                <w:sz w:val="21"/>
                <w:szCs w:val="21"/>
              </w:rPr>
              <w:t>序号</w:t>
            </w:r>
          </w:p>
        </w:tc>
        <w:tc>
          <w:tcPr>
            <w:tcW w:w="2329" w:type="dxa"/>
            <w:shd w:val="clear" w:color="auto" w:fill="auto"/>
            <w:vAlign w:val="top"/>
          </w:tcPr>
          <w:p>
            <w:pPr>
              <w:pStyle w:val="21"/>
              <w:spacing w:line="263" w:lineRule="exact"/>
              <w:ind w:left="819"/>
              <w:rPr>
                <w:rFonts w:eastAsia="Microsoft JhengHei"/>
                <w:sz w:val="21"/>
                <w:szCs w:val="21"/>
              </w:rPr>
            </w:pPr>
            <w:r>
              <w:rPr>
                <w:rFonts w:eastAsia="Microsoft JhengHei"/>
                <w:b/>
                <w:bCs/>
                <w:spacing w:val="-5"/>
                <w:sz w:val="21"/>
                <w:szCs w:val="21"/>
              </w:rPr>
              <w:t>事故原因</w:t>
            </w:r>
          </w:p>
        </w:tc>
        <w:tc>
          <w:tcPr>
            <w:tcW w:w="2657" w:type="dxa"/>
            <w:shd w:val="clear" w:color="auto" w:fill="auto"/>
            <w:vAlign w:val="top"/>
          </w:tcPr>
          <w:p>
            <w:pPr>
              <w:pStyle w:val="21"/>
              <w:spacing w:line="263" w:lineRule="exact"/>
              <w:ind w:left="555"/>
              <w:rPr>
                <w:rFonts w:eastAsia="Microsoft JhengHei"/>
                <w:sz w:val="21"/>
                <w:szCs w:val="21"/>
              </w:rPr>
            </w:pPr>
            <w:r>
              <w:rPr>
                <w:rFonts w:eastAsia="Microsoft JhengHei"/>
                <w:b/>
                <w:bCs/>
                <w:spacing w:val="-5"/>
                <w:sz w:val="21"/>
                <w:szCs w:val="21"/>
              </w:rPr>
              <w:t>发生概率（次</w:t>
            </w:r>
            <w:r>
              <w:rPr>
                <w:rFonts w:eastAsia="Times New Roman"/>
                <w:b/>
                <w:bCs/>
                <w:spacing w:val="-5"/>
                <w:sz w:val="21"/>
                <w:szCs w:val="21"/>
              </w:rPr>
              <w:t>/</w:t>
            </w:r>
            <w:r>
              <w:rPr>
                <w:rFonts w:eastAsia="Microsoft JhengHei"/>
                <w:b/>
                <w:bCs/>
                <w:spacing w:val="-5"/>
                <w:sz w:val="21"/>
                <w:szCs w:val="21"/>
              </w:rPr>
              <w:t>年）</w:t>
            </w:r>
          </w:p>
        </w:tc>
        <w:tc>
          <w:tcPr>
            <w:tcW w:w="2439" w:type="dxa"/>
            <w:shd w:val="clear" w:color="auto" w:fill="auto"/>
            <w:vAlign w:val="top"/>
          </w:tcPr>
          <w:p>
            <w:pPr>
              <w:pStyle w:val="21"/>
              <w:spacing w:line="263" w:lineRule="exact"/>
              <w:ind w:left="670"/>
              <w:rPr>
                <w:rFonts w:eastAsia="Microsoft JhengHei"/>
                <w:sz w:val="21"/>
                <w:szCs w:val="21"/>
              </w:rPr>
            </w:pPr>
            <w:r>
              <w:rPr>
                <w:rFonts w:eastAsia="Microsoft JhengHei"/>
                <w:b/>
                <w:bCs/>
                <w:spacing w:val="-4"/>
                <w:sz w:val="21"/>
                <w:szCs w:val="21"/>
              </w:rPr>
              <w:t>占比例（</w:t>
            </w:r>
            <w:r>
              <w:rPr>
                <w:rFonts w:eastAsia="Times New Roman"/>
                <w:b/>
                <w:bCs/>
                <w:spacing w:val="-4"/>
                <w:sz w:val="21"/>
                <w:szCs w:val="21"/>
              </w:rPr>
              <w:t>%</w:t>
            </w:r>
            <w:r>
              <w:rPr>
                <w:rFonts w:eastAsia="Microsoft JhengHei"/>
                <w:b/>
                <w:bCs/>
                <w:spacing w:val="-4"/>
                <w:sz w:val="21"/>
                <w:szCs w:val="21"/>
              </w:rPr>
              <w:t>）</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75" w:hRule="atLeast"/>
        </w:trPr>
        <w:tc>
          <w:tcPr>
            <w:tcW w:w="888" w:type="dxa"/>
            <w:shd w:val="clear" w:color="auto" w:fill="auto"/>
            <w:vAlign w:val="top"/>
          </w:tcPr>
          <w:p>
            <w:pPr>
              <w:pStyle w:val="21"/>
              <w:spacing w:line="240" w:lineRule="exact"/>
              <w:ind w:left="22"/>
              <w:jc w:val="center"/>
              <w:rPr>
                <w:rFonts w:eastAsia="Times New Roman"/>
                <w:sz w:val="21"/>
                <w:szCs w:val="21"/>
              </w:rPr>
            </w:pPr>
            <w:r>
              <w:rPr>
                <w:sz w:val="21"/>
                <w:szCs w:val="21"/>
              </w:rPr>
              <w:t>1</w:t>
            </w:r>
          </w:p>
        </w:tc>
        <w:tc>
          <w:tcPr>
            <w:tcW w:w="2329" w:type="dxa"/>
            <w:shd w:val="clear" w:color="auto" w:fill="auto"/>
            <w:vAlign w:val="top"/>
          </w:tcPr>
          <w:p>
            <w:pPr>
              <w:pStyle w:val="21"/>
              <w:spacing w:line="240" w:lineRule="exact"/>
              <w:ind w:left="822"/>
              <w:rPr>
                <w:sz w:val="21"/>
                <w:szCs w:val="21"/>
              </w:rPr>
            </w:pPr>
            <w:r>
              <w:rPr>
                <w:spacing w:val="-4"/>
                <w:sz w:val="21"/>
                <w:szCs w:val="21"/>
              </w:rPr>
              <w:t>垫圈破损</w:t>
            </w:r>
          </w:p>
        </w:tc>
        <w:tc>
          <w:tcPr>
            <w:tcW w:w="2657" w:type="dxa"/>
            <w:shd w:val="clear" w:color="auto" w:fill="auto"/>
            <w:vAlign w:val="center"/>
          </w:tcPr>
          <w:p>
            <w:pPr>
              <w:pStyle w:val="21"/>
              <w:spacing w:line="256" w:lineRule="exact"/>
              <w:jc w:val="center"/>
              <w:rPr>
                <w:rFonts w:eastAsia="Times New Roman"/>
                <w:sz w:val="21"/>
                <w:szCs w:val="21"/>
                <w:vertAlign w:val="superscript"/>
              </w:rPr>
            </w:pPr>
            <w:r>
              <w:rPr>
                <w:rFonts w:eastAsia="Times New Roman"/>
                <w:spacing w:val="-4"/>
                <w:sz w:val="21"/>
                <w:szCs w:val="21"/>
              </w:rPr>
              <w:t>2.5</w:t>
            </w:r>
            <w:r>
              <w:rPr>
                <w:rFonts w:hint="eastAsia"/>
                <w:sz w:val="21"/>
                <w:szCs w:val="21"/>
              </w:rPr>
              <w:t>×</w:t>
            </w:r>
            <w:r>
              <w:rPr>
                <w:rFonts w:eastAsia="Times New Roman"/>
                <w:spacing w:val="-4"/>
                <w:sz w:val="21"/>
                <w:szCs w:val="21"/>
              </w:rPr>
              <w:t>10</w:t>
            </w:r>
            <w:r>
              <w:rPr>
                <w:rFonts w:eastAsia="Times New Roman"/>
                <w:spacing w:val="-4"/>
                <w:sz w:val="21"/>
                <w:szCs w:val="21"/>
                <w:vertAlign w:val="superscript"/>
              </w:rPr>
              <w:t>-2</w:t>
            </w:r>
          </w:p>
        </w:tc>
        <w:tc>
          <w:tcPr>
            <w:tcW w:w="2439" w:type="dxa"/>
            <w:shd w:val="clear" w:color="auto" w:fill="auto"/>
            <w:vAlign w:val="center"/>
          </w:tcPr>
          <w:p>
            <w:pPr>
              <w:pStyle w:val="21"/>
              <w:spacing w:line="240" w:lineRule="exact"/>
              <w:ind w:right="3"/>
              <w:jc w:val="center"/>
              <w:rPr>
                <w:rFonts w:eastAsia="Times New Roman"/>
                <w:sz w:val="21"/>
                <w:szCs w:val="21"/>
              </w:rPr>
            </w:pPr>
            <w:r>
              <w:rPr>
                <w:spacing w:val="-3"/>
                <w:sz w:val="21"/>
                <w:szCs w:val="21"/>
              </w:rPr>
              <w:t>46.1</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75" w:hRule="atLeast"/>
        </w:trPr>
        <w:tc>
          <w:tcPr>
            <w:tcW w:w="888" w:type="dxa"/>
            <w:shd w:val="clear" w:color="auto" w:fill="auto"/>
            <w:vAlign w:val="top"/>
          </w:tcPr>
          <w:p>
            <w:pPr>
              <w:pStyle w:val="21"/>
              <w:spacing w:line="240" w:lineRule="exact"/>
              <w:ind w:left="22"/>
              <w:jc w:val="center"/>
              <w:rPr>
                <w:rFonts w:eastAsia="Times New Roman"/>
                <w:sz w:val="21"/>
                <w:szCs w:val="21"/>
              </w:rPr>
            </w:pPr>
            <w:r>
              <w:rPr>
                <w:sz w:val="21"/>
                <w:szCs w:val="21"/>
              </w:rPr>
              <w:t>2</w:t>
            </w:r>
          </w:p>
        </w:tc>
        <w:tc>
          <w:tcPr>
            <w:tcW w:w="2329" w:type="dxa"/>
            <w:shd w:val="clear" w:color="auto" w:fill="auto"/>
            <w:vAlign w:val="top"/>
          </w:tcPr>
          <w:p>
            <w:pPr>
              <w:pStyle w:val="21"/>
              <w:spacing w:line="240" w:lineRule="exact"/>
              <w:ind w:left="822"/>
              <w:rPr>
                <w:sz w:val="21"/>
                <w:szCs w:val="21"/>
              </w:rPr>
            </w:pPr>
            <w:r>
              <w:rPr>
                <w:spacing w:val="-4"/>
                <w:sz w:val="21"/>
                <w:szCs w:val="21"/>
              </w:rPr>
              <w:t>仪表失灵</w:t>
            </w:r>
          </w:p>
        </w:tc>
        <w:tc>
          <w:tcPr>
            <w:tcW w:w="2657" w:type="dxa"/>
            <w:shd w:val="clear" w:color="auto" w:fill="auto"/>
            <w:vAlign w:val="center"/>
          </w:tcPr>
          <w:p>
            <w:pPr>
              <w:pStyle w:val="21"/>
              <w:spacing w:line="256" w:lineRule="exact"/>
              <w:jc w:val="center"/>
              <w:rPr>
                <w:rFonts w:eastAsia="Times New Roman"/>
                <w:sz w:val="21"/>
                <w:szCs w:val="21"/>
                <w:vertAlign w:val="superscript"/>
              </w:rPr>
            </w:pPr>
            <w:r>
              <w:rPr>
                <w:rFonts w:eastAsia="Times New Roman"/>
                <w:spacing w:val="-4"/>
                <w:sz w:val="21"/>
                <w:szCs w:val="21"/>
              </w:rPr>
              <w:t>8.3</w:t>
            </w:r>
            <w:r>
              <w:rPr>
                <w:rFonts w:hint="eastAsia"/>
                <w:sz w:val="21"/>
                <w:szCs w:val="21"/>
              </w:rPr>
              <w:t>×</w:t>
            </w:r>
            <w:r>
              <w:rPr>
                <w:rFonts w:eastAsia="Times New Roman"/>
                <w:spacing w:val="-4"/>
                <w:sz w:val="21"/>
                <w:szCs w:val="21"/>
              </w:rPr>
              <w:t>10</w:t>
            </w:r>
            <w:r>
              <w:rPr>
                <w:rFonts w:eastAsia="Times New Roman"/>
                <w:spacing w:val="-4"/>
                <w:sz w:val="21"/>
                <w:szCs w:val="21"/>
                <w:vertAlign w:val="superscript"/>
              </w:rPr>
              <w:t>-3</w:t>
            </w:r>
          </w:p>
        </w:tc>
        <w:tc>
          <w:tcPr>
            <w:tcW w:w="2439" w:type="dxa"/>
            <w:shd w:val="clear" w:color="auto" w:fill="auto"/>
            <w:vAlign w:val="center"/>
          </w:tcPr>
          <w:p>
            <w:pPr>
              <w:pStyle w:val="21"/>
              <w:spacing w:line="240" w:lineRule="exact"/>
              <w:ind w:right="3"/>
              <w:jc w:val="center"/>
              <w:rPr>
                <w:rFonts w:eastAsia="Times New Roman"/>
                <w:sz w:val="21"/>
                <w:szCs w:val="21"/>
              </w:rPr>
            </w:pPr>
            <w:r>
              <w:rPr>
                <w:spacing w:val="-3"/>
                <w:sz w:val="21"/>
                <w:szCs w:val="21"/>
              </w:rPr>
              <w:t>15.4</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75" w:hRule="atLeast"/>
        </w:trPr>
        <w:tc>
          <w:tcPr>
            <w:tcW w:w="888" w:type="dxa"/>
            <w:shd w:val="clear" w:color="auto" w:fill="auto"/>
            <w:vAlign w:val="top"/>
          </w:tcPr>
          <w:p>
            <w:pPr>
              <w:pStyle w:val="21"/>
              <w:spacing w:line="241" w:lineRule="exact"/>
              <w:ind w:left="22"/>
              <w:jc w:val="center"/>
              <w:rPr>
                <w:rFonts w:eastAsia="Times New Roman"/>
                <w:sz w:val="21"/>
                <w:szCs w:val="21"/>
              </w:rPr>
            </w:pPr>
            <w:r>
              <w:rPr>
                <w:sz w:val="21"/>
                <w:szCs w:val="21"/>
              </w:rPr>
              <w:t>3</w:t>
            </w:r>
          </w:p>
        </w:tc>
        <w:tc>
          <w:tcPr>
            <w:tcW w:w="2329" w:type="dxa"/>
            <w:shd w:val="clear" w:color="auto" w:fill="auto"/>
            <w:vAlign w:val="top"/>
          </w:tcPr>
          <w:p>
            <w:pPr>
              <w:pStyle w:val="21"/>
              <w:spacing w:line="241" w:lineRule="exact"/>
              <w:ind w:left="616"/>
              <w:rPr>
                <w:sz w:val="21"/>
                <w:szCs w:val="21"/>
              </w:rPr>
            </w:pPr>
            <w:r>
              <w:rPr>
                <w:spacing w:val="-5"/>
                <w:sz w:val="21"/>
                <w:szCs w:val="21"/>
              </w:rPr>
              <w:t>连接密封不良</w:t>
            </w:r>
          </w:p>
        </w:tc>
        <w:tc>
          <w:tcPr>
            <w:tcW w:w="2657" w:type="dxa"/>
            <w:shd w:val="clear" w:color="auto" w:fill="auto"/>
            <w:vAlign w:val="center"/>
          </w:tcPr>
          <w:p>
            <w:pPr>
              <w:pStyle w:val="21"/>
              <w:spacing w:line="257" w:lineRule="exact"/>
              <w:jc w:val="center"/>
              <w:rPr>
                <w:rFonts w:eastAsia="Times New Roman"/>
                <w:sz w:val="21"/>
                <w:szCs w:val="21"/>
              </w:rPr>
            </w:pPr>
            <w:r>
              <w:rPr>
                <w:rFonts w:eastAsia="Times New Roman"/>
                <w:spacing w:val="-4"/>
                <w:sz w:val="21"/>
                <w:szCs w:val="21"/>
              </w:rPr>
              <w:t>8.3</w:t>
            </w:r>
            <w:r>
              <w:rPr>
                <w:rFonts w:hint="eastAsia"/>
                <w:sz w:val="21"/>
                <w:szCs w:val="21"/>
              </w:rPr>
              <w:t>×</w:t>
            </w:r>
            <w:r>
              <w:rPr>
                <w:rFonts w:eastAsia="Times New Roman"/>
                <w:spacing w:val="-4"/>
                <w:sz w:val="21"/>
                <w:szCs w:val="21"/>
              </w:rPr>
              <w:t>10</w:t>
            </w:r>
            <w:r>
              <w:rPr>
                <w:rFonts w:eastAsia="Times New Roman"/>
                <w:spacing w:val="-4"/>
                <w:sz w:val="21"/>
                <w:szCs w:val="21"/>
                <w:vertAlign w:val="superscript"/>
              </w:rPr>
              <w:t>-3</w:t>
            </w:r>
          </w:p>
        </w:tc>
        <w:tc>
          <w:tcPr>
            <w:tcW w:w="2439" w:type="dxa"/>
            <w:shd w:val="clear" w:color="auto" w:fill="auto"/>
            <w:vAlign w:val="center"/>
          </w:tcPr>
          <w:p>
            <w:pPr>
              <w:pStyle w:val="21"/>
              <w:spacing w:line="241" w:lineRule="exact"/>
              <w:ind w:right="3"/>
              <w:jc w:val="center"/>
              <w:rPr>
                <w:rFonts w:eastAsia="Times New Roman"/>
                <w:sz w:val="21"/>
                <w:szCs w:val="21"/>
              </w:rPr>
            </w:pPr>
            <w:r>
              <w:rPr>
                <w:spacing w:val="-3"/>
                <w:sz w:val="21"/>
                <w:szCs w:val="21"/>
              </w:rPr>
              <w:t>15.4</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75" w:hRule="atLeast"/>
        </w:trPr>
        <w:tc>
          <w:tcPr>
            <w:tcW w:w="888" w:type="dxa"/>
            <w:shd w:val="clear" w:color="auto" w:fill="auto"/>
            <w:vAlign w:val="top"/>
          </w:tcPr>
          <w:p>
            <w:pPr>
              <w:pStyle w:val="21"/>
              <w:spacing w:line="240" w:lineRule="exact"/>
              <w:ind w:left="22"/>
              <w:jc w:val="center"/>
              <w:rPr>
                <w:rFonts w:eastAsia="Times New Roman"/>
                <w:sz w:val="21"/>
                <w:szCs w:val="21"/>
              </w:rPr>
            </w:pPr>
            <w:r>
              <w:rPr>
                <w:sz w:val="21"/>
                <w:szCs w:val="21"/>
              </w:rPr>
              <w:t>4</w:t>
            </w:r>
          </w:p>
        </w:tc>
        <w:tc>
          <w:tcPr>
            <w:tcW w:w="2329" w:type="dxa"/>
            <w:shd w:val="clear" w:color="auto" w:fill="auto"/>
            <w:vAlign w:val="top"/>
          </w:tcPr>
          <w:p>
            <w:pPr>
              <w:pStyle w:val="21"/>
              <w:spacing w:line="240" w:lineRule="exact"/>
              <w:jc w:val="center"/>
              <w:rPr>
                <w:sz w:val="21"/>
                <w:szCs w:val="21"/>
              </w:rPr>
            </w:pPr>
            <w:r>
              <w:rPr>
                <w:spacing w:val="-5"/>
                <w:sz w:val="21"/>
                <w:szCs w:val="21"/>
              </w:rPr>
              <w:t>泵故障</w:t>
            </w:r>
          </w:p>
        </w:tc>
        <w:tc>
          <w:tcPr>
            <w:tcW w:w="2657" w:type="dxa"/>
            <w:shd w:val="clear" w:color="auto" w:fill="auto"/>
            <w:vAlign w:val="center"/>
          </w:tcPr>
          <w:p>
            <w:pPr>
              <w:pStyle w:val="21"/>
              <w:spacing w:line="256" w:lineRule="exact"/>
              <w:jc w:val="center"/>
              <w:rPr>
                <w:rFonts w:eastAsia="Times New Roman"/>
                <w:sz w:val="21"/>
                <w:szCs w:val="21"/>
              </w:rPr>
            </w:pPr>
            <w:r>
              <w:rPr>
                <w:rFonts w:eastAsia="Times New Roman"/>
                <w:spacing w:val="-4"/>
                <w:sz w:val="21"/>
                <w:szCs w:val="21"/>
              </w:rPr>
              <w:t>4.2</w:t>
            </w:r>
            <w:r>
              <w:rPr>
                <w:rFonts w:hint="eastAsia"/>
                <w:sz w:val="21"/>
                <w:szCs w:val="21"/>
              </w:rPr>
              <w:t>×</w:t>
            </w:r>
            <w:r>
              <w:rPr>
                <w:rFonts w:eastAsia="Times New Roman"/>
                <w:spacing w:val="-4"/>
                <w:sz w:val="21"/>
                <w:szCs w:val="21"/>
              </w:rPr>
              <w:t>10</w:t>
            </w:r>
            <w:r>
              <w:rPr>
                <w:rFonts w:eastAsia="Times New Roman"/>
                <w:spacing w:val="-4"/>
                <w:sz w:val="21"/>
                <w:szCs w:val="21"/>
                <w:vertAlign w:val="superscript"/>
              </w:rPr>
              <w:t>-3</w:t>
            </w:r>
          </w:p>
        </w:tc>
        <w:tc>
          <w:tcPr>
            <w:tcW w:w="2439" w:type="dxa"/>
            <w:shd w:val="clear" w:color="auto" w:fill="auto"/>
            <w:vAlign w:val="center"/>
          </w:tcPr>
          <w:p>
            <w:pPr>
              <w:pStyle w:val="21"/>
              <w:spacing w:line="240" w:lineRule="exact"/>
              <w:ind w:right="4"/>
              <w:jc w:val="center"/>
              <w:rPr>
                <w:rFonts w:eastAsia="Times New Roman"/>
                <w:sz w:val="21"/>
                <w:szCs w:val="21"/>
              </w:rPr>
            </w:pPr>
            <w:r>
              <w:rPr>
                <w:spacing w:val="-2"/>
                <w:sz w:val="21"/>
                <w:szCs w:val="21"/>
              </w:rPr>
              <w:t>7.7</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75" w:hRule="atLeast"/>
        </w:trPr>
        <w:tc>
          <w:tcPr>
            <w:tcW w:w="888" w:type="dxa"/>
            <w:shd w:val="clear" w:color="auto" w:fill="auto"/>
            <w:vAlign w:val="top"/>
          </w:tcPr>
          <w:p>
            <w:pPr>
              <w:pStyle w:val="21"/>
              <w:spacing w:line="240" w:lineRule="exact"/>
              <w:ind w:left="22"/>
              <w:jc w:val="center"/>
              <w:rPr>
                <w:rFonts w:eastAsia="Times New Roman"/>
                <w:sz w:val="21"/>
                <w:szCs w:val="21"/>
              </w:rPr>
            </w:pPr>
            <w:r>
              <w:rPr>
                <w:sz w:val="21"/>
                <w:szCs w:val="21"/>
              </w:rPr>
              <w:t>5</w:t>
            </w:r>
          </w:p>
        </w:tc>
        <w:tc>
          <w:tcPr>
            <w:tcW w:w="2329" w:type="dxa"/>
            <w:shd w:val="clear" w:color="auto" w:fill="auto"/>
            <w:vAlign w:val="top"/>
          </w:tcPr>
          <w:p>
            <w:pPr>
              <w:pStyle w:val="21"/>
              <w:spacing w:line="240" w:lineRule="exact"/>
              <w:ind w:left="822"/>
              <w:rPr>
                <w:sz w:val="21"/>
                <w:szCs w:val="21"/>
              </w:rPr>
            </w:pPr>
            <w:r>
              <w:rPr>
                <w:spacing w:val="-4"/>
                <w:sz w:val="21"/>
                <w:szCs w:val="21"/>
              </w:rPr>
              <w:t>人为事故</w:t>
            </w:r>
          </w:p>
        </w:tc>
        <w:tc>
          <w:tcPr>
            <w:tcW w:w="2657" w:type="dxa"/>
            <w:shd w:val="clear" w:color="auto" w:fill="auto"/>
            <w:vAlign w:val="center"/>
          </w:tcPr>
          <w:p>
            <w:pPr>
              <w:pStyle w:val="21"/>
              <w:spacing w:line="256" w:lineRule="exact"/>
              <w:jc w:val="center"/>
              <w:rPr>
                <w:rFonts w:eastAsia="Times New Roman"/>
                <w:sz w:val="21"/>
                <w:szCs w:val="21"/>
              </w:rPr>
            </w:pPr>
            <w:r>
              <w:rPr>
                <w:rFonts w:eastAsia="Times New Roman"/>
                <w:spacing w:val="-4"/>
                <w:sz w:val="21"/>
                <w:szCs w:val="21"/>
              </w:rPr>
              <w:t>8.3</w:t>
            </w:r>
            <w:r>
              <w:rPr>
                <w:rFonts w:hint="eastAsia"/>
                <w:sz w:val="21"/>
                <w:szCs w:val="21"/>
              </w:rPr>
              <w:t>×</w:t>
            </w:r>
            <w:r>
              <w:rPr>
                <w:rFonts w:eastAsia="Times New Roman"/>
                <w:spacing w:val="-4"/>
                <w:sz w:val="21"/>
                <w:szCs w:val="21"/>
              </w:rPr>
              <w:t>10</w:t>
            </w:r>
            <w:r>
              <w:rPr>
                <w:rFonts w:eastAsia="Times New Roman"/>
                <w:spacing w:val="-4"/>
                <w:sz w:val="21"/>
                <w:szCs w:val="21"/>
                <w:vertAlign w:val="superscript"/>
              </w:rPr>
              <w:t>-3</w:t>
            </w:r>
          </w:p>
        </w:tc>
        <w:tc>
          <w:tcPr>
            <w:tcW w:w="2439" w:type="dxa"/>
            <w:shd w:val="clear" w:color="auto" w:fill="auto"/>
            <w:vAlign w:val="center"/>
          </w:tcPr>
          <w:p>
            <w:pPr>
              <w:pStyle w:val="21"/>
              <w:spacing w:line="240" w:lineRule="exact"/>
              <w:ind w:right="3"/>
              <w:jc w:val="center"/>
              <w:rPr>
                <w:rFonts w:eastAsia="Times New Roman"/>
                <w:sz w:val="21"/>
                <w:szCs w:val="21"/>
              </w:rPr>
            </w:pPr>
            <w:r>
              <w:rPr>
                <w:spacing w:val="-3"/>
                <w:sz w:val="21"/>
                <w:szCs w:val="21"/>
              </w:rPr>
              <w:t>15.4</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75" w:hRule="atLeast"/>
        </w:trPr>
        <w:tc>
          <w:tcPr>
            <w:tcW w:w="3217" w:type="dxa"/>
            <w:gridSpan w:val="2"/>
            <w:shd w:val="clear" w:color="auto" w:fill="auto"/>
            <w:vAlign w:val="top"/>
          </w:tcPr>
          <w:p>
            <w:pPr>
              <w:pStyle w:val="21"/>
              <w:spacing w:line="241" w:lineRule="exact"/>
              <w:ind w:left="19"/>
              <w:jc w:val="center"/>
              <w:rPr>
                <w:sz w:val="21"/>
                <w:szCs w:val="21"/>
              </w:rPr>
            </w:pPr>
            <w:r>
              <w:rPr>
                <w:spacing w:val="-5"/>
                <w:sz w:val="21"/>
                <w:szCs w:val="21"/>
              </w:rPr>
              <w:t>合计</w:t>
            </w:r>
          </w:p>
        </w:tc>
        <w:tc>
          <w:tcPr>
            <w:tcW w:w="2657" w:type="dxa"/>
            <w:shd w:val="clear" w:color="auto" w:fill="auto"/>
            <w:vAlign w:val="center"/>
          </w:tcPr>
          <w:p>
            <w:pPr>
              <w:pStyle w:val="21"/>
              <w:spacing w:line="257" w:lineRule="exact"/>
              <w:ind w:right="1"/>
              <w:jc w:val="center"/>
              <w:rPr>
                <w:rFonts w:eastAsia="Times New Roman"/>
                <w:sz w:val="21"/>
                <w:szCs w:val="21"/>
              </w:rPr>
            </w:pPr>
            <w:r>
              <w:rPr>
                <w:rFonts w:eastAsia="Times New Roman"/>
                <w:spacing w:val="-4"/>
                <w:sz w:val="21"/>
                <w:szCs w:val="21"/>
              </w:rPr>
              <w:t>5.41</w:t>
            </w:r>
            <w:r>
              <w:rPr>
                <w:rFonts w:hint="eastAsia"/>
                <w:sz w:val="21"/>
                <w:szCs w:val="21"/>
              </w:rPr>
              <w:t>×</w:t>
            </w:r>
            <w:r>
              <w:rPr>
                <w:rFonts w:eastAsia="Times New Roman"/>
                <w:spacing w:val="-4"/>
                <w:sz w:val="21"/>
                <w:szCs w:val="21"/>
              </w:rPr>
              <w:t>10</w:t>
            </w:r>
            <w:r>
              <w:rPr>
                <w:rFonts w:eastAsia="Times New Roman"/>
                <w:spacing w:val="-4"/>
                <w:sz w:val="21"/>
                <w:szCs w:val="21"/>
                <w:vertAlign w:val="superscript"/>
              </w:rPr>
              <w:t>-2</w:t>
            </w:r>
          </w:p>
        </w:tc>
        <w:tc>
          <w:tcPr>
            <w:tcW w:w="2439" w:type="dxa"/>
            <w:shd w:val="clear" w:color="auto" w:fill="auto"/>
            <w:vAlign w:val="center"/>
          </w:tcPr>
          <w:p>
            <w:pPr>
              <w:pStyle w:val="21"/>
              <w:spacing w:line="241" w:lineRule="exact"/>
              <w:ind w:right="7"/>
              <w:jc w:val="center"/>
              <w:rPr>
                <w:rFonts w:eastAsia="Times New Roman"/>
                <w:sz w:val="21"/>
                <w:szCs w:val="21"/>
              </w:rPr>
            </w:pPr>
            <w:r>
              <w:rPr>
                <w:spacing w:val="-3"/>
                <w:sz w:val="21"/>
                <w:szCs w:val="21"/>
              </w:rPr>
              <w:t>100</w:t>
            </w:r>
          </w:p>
        </w:tc>
      </w:tr>
    </w:tbl>
    <w:p>
      <w:pPr>
        <w:pStyle w:val="30"/>
        <w:ind w:firstLine="480"/>
      </w:pPr>
      <w:r>
        <w:rPr>
          <w:rFonts w:hint="eastAsia" w:ascii="宋体" w:hAnsi="宋体" w:cs="宋体"/>
        </w:rPr>
        <w:t>⑵</w:t>
      </w:r>
      <w:r>
        <w:t>火灾或爆炸事故</w:t>
      </w:r>
    </w:p>
    <w:p>
      <w:pPr>
        <w:pStyle w:val="30"/>
        <w:ind w:firstLine="480"/>
      </w:pPr>
      <w:r>
        <w:t>发生火灾或爆炸事故的潜在因素分为物质因素和诱发因素，其中物质因素主要涉及物质的危险性、物质系数以及危险物质是否达到一定的规模，它们是事故发生的内在因素，而诱发因素是引起事故的外在动力，包括生产装置设备的工作状态，以及环境因素、人为因素和管理因素。本项目发生火灾和爆炸的主要原因见表4.2-</w:t>
      </w:r>
      <w:r>
        <w:rPr>
          <w:rFonts w:hint="eastAsia"/>
          <w:lang w:val="en-US" w:eastAsia="zh-CN"/>
        </w:rPr>
        <w:t>3</w:t>
      </w:r>
      <w:r>
        <w:t>。</w:t>
      </w:r>
    </w:p>
    <w:p>
      <w:pPr>
        <w:pStyle w:val="30"/>
        <w:ind w:firstLine="480"/>
      </w:pPr>
      <w:r>
        <w:t>一般来说，火灾或爆炸事故常常属于重大事故。但随着企业运行管理水平以及装置性能的提高，以及采取有效的防火防爆措施，火灾爆炸事故发生的概率是很低的。参照化工行业重大事故的概率分类（见表4.2-</w:t>
      </w:r>
      <w:r>
        <w:rPr>
          <w:rFonts w:hint="eastAsia"/>
          <w:lang w:val="en-US" w:eastAsia="zh-CN"/>
        </w:rPr>
        <w:t>4</w:t>
      </w:r>
      <w:r>
        <w:t>），国内外先进化工企业重大事故发生的概率为3.125×10</w:t>
      </w:r>
      <w:r>
        <w:rPr>
          <w:vertAlign w:val="superscript"/>
        </w:rPr>
        <w:t>-3</w:t>
      </w:r>
      <w:r>
        <w:t>～1×10</w:t>
      </w:r>
      <w:r>
        <w:rPr>
          <w:vertAlign w:val="superscript"/>
        </w:rPr>
        <w:t>-2</w:t>
      </w:r>
      <w:r>
        <w:t>次/年，即在装置寿命（32 年）内不会发生重大事故，国内较先进化工企业为1×10</w:t>
      </w:r>
      <w:r>
        <w:rPr>
          <w:vertAlign w:val="superscript"/>
        </w:rPr>
        <w:t>-2</w:t>
      </w:r>
      <w:r>
        <w:t>～3.125×10</w:t>
      </w:r>
      <w:r>
        <w:rPr>
          <w:vertAlign w:val="superscript"/>
        </w:rPr>
        <w:t>-2</w:t>
      </w:r>
      <w:r>
        <w:t xml:space="preserve"> 次/年，即在装置寿命（32 年）内有可能发生一次重大事故。</w:t>
      </w:r>
    </w:p>
    <w:p>
      <w:pPr>
        <w:pStyle w:val="30"/>
        <w:ind w:firstLine="480"/>
        <w:jc w:val="center"/>
        <w:rPr>
          <w:b/>
        </w:rPr>
      </w:pPr>
      <w:r>
        <w:rPr>
          <w:b/>
        </w:rPr>
        <w:t>表4.2-</w:t>
      </w:r>
      <w:r>
        <w:rPr>
          <w:rFonts w:hint="eastAsia"/>
          <w:b/>
          <w:lang w:val="en-US" w:eastAsia="zh-CN"/>
        </w:rPr>
        <w:t>3</w:t>
      </w:r>
      <w:r>
        <w:rPr>
          <w:b/>
        </w:rPr>
        <w:t xml:space="preserve">  火灾和爆炸事故原因分析</w:t>
      </w:r>
    </w:p>
    <w:tbl>
      <w:tblPr>
        <w:tblStyle w:val="17"/>
        <w:tblW w:w="8313" w:type="dxa"/>
        <w:tblInd w:w="0" w:type="dxa"/>
        <w:tblLayout w:type="fixed"/>
        <w:tblCellMar>
          <w:top w:w="0" w:type="dxa"/>
          <w:left w:w="0" w:type="dxa"/>
          <w:bottom w:w="0" w:type="dxa"/>
          <w:right w:w="0" w:type="dxa"/>
        </w:tblCellMar>
      </w:tblPr>
      <w:tblGrid>
        <w:gridCol w:w="637"/>
        <w:gridCol w:w="1210"/>
        <w:gridCol w:w="6466"/>
      </w:tblGrid>
      <w:tr>
        <w:tblPrEx>
          <w:tblLayout w:type="fixed"/>
          <w:tblCellMar>
            <w:top w:w="0" w:type="dxa"/>
            <w:left w:w="0" w:type="dxa"/>
            <w:bottom w:w="0" w:type="dxa"/>
            <w:right w:w="0" w:type="dxa"/>
          </w:tblCellMar>
        </w:tblPrEx>
        <w:trPr>
          <w:trHeight w:val="20" w:hRule="atLeast"/>
        </w:trPr>
        <w:tc>
          <w:tcPr>
            <w:tcW w:w="637" w:type="dxa"/>
            <w:tcBorders>
              <w:top w:val="single" w:color="000000" w:sz="12" w:space="0"/>
              <w:left w:val="nil"/>
              <w:bottom w:val="single" w:color="auto" w:sz="4" w:space="0"/>
              <w:right w:val="single" w:color="000000" w:sz="4" w:space="0"/>
            </w:tcBorders>
            <w:shd w:val="clear" w:color="auto" w:fill="auto"/>
            <w:vAlign w:val="center"/>
          </w:tcPr>
          <w:p>
            <w:pPr>
              <w:ind w:left="0" w:leftChars="0" w:firstLine="0" w:firstLineChars="0"/>
              <w:jc w:val="both"/>
              <w:rPr>
                <w:szCs w:val="21"/>
              </w:rPr>
            </w:pPr>
            <w:bookmarkStart w:id="210" w:name="_GoBack"/>
            <w:bookmarkEnd w:id="210"/>
            <w:r>
              <w:rPr>
                <w:szCs w:val="21"/>
              </w:rPr>
              <w:t>序号</w:t>
            </w:r>
          </w:p>
        </w:tc>
        <w:tc>
          <w:tcPr>
            <w:tcW w:w="7676" w:type="dxa"/>
            <w:gridSpan w:val="2"/>
            <w:tcBorders>
              <w:top w:val="single" w:color="000000" w:sz="12" w:space="0"/>
              <w:left w:val="single" w:color="000000" w:sz="4" w:space="0"/>
              <w:bottom w:val="single" w:color="auto" w:sz="4" w:space="0"/>
              <w:right w:val="nil"/>
            </w:tcBorders>
            <w:shd w:val="clear" w:color="auto" w:fill="auto"/>
            <w:vAlign w:val="center"/>
          </w:tcPr>
          <w:p>
            <w:pPr>
              <w:jc w:val="center"/>
              <w:rPr>
                <w:szCs w:val="21"/>
              </w:rPr>
            </w:pPr>
            <w:r>
              <w:rPr>
                <w:szCs w:val="21"/>
              </w:rPr>
              <w:t>事故原因</w:t>
            </w:r>
          </w:p>
        </w:tc>
      </w:tr>
      <w:tr>
        <w:tblPrEx>
          <w:tblLayout w:type="fixed"/>
          <w:tblCellMar>
            <w:top w:w="0" w:type="dxa"/>
            <w:left w:w="0" w:type="dxa"/>
            <w:bottom w:w="0" w:type="dxa"/>
            <w:right w:w="0" w:type="dxa"/>
          </w:tblCellMar>
        </w:tblPrEx>
        <w:trPr>
          <w:trHeight w:val="20" w:hRule="atLeast"/>
        </w:trPr>
        <w:tc>
          <w:tcPr>
            <w:tcW w:w="637" w:type="dxa"/>
            <w:tcBorders>
              <w:top w:val="single" w:color="auto" w:sz="4" w:space="0"/>
              <w:left w:val="nil"/>
              <w:bottom w:val="single" w:color="auto" w:sz="4" w:space="0"/>
              <w:right w:val="single" w:color="000000" w:sz="4" w:space="0"/>
            </w:tcBorders>
            <w:shd w:val="clear" w:color="auto" w:fill="auto"/>
            <w:vAlign w:val="center"/>
          </w:tcPr>
          <w:p>
            <w:pPr>
              <w:jc w:val="center"/>
              <w:rPr>
                <w:szCs w:val="21"/>
              </w:rPr>
            </w:pPr>
            <w:r>
              <w:rPr>
                <w:szCs w:val="21"/>
              </w:rPr>
              <w:t>1</w:t>
            </w:r>
          </w:p>
        </w:tc>
        <w:tc>
          <w:tcPr>
            <w:tcW w:w="1210" w:type="dxa"/>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szCs w:val="21"/>
              </w:rPr>
            </w:pPr>
            <w:r>
              <w:rPr>
                <w:szCs w:val="21"/>
              </w:rPr>
              <w:t>明火</w:t>
            </w:r>
          </w:p>
        </w:tc>
        <w:tc>
          <w:tcPr>
            <w:tcW w:w="6466" w:type="dxa"/>
            <w:tcBorders>
              <w:top w:val="single" w:color="auto" w:sz="4" w:space="0"/>
              <w:left w:val="single" w:color="000000" w:sz="4" w:space="0"/>
              <w:bottom w:val="single" w:color="auto" w:sz="4" w:space="0"/>
              <w:right w:val="nil"/>
            </w:tcBorders>
            <w:shd w:val="clear" w:color="auto" w:fill="auto"/>
            <w:vAlign w:val="center"/>
          </w:tcPr>
          <w:p>
            <w:pPr>
              <w:rPr>
                <w:szCs w:val="21"/>
              </w:rPr>
            </w:pPr>
            <w:r>
              <w:rPr>
                <w:szCs w:val="21"/>
              </w:rPr>
              <w:t>生产过程中的焊接和切割动火作业、现场吸烟、激动车辆喷烟排火等。为导致火灾爆炸事故最常见、最直接的原因。</w:t>
            </w:r>
          </w:p>
        </w:tc>
      </w:tr>
      <w:tr>
        <w:tblPrEx>
          <w:tblLayout w:type="fixed"/>
          <w:tblCellMar>
            <w:top w:w="0" w:type="dxa"/>
            <w:left w:w="0" w:type="dxa"/>
            <w:bottom w:w="0" w:type="dxa"/>
            <w:right w:w="0" w:type="dxa"/>
          </w:tblCellMar>
        </w:tblPrEx>
        <w:trPr>
          <w:trHeight w:val="20" w:hRule="atLeast"/>
        </w:trPr>
        <w:tc>
          <w:tcPr>
            <w:tcW w:w="637" w:type="dxa"/>
            <w:tcBorders>
              <w:top w:val="single" w:color="auto" w:sz="4" w:space="0"/>
              <w:left w:val="nil"/>
              <w:bottom w:val="single" w:color="000000" w:sz="4" w:space="0"/>
              <w:right w:val="single" w:color="000000" w:sz="4" w:space="0"/>
            </w:tcBorders>
            <w:shd w:val="clear" w:color="auto" w:fill="auto"/>
            <w:vAlign w:val="center"/>
          </w:tcPr>
          <w:p>
            <w:pPr>
              <w:jc w:val="center"/>
              <w:rPr>
                <w:szCs w:val="21"/>
              </w:rPr>
            </w:pPr>
            <w:r>
              <w:rPr>
                <w:szCs w:val="21"/>
              </w:rPr>
              <w:t>2</w:t>
            </w:r>
          </w:p>
        </w:tc>
        <w:tc>
          <w:tcPr>
            <w:tcW w:w="1210" w:type="dxa"/>
            <w:tcBorders>
              <w:top w:val="single" w:color="auto" w:sz="4" w:space="0"/>
              <w:left w:val="single" w:color="000000" w:sz="4" w:space="0"/>
              <w:bottom w:val="single" w:color="000000" w:sz="4" w:space="0"/>
              <w:right w:val="single" w:color="000000" w:sz="4" w:space="0"/>
            </w:tcBorders>
            <w:shd w:val="clear" w:color="auto" w:fill="auto"/>
            <w:vAlign w:val="center"/>
          </w:tcPr>
          <w:p>
            <w:pPr>
              <w:ind w:left="0" w:leftChars="0" w:firstLine="0" w:firstLineChars="0"/>
              <w:jc w:val="both"/>
              <w:rPr>
                <w:szCs w:val="21"/>
              </w:rPr>
            </w:pPr>
            <w:r>
              <w:rPr>
                <w:szCs w:val="21"/>
              </w:rPr>
              <w:t>违章作业</w:t>
            </w:r>
          </w:p>
        </w:tc>
        <w:tc>
          <w:tcPr>
            <w:tcW w:w="6466" w:type="dxa"/>
            <w:tcBorders>
              <w:top w:val="single" w:color="auto" w:sz="4" w:space="0"/>
              <w:left w:val="single" w:color="000000" w:sz="4" w:space="0"/>
              <w:bottom w:val="single" w:color="000000" w:sz="4" w:space="0"/>
              <w:right w:val="nil"/>
            </w:tcBorders>
            <w:shd w:val="clear" w:color="auto" w:fill="auto"/>
            <w:vAlign w:val="center"/>
          </w:tcPr>
          <w:p>
            <w:pPr>
              <w:rPr>
                <w:szCs w:val="21"/>
              </w:rPr>
            </w:pPr>
            <w:r>
              <w:rPr>
                <w:szCs w:val="21"/>
              </w:rPr>
              <w:t>违章指挥、违章操作、误操作、擅离工作岗位、纪律松弛及思想麻痹等行为是导致火灾爆炸事故的重要原因，违章作业直接或间接引起火灾爆炸事 故占全部事故的 60%以上。</w:t>
            </w:r>
          </w:p>
        </w:tc>
      </w:tr>
      <w:tr>
        <w:tblPrEx>
          <w:tblLayout w:type="fixed"/>
          <w:tblCellMar>
            <w:top w:w="0" w:type="dxa"/>
            <w:left w:w="0" w:type="dxa"/>
            <w:bottom w:w="0" w:type="dxa"/>
            <w:right w:w="0" w:type="dxa"/>
          </w:tblCellMar>
        </w:tblPrEx>
        <w:trPr>
          <w:trHeight w:val="20" w:hRule="atLeast"/>
        </w:trPr>
        <w:tc>
          <w:tcPr>
            <w:tcW w:w="637" w:type="dxa"/>
            <w:tcBorders>
              <w:top w:val="single" w:color="000000" w:sz="4" w:space="0"/>
              <w:left w:val="nil"/>
              <w:bottom w:val="single" w:color="000000" w:sz="4" w:space="0"/>
              <w:right w:val="single" w:color="000000" w:sz="4" w:space="0"/>
            </w:tcBorders>
            <w:shd w:val="clear" w:color="auto" w:fill="auto"/>
            <w:vAlign w:val="center"/>
          </w:tcPr>
          <w:p>
            <w:pPr>
              <w:jc w:val="center"/>
              <w:rPr>
                <w:szCs w:val="21"/>
              </w:rPr>
            </w:pPr>
            <w:r>
              <w:rPr>
                <w:szCs w:val="21"/>
              </w:rPr>
              <w:t>3</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0" w:leftChars="0" w:firstLine="0" w:firstLineChars="0"/>
              <w:jc w:val="both"/>
              <w:rPr>
                <w:szCs w:val="21"/>
              </w:rPr>
            </w:pPr>
            <w:r>
              <w:rPr>
                <w:szCs w:val="21"/>
              </w:rPr>
              <w:t>设备、设施</w:t>
            </w:r>
          </w:p>
          <w:p>
            <w:pPr>
              <w:ind w:left="0" w:leftChars="0" w:firstLine="0" w:firstLineChars="0"/>
              <w:jc w:val="both"/>
              <w:rPr>
                <w:szCs w:val="21"/>
              </w:rPr>
            </w:pPr>
            <w:r>
              <w:rPr>
                <w:szCs w:val="21"/>
              </w:rPr>
              <w:t>质量缺陷或 故障</w:t>
            </w:r>
          </w:p>
        </w:tc>
        <w:tc>
          <w:tcPr>
            <w:tcW w:w="6466" w:type="dxa"/>
            <w:tcBorders>
              <w:top w:val="single" w:color="000000" w:sz="4" w:space="0"/>
              <w:left w:val="single" w:color="000000" w:sz="4" w:space="0"/>
              <w:bottom w:val="single" w:color="000000" w:sz="4" w:space="0"/>
              <w:right w:val="nil"/>
            </w:tcBorders>
            <w:shd w:val="clear" w:color="auto" w:fill="auto"/>
            <w:vAlign w:val="center"/>
          </w:tcPr>
          <w:p>
            <w:pPr>
              <w:rPr>
                <w:szCs w:val="21"/>
              </w:rPr>
            </w:pPr>
            <w:r>
              <w:rPr>
                <w:szCs w:val="21"/>
              </w:rPr>
              <w:t>电气设备设施：选用不当、不满足防火要求，存在质量缺陷储运设备设施：储设施主体选材、制造安装中存在质量缺陷或受腐蚀、老 化极不正常操作而引起泄露，附件和安全装置存在质量缺陷和被损坏。</w:t>
            </w:r>
          </w:p>
        </w:tc>
      </w:tr>
      <w:tr>
        <w:tblPrEx>
          <w:tblLayout w:type="fixed"/>
          <w:tblCellMar>
            <w:top w:w="0" w:type="dxa"/>
            <w:left w:w="0" w:type="dxa"/>
            <w:bottom w:w="0" w:type="dxa"/>
            <w:right w:w="0" w:type="dxa"/>
          </w:tblCellMar>
        </w:tblPrEx>
        <w:trPr>
          <w:trHeight w:val="20" w:hRule="atLeast"/>
        </w:trPr>
        <w:tc>
          <w:tcPr>
            <w:tcW w:w="637" w:type="dxa"/>
            <w:tcBorders>
              <w:top w:val="single" w:color="000000" w:sz="4" w:space="0"/>
              <w:left w:val="nil"/>
              <w:bottom w:val="single" w:color="000000" w:sz="4" w:space="0"/>
              <w:right w:val="single" w:color="000000" w:sz="4" w:space="0"/>
            </w:tcBorders>
            <w:shd w:val="clear" w:color="auto" w:fill="auto"/>
            <w:vAlign w:val="center"/>
          </w:tcPr>
          <w:p>
            <w:pPr>
              <w:jc w:val="center"/>
              <w:rPr>
                <w:szCs w:val="21"/>
              </w:rPr>
            </w:pPr>
            <w:r>
              <w:rPr>
                <w:szCs w:val="21"/>
              </w:rPr>
              <w:t>4</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0" w:leftChars="0" w:firstLine="0" w:firstLineChars="0"/>
              <w:jc w:val="both"/>
              <w:rPr>
                <w:szCs w:val="21"/>
              </w:rPr>
            </w:pPr>
            <w:r>
              <w:rPr>
                <w:szCs w:val="21"/>
              </w:rPr>
              <w:t>工程技术和 设计缺陷</w:t>
            </w:r>
          </w:p>
        </w:tc>
        <w:tc>
          <w:tcPr>
            <w:tcW w:w="6466" w:type="dxa"/>
            <w:tcBorders>
              <w:top w:val="single" w:color="000000" w:sz="4" w:space="0"/>
              <w:left w:val="single" w:color="000000" w:sz="4" w:space="0"/>
              <w:bottom w:val="single" w:color="000000" w:sz="4" w:space="0"/>
              <w:right w:val="nil"/>
            </w:tcBorders>
            <w:shd w:val="clear" w:color="auto" w:fill="auto"/>
            <w:vAlign w:val="center"/>
          </w:tcPr>
          <w:p>
            <w:pPr>
              <w:rPr>
                <w:szCs w:val="21"/>
              </w:rPr>
            </w:pPr>
            <w:r>
              <w:rPr>
                <w:szCs w:val="21"/>
              </w:rPr>
              <w:t>建筑物布局不合理，防火间距不够 建筑物的防火等级达不到要求 消防设施不配套 装卸工艺及流程不合理</w:t>
            </w:r>
          </w:p>
        </w:tc>
      </w:tr>
      <w:tr>
        <w:tblPrEx>
          <w:tblLayout w:type="fixed"/>
          <w:tblCellMar>
            <w:top w:w="0" w:type="dxa"/>
            <w:left w:w="0" w:type="dxa"/>
            <w:bottom w:w="0" w:type="dxa"/>
            <w:right w:w="0" w:type="dxa"/>
          </w:tblCellMar>
        </w:tblPrEx>
        <w:trPr>
          <w:trHeight w:val="381" w:hRule="atLeast"/>
        </w:trPr>
        <w:tc>
          <w:tcPr>
            <w:tcW w:w="637" w:type="dxa"/>
            <w:tcBorders>
              <w:top w:val="single" w:color="000000" w:sz="4" w:space="0"/>
              <w:left w:val="nil"/>
              <w:bottom w:val="single" w:color="000000" w:sz="4" w:space="0"/>
              <w:right w:val="single" w:color="000000" w:sz="4" w:space="0"/>
            </w:tcBorders>
            <w:shd w:val="clear" w:color="auto" w:fill="auto"/>
            <w:vAlign w:val="center"/>
          </w:tcPr>
          <w:p>
            <w:pPr>
              <w:jc w:val="center"/>
              <w:rPr>
                <w:szCs w:val="21"/>
              </w:rPr>
            </w:pPr>
            <w:r>
              <w:rPr>
                <w:szCs w:val="21"/>
              </w:rPr>
              <w:t>5</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0" w:leftChars="0" w:firstLine="0" w:firstLineChars="0"/>
              <w:jc w:val="both"/>
              <w:rPr>
                <w:szCs w:val="21"/>
              </w:rPr>
            </w:pPr>
            <w:r>
              <w:rPr>
                <w:szCs w:val="21"/>
              </w:rPr>
              <w:t>静电、放电</w:t>
            </w:r>
          </w:p>
        </w:tc>
        <w:tc>
          <w:tcPr>
            <w:tcW w:w="6466" w:type="dxa"/>
            <w:tcBorders>
              <w:top w:val="single" w:color="000000" w:sz="4" w:space="0"/>
              <w:left w:val="single" w:color="000000" w:sz="4" w:space="0"/>
              <w:bottom w:val="single" w:color="000000" w:sz="4" w:space="0"/>
              <w:right w:val="nil"/>
            </w:tcBorders>
            <w:shd w:val="clear" w:color="auto" w:fill="auto"/>
            <w:vAlign w:val="center"/>
          </w:tcPr>
          <w:p>
            <w:pPr>
              <w:rPr>
                <w:szCs w:val="21"/>
              </w:rPr>
            </w:pPr>
            <w:r>
              <w:rPr>
                <w:szCs w:val="21"/>
              </w:rPr>
              <w:t>油品在装卸、输送作业中，由于流动和被搅动、冲击、易产生和积聚静电，人体携带静电</w:t>
            </w:r>
          </w:p>
        </w:tc>
      </w:tr>
      <w:tr>
        <w:tblPrEx>
          <w:tblLayout w:type="fixed"/>
          <w:tblCellMar>
            <w:top w:w="0" w:type="dxa"/>
            <w:left w:w="0" w:type="dxa"/>
            <w:bottom w:w="0" w:type="dxa"/>
            <w:right w:w="0" w:type="dxa"/>
          </w:tblCellMar>
        </w:tblPrEx>
        <w:trPr>
          <w:trHeight w:val="20" w:hRule="atLeast"/>
        </w:trPr>
        <w:tc>
          <w:tcPr>
            <w:tcW w:w="637" w:type="dxa"/>
            <w:tcBorders>
              <w:top w:val="single" w:color="000000" w:sz="4" w:space="0"/>
              <w:left w:val="nil"/>
              <w:bottom w:val="single" w:color="000000" w:sz="4" w:space="0"/>
              <w:right w:val="single" w:color="000000" w:sz="4" w:space="0"/>
            </w:tcBorders>
            <w:shd w:val="clear" w:color="auto" w:fill="auto"/>
            <w:vAlign w:val="center"/>
          </w:tcPr>
          <w:p>
            <w:pPr>
              <w:jc w:val="center"/>
              <w:rPr>
                <w:szCs w:val="21"/>
              </w:rPr>
            </w:pPr>
            <w:r>
              <w:rPr>
                <w:szCs w:val="21"/>
              </w:rPr>
              <w:t>6</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0" w:leftChars="0" w:firstLine="0" w:firstLineChars="0"/>
              <w:jc w:val="both"/>
              <w:rPr>
                <w:szCs w:val="21"/>
              </w:rPr>
            </w:pPr>
            <w:r>
              <w:rPr>
                <w:szCs w:val="21"/>
              </w:rPr>
              <w:t>雷击及杂散电流</w:t>
            </w:r>
          </w:p>
        </w:tc>
        <w:tc>
          <w:tcPr>
            <w:tcW w:w="6466" w:type="dxa"/>
            <w:tcBorders>
              <w:top w:val="single" w:color="000000" w:sz="4" w:space="0"/>
              <w:left w:val="single" w:color="000000" w:sz="4" w:space="0"/>
              <w:bottom w:val="single" w:color="000000" w:sz="4" w:space="0"/>
              <w:right w:val="nil"/>
            </w:tcBorders>
            <w:shd w:val="clear" w:color="auto" w:fill="auto"/>
            <w:vAlign w:val="center"/>
          </w:tcPr>
          <w:p>
            <w:pPr>
              <w:rPr>
                <w:szCs w:val="21"/>
              </w:rPr>
            </w:pPr>
            <w:r>
              <w:rPr>
                <w:szCs w:val="21"/>
              </w:rPr>
              <w:t>建筑物、储罐的防雷设施不齐备或防雷接地措施不足杂散电流窜入危险作业场所</w:t>
            </w:r>
          </w:p>
        </w:tc>
      </w:tr>
      <w:tr>
        <w:tblPrEx>
          <w:tblLayout w:type="fixed"/>
          <w:tblCellMar>
            <w:top w:w="0" w:type="dxa"/>
            <w:left w:w="0" w:type="dxa"/>
            <w:bottom w:w="0" w:type="dxa"/>
            <w:right w:w="0" w:type="dxa"/>
          </w:tblCellMar>
        </w:tblPrEx>
        <w:trPr>
          <w:trHeight w:val="20" w:hRule="atLeast"/>
        </w:trPr>
        <w:tc>
          <w:tcPr>
            <w:tcW w:w="637" w:type="dxa"/>
            <w:tcBorders>
              <w:top w:val="single" w:color="000000" w:sz="4" w:space="0"/>
              <w:left w:val="nil"/>
              <w:bottom w:val="single" w:color="000000" w:sz="12" w:space="0"/>
              <w:right w:val="single" w:color="000000" w:sz="4" w:space="0"/>
            </w:tcBorders>
            <w:shd w:val="clear" w:color="auto" w:fill="auto"/>
            <w:vAlign w:val="center"/>
          </w:tcPr>
          <w:p>
            <w:pPr>
              <w:jc w:val="center"/>
              <w:rPr>
                <w:szCs w:val="21"/>
              </w:rPr>
            </w:pPr>
            <w:r>
              <w:rPr>
                <w:szCs w:val="21"/>
              </w:rPr>
              <w:t>7</w:t>
            </w:r>
          </w:p>
        </w:tc>
        <w:tc>
          <w:tcPr>
            <w:tcW w:w="1210" w:type="dxa"/>
            <w:tcBorders>
              <w:top w:val="single" w:color="000000" w:sz="4" w:space="0"/>
              <w:left w:val="single" w:color="000000" w:sz="4" w:space="0"/>
              <w:bottom w:val="single" w:color="000000" w:sz="12" w:space="0"/>
              <w:right w:val="single" w:color="000000" w:sz="4" w:space="0"/>
            </w:tcBorders>
            <w:shd w:val="clear" w:color="auto" w:fill="auto"/>
            <w:vAlign w:val="center"/>
          </w:tcPr>
          <w:p>
            <w:pPr>
              <w:ind w:left="0" w:leftChars="0" w:firstLine="0" w:firstLineChars="0"/>
              <w:jc w:val="both"/>
              <w:rPr>
                <w:szCs w:val="21"/>
              </w:rPr>
            </w:pPr>
            <w:r>
              <w:rPr>
                <w:szCs w:val="21"/>
              </w:rPr>
              <w:t>其他原因</w:t>
            </w:r>
          </w:p>
        </w:tc>
        <w:tc>
          <w:tcPr>
            <w:tcW w:w="6466" w:type="dxa"/>
            <w:tcBorders>
              <w:top w:val="single" w:color="000000" w:sz="4" w:space="0"/>
              <w:left w:val="single" w:color="000000" w:sz="4" w:space="0"/>
              <w:bottom w:val="single" w:color="000000" w:sz="12" w:space="0"/>
              <w:right w:val="nil"/>
            </w:tcBorders>
            <w:shd w:val="clear" w:color="auto" w:fill="auto"/>
            <w:vAlign w:val="center"/>
          </w:tcPr>
          <w:p>
            <w:pPr>
              <w:rPr>
                <w:szCs w:val="21"/>
              </w:rPr>
            </w:pPr>
            <w:r>
              <w:rPr>
                <w:szCs w:val="21"/>
              </w:rPr>
              <w:t>撞击摩擦、交通事故、人为蓄意破坏及自然灾害等</w:t>
            </w:r>
          </w:p>
        </w:tc>
      </w:tr>
    </w:tbl>
    <w:p>
      <w:pPr>
        <w:pStyle w:val="30"/>
        <w:ind w:firstLine="480"/>
        <w:jc w:val="center"/>
        <w:rPr>
          <w:b/>
        </w:rPr>
      </w:pPr>
      <w:r>
        <w:rPr>
          <w:b/>
        </w:rPr>
        <w:t>表4.2-</w:t>
      </w:r>
      <w:r>
        <w:rPr>
          <w:rFonts w:hint="eastAsia"/>
          <w:b/>
          <w:lang w:val="en-US" w:eastAsia="zh-CN"/>
        </w:rPr>
        <w:t>4</w:t>
      </w:r>
      <w:r>
        <w:rPr>
          <w:b/>
        </w:rPr>
        <w:t xml:space="preserve">  重大事故概率分类</w:t>
      </w:r>
    </w:p>
    <w:tbl>
      <w:tblPr>
        <w:tblStyle w:val="17"/>
        <w:tblW w:w="8313" w:type="dxa"/>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820"/>
        <w:gridCol w:w="1579"/>
        <w:gridCol w:w="3332"/>
        <w:gridCol w:w="2582"/>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20" w:type="dxa"/>
            <w:shd w:val="clear" w:color="auto" w:fill="auto"/>
            <w:vAlign w:val="center"/>
          </w:tcPr>
          <w:p>
            <w:pPr>
              <w:ind w:left="0" w:leftChars="0" w:firstLine="0" w:firstLineChars="0"/>
              <w:jc w:val="both"/>
              <w:rPr>
                <w:b/>
                <w:szCs w:val="21"/>
              </w:rPr>
            </w:pPr>
            <w:r>
              <w:rPr>
                <w:b/>
                <w:szCs w:val="21"/>
              </w:rPr>
              <w:t>分类</w:t>
            </w:r>
          </w:p>
        </w:tc>
        <w:tc>
          <w:tcPr>
            <w:tcW w:w="1579" w:type="dxa"/>
            <w:shd w:val="clear" w:color="auto" w:fill="auto"/>
            <w:vAlign w:val="center"/>
          </w:tcPr>
          <w:p>
            <w:pPr>
              <w:jc w:val="center"/>
              <w:rPr>
                <w:b/>
                <w:szCs w:val="21"/>
              </w:rPr>
            </w:pPr>
            <w:r>
              <w:rPr>
                <w:b/>
                <w:szCs w:val="21"/>
              </w:rPr>
              <w:t>情况说明</w:t>
            </w:r>
          </w:p>
        </w:tc>
        <w:tc>
          <w:tcPr>
            <w:tcW w:w="3332" w:type="dxa"/>
            <w:shd w:val="clear" w:color="auto" w:fill="auto"/>
            <w:vAlign w:val="center"/>
          </w:tcPr>
          <w:p>
            <w:pPr>
              <w:jc w:val="center"/>
              <w:rPr>
                <w:b/>
                <w:szCs w:val="21"/>
              </w:rPr>
            </w:pPr>
            <w:r>
              <w:rPr>
                <w:b/>
                <w:szCs w:val="21"/>
              </w:rPr>
              <w:t>定义</w:t>
            </w:r>
          </w:p>
        </w:tc>
        <w:tc>
          <w:tcPr>
            <w:tcW w:w="2582" w:type="dxa"/>
            <w:shd w:val="clear" w:color="auto" w:fill="auto"/>
            <w:vAlign w:val="center"/>
          </w:tcPr>
          <w:p>
            <w:pPr>
              <w:jc w:val="center"/>
              <w:rPr>
                <w:b/>
                <w:szCs w:val="21"/>
              </w:rPr>
            </w:pPr>
            <w:r>
              <w:rPr>
                <w:b/>
                <w:szCs w:val="21"/>
              </w:rPr>
              <w:t>事故概率（次/年）</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20" w:type="dxa"/>
            <w:shd w:val="clear" w:color="auto" w:fill="auto"/>
            <w:vAlign w:val="center"/>
          </w:tcPr>
          <w:p>
            <w:pPr>
              <w:jc w:val="center"/>
              <w:rPr>
                <w:szCs w:val="21"/>
              </w:rPr>
            </w:pPr>
            <w:r>
              <w:rPr>
                <w:szCs w:val="21"/>
              </w:rPr>
              <w:t>0</w:t>
            </w:r>
          </w:p>
        </w:tc>
        <w:tc>
          <w:tcPr>
            <w:tcW w:w="1579" w:type="dxa"/>
            <w:shd w:val="clear" w:color="auto" w:fill="auto"/>
            <w:vAlign w:val="center"/>
          </w:tcPr>
          <w:p>
            <w:pPr>
              <w:jc w:val="center"/>
              <w:rPr>
                <w:szCs w:val="21"/>
              </w:rPr>
            </w:pPr>
            <w:r>
              <w:rPr>
                <w:szCs w:val="21"/>
              </w:rPr>
              <w:t>极端少</w:t>
            </w:r>
          </w:p>
        </w:tc>
        <w:tc>
          <w:tcPr>
            <w:tcW w:w="3332" w:type="dxa"/>
            <w:shd w:val="clear" w:color="auto" w:fill="auto"/>
            <w:vAlign w:val="center"/>
          </w:tcPr>
          <w:p>
            <w:pPr>
              <w:jc w:val="center"/>
              <w:rPr>
                <w:szCs w:val="21"/>
              </w:rPr>
            </w:pPr>
            <w:r>
              <w:rPr>
                <w:szCs w:val="21"/>
              </w:rPr>
              <w:t>从不发生</w:t>
            </w:r>
          </w:p>
        </w:tc>
        <w:tc>
          <w:tcPr>
            <w:tcW w:w="2582" w:type="dxa"/>
            <w:shd w:val="clear" w:color="auto" w:fill="auto"/>
            <w:vAlign w:val="center"/>
          </w:tcPr>
          <w:p>
            <w:pPr>
              <w:jc w:val="center"/>
              <w:rPr>
                <w:szCs w:val="21"/>
              </w:rPr>
            </w:pPr>
            <w:r>
              <w:rPr>
                <w:szCs w:val="21"/>
              </w:rPr>
              <w:t>3.125</w:t>
            </w:r>
            <w:r>
              <w:rPr>
                <w:rFonts w:hint="eastAsia"/>
                <w:szCs w:val="21"/>
              </w:rPr>
              <w:t>×</w:t>
            </w:r>
            <w:r>
              <w:rPr>
                <w:szCs w:val="21"/>
              </w:rPr>
              <w:t>10</w:t>
            </w:r>
            <w:r>
              <w:rPr>
                <w:szCs w:val="21"/>
                <w:vertAlign w:val="superscript"/>
              </w:rPr>
              <w:t>-3</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20" w:type="dxa"/>
            <w:shd w:val="clear" w:color="auto" w:fill="auto"/>
            <w:vAlign w:val="center"/>
          </w:tcPr>
          <w:p>
            <w:pPr>
              <w:jc w:val="center"/>
              <w:rPr>
                <w:szCs w:val="21"/>
              </w:rPr>
            </w:pPr>
            <w:r>
              <w:rPr>
                <w:szCs w:val="21"/>
              </w:rPr>
              <w:t>1</w:t>
            </w:r>
          </w:p>
        </w:tc>
        <w:tc>
          <w:tcPr>
            <w:tcW w:w="1579" w:type="dxa"/>
            <w:shd w:val="clear" w:color="auto" w:fill="auto"/>
            <w:vAlign w:val="center"/>
          </w:tcPr>
          <w:p>
            <w:pPr>
              <w:jc w:val="center"/>
              <w:rPr>
                <w:szCs w:val="21"/>
              </w:rPr>
            </w:pPr>
            <w:r>
              <w:rPr>
                <w:szCs w:val="21"/>
              </w:rPr>
              <w:t>少</w:t>
            </w:r>
          </w:p>
        </w:tc>
        <w:tc>
          <w:tcPr>
            <w:tcW w:w="3332" w:type="dxa"/>
            <w:shd w:val="clear" w:color="auto" w:fill="auto"/>
            <w:vAlign w:val="center"/>
          </w:tcPr>
          <w:p>
            <w:pPr>
              <w:jc w:val="center"/>
              <w:rPr>
                <w:szCs w:val="21"/>
              </w:rPr>
            </w:pPr>
            <w:r>
              <w:rPr>
                <w:szCs w:val="21"/>
              </w:rPr>
              <w:t>装置寿命内从不发生</w:t>
            </w:r>
          </w:p>
        </w:tc>
        <w:tc>
          <w:tcPr>
            <w:tcW w:w="2582" w:type="dxa"/>
            <w:shd w:val="clear" w:color="auto" w:fill="auto"/>
            <w:vAlign w:val="center"/>
          </w:tcPr>
          <w:p>
            <w:pPr>
              <w:jc w:val="center"/>
              <w:rPr>
                <w:szCs w:val="21"/>
              </w:rPr>
            </w:pPr>
            <w:r>
              <w:rPr>
                <w:szCs w:val="21"/>
              </w:rPr>
              <w:t>3.125</w:t>
            </w:r>
            <w:r>
              <w:rPr>
                <w:rFonts w:hint="eastAsia"/>
                <w:szCs w:val="21"/>
              </w:rPr>
              <w:t>×</w:t>
            </w:r>
            <w:r>
              <w:rPr>
                <w:szCs w:val="21"/>
              </w:rPr>
              <w:t>10</w:t>
            </w:r>
            <w:r>
              <w:rPr>
                <w:szCs w:val="21"/>
                <w:vertAlign w:val="superscript"/>
              </w:rPr>
              <w:t>-3</w:t>
            </w:r>
            <w:r>
              <w:rPr>
                <w:szCs w:val="21"/>
              </w:rPr>
              <w:t>～1</w:t>
            </w:r>
            <w:r>
              <w:rPr>
                <w:rFonts w:hint="eastAsia"/>
                <w:szCs w:val="21"/>
              </w:rPr>
              <w:t>×</w:t>
            </w:r>
            <w:r>
              <w:rPr>
                <w:szCs w:val="21"/>
              </w:rPr>
              <w:t>10</w:t>
            </w:r>
            <w:r>
              <w:rPr>
                <w:szCs w:val="21"/>
                <w:vertAlign w:val="superscript"/>
              </w:rPr>
              <w:t>-2</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20" w:type="dxa"/>
            <w:shd w:val="clear" w:color="auto" w:fill="auto"/>
            <w:vAlign w:val="center"/>
          </w:tcPr>
          <w:p>
            <w:pPr>
              <w:jc w:val="center"/>
              <w:rPr>
                <w:szCs w:val="21"/>
              </w:rPr>
            </w:pPr>
            <w:r>
              <w:rPr>
                <w:szCs w:val="21"/>
              </w:rPr>
              <w:t>2</w:t>
            </w:r>
          </w:p>
        </w:tc>
        <w:tc>
          <w:tcPr>
            <w:tcW w:w="1579" w:type="dxa"/>
            <w:shd w:val="clear" w:color="auto" w:fill="auto"/>
            <w:vAlign w:val="center"/>
          </w:tcPr>
          <w:p>
            <w:pPr>
              <w:jc w:val="center"/>
              <w:rPr>
                <w:szCs w:val="21"/>
              </w:rPr>
            </w:pPr>
            <w:r>
              <w:rPr>
                <w:szCs w:val="21"/>
              </w:rPr>
              <w:t>不大可能</w:t>
            </w:r>
          </w:p>
        </w:tc>
        <w:tc>
          <w:tcPr>
            <w:tcW w:w="3332" w:type="dxa"/>
            <w:shd w:val="clear" w:color="auto" w:fill="auto"/>
            <w:vAlign w:val="center"/>
          </w:tcPr>
          <w:p>
            <w:pPr>
              <w:jc w:val="center"/>
              <w:rPr>
                <w:szCs w:val="21"/>
              </w:rPr>
            </w:pPr>
            <w:r>
              <w:rPr>
                <w:szCs w:val="21"/>
              </w:rPr>
              <w:t>装置寿命内发生一次</w:t>
            </w:r>
          </w:p>
        </w:tc>
        <w:tc>
          <w:tcPr>
            <w:tcW w:w="2582" w:type="dxa"/>
            <w:shd w:val="clear" w:color="auto" w:fill="auto"/>
            <w:vAlign w:val="center"/>
          </w:tcPr>
          <w:p>
            <w:pPr>
              <w:jc w:val="center"/>
              <w:rPr>
                <w:szCs w:val="21"/>
              </w:rPr>
            </w:pPr>
            <w:r>
              <w:rPr>
                <w:szCs w:val="21"/>
              </w:rPr>
              <w:t>1</w:t>
            </w:r>
            <w:r>
              <w:rPr>
                <w:rFonts w:hint="eastAsia"/>
                <w:szCs w:val="21"/>
              </w:rPr>
              <w:t>×</w:t>
            </w:r>
            <w:r>
              <w:rPr>
                <w:szCs w:val="21"/>
              </w:rPr>
              <w:t>10</w:t>
            </w:r>
            <w:r>
              <w:rPr>
                <w:szCs w:val="21"/>
                <w:vertAlign w:val="superscript"/>
              </w:rPr>
              <w:t>-2</w:t>
            </w:r>
            <w:r>
              <w:rPr>
                <w:szCs w:val="21"/>
              </w:rPr>
              <w:t>～3.125</w:t>
            </w:r>
            <w:r>
              <w:rPr>
                <w:rFonts w:hint="eastAsia"/>
                <w:szCs w:val="21"/>
              </w:rPr>
              <w:t>×</w:t>
            </w:r>
            <w:r>
              <w:rPr>
                <w:szCs w:val="21"/>
              </w:rPr>
              <w:t>10</w:t>
            </w:r>
            <w:r>
              <w:rPr>
                <w:szCs w:val="21"/>
                <w:vertAlign w:val="superscript"/>
              </w:rPr>
              <w:t>-2</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20" w:type="dxa"/>
            <w:shd w:val="clear" w:color="auto" w:fill="auto"/>
            <w:vAlign w:val="center"/>
          </w:tcPr>
          <w:p>
            <w:pPr>
              <w:jc w:val="center"/>
              <w:rPr>
                <w:szCs w:val="21"/>
              </w:rPr>
            </w:pPr>
            <w:r>
              <w:rPr>
                <w:szCs w:val="21"/>
              </w:rPr>
              <w:t>3</w:t>
            </w:r>
          </w:p>
        </w:tc>
        <w:tc>
          <w:tcPr>
            <w:tcW w:w="1579" w:type="dxa"/>
            <w:shd w:val="clear" w:color="auto" w:fill="auto"/>
            <w:vAlign w:val="center"/>
          </w:tcPr>
          <w:p>
            <w:pPr>
              <w:jc w:val="center"/>
              <w:rPr>
                <w:szCs w:val="21"/>
              </w:rPr>
            </w:pPr>
            <w:r>
              <w:rPr>
                <w:szCs w:val="21"/>
              </w:rPr>
              <w:t>也许可能</w:t>
            </w:r>
          </w:p>
        </w:tc>
        <w:tc>
          <w:tcPr>
            <w:tcW w:w="3332" w:type="dxa"/>
            <w:shd w:val="clear" w:color="auto" w:fill="auto"/>
            <w:vAlign w:val="center"/>
          </w:tcPr>
          <w:p>
            <w:pPr>
              <w:jc w:val="center"/>
              <w:rPr>
                <w:szCs w:val="21"/>
              </w:rPr>
            </w:pPr>
            <w:r>
              <w:rPr>
                <w:szCs w:val="21"/>
              </w:rPr>
              <w:t>装置寿命内发生一次以上</w:t>
            </w:r>
          </w:p>
        </w:tc>
        <w:tc>
          <w:tcPr>
            <w:tcW w:w="2582" w:type="dxa"/>
            <w:shd w:val="clear" w:color="auto" w:fill="auto"/>
            <w:vAlign w:val="center"/>
          </w:tcPr>
          <w:p>
            <w:pPr>
              <w:jc w:val="center"/>
              <w:rPr>
                <w:szCs w:val="21"/>
              </w:rPr>
            </w:pPr>
            <w:r>
              <w:rPr>
                <w:szCs w:val="21"/>
              </w:rPr>
              <w:t>0.03125～0.10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20" w:type="dxa"/>
            <w:shd w:val="clear" w:color="auto" w:fill="auto"/>
            <w:vAlign w:val="center"/>
          </w:tcPr>
          <w:p>
            <w:pPr>
              <w:jc w:val="center"/>
              <w:rPr>
                <w:szCs w:val="21"/>
              </w:rPr>
            </w:pPr>
            <w:r>
              <w:rPr>
                <w:szCs w:val="21"/>
              </w:rPr>
              <w:t>4</w:t>
            </w:r>
          </w:p>
        </w:tc>
        <w:tc>
          <w:tcPr>
            <w:tcW w:w="1579" w:type="dxa"/>
            <w:shd w:val="clear" w:color="auto" w:fill="auto"/>
            <w:vAlign w:val="center"/>
          </w:tcPr>
          <w:p>
            <w:pPr>
              <w:jc w:val="center"/>
              <w:rPr>
                <w:szCs w:val="21"/>
              </w:rPr>
            </w:pPr>
            <w:r>
              <w:rPr>
                <w:szCs w:val="21"/>
              </w:rPr>
              <w:t>偶然</w:t>
            </w:r>
          </w:p>
        </w:tc>
        <w:tc>
          <w:tcPr>
            <w:tcW w:w="3332" w:type="dxa"/>
            <w:shd w:val="clear" w:color="auto" w:fill="auto"/>
            <w:vAlign w:val="center"/>
          </w:tcPr>
          <w:p>
            <w:pPr>
              <w:jc w:val="center"/>
              <w:rPr>
                <w:szCs w:val="21"/>
              </w:rPr>
            </w:pPr>
            <w:r>
              <w:rPr>
                <w:szCs w:val="21"/>
              </w:rPr>
              <w:t>装置寿命内发生几次</w:t>
            </w:r>
          </w:p>
        </w:tc>
        <w:tc>
          <w:tcPr>
            <w:tcW w:w="2582" w:type="dxa"/>
            <w:shd w:val="clear" w:color="auto" w:fill="auto"/>
            <w:vAlign w:val="center"/>
          </w:tcPr>
          <w:p>
            <w:pPr>
              <w:jc w:val="center"/>
              <w:rPr>
                <w:szCs w:val="21"/>
              </w:rPr>
            </w:pPr>
            <w:r>
              <w:rPr>
                <w:szCs w:val="21"/>
              </w:rPr>
              <w:t>0.10～0.3333</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20" w:type="dxa"/>
            <w:shd w:val="clear" w:color="auto" w:fill="auto"/>
            <w:vAlign w:val="center"/>
          </w:tcPr>
          <w:p>
            <w:pPr>
              <w:jc w:val="center"/>
              <w:rPr>
                <w:szCs w:val="21"/>
              </w:rPr>
            </w:pPr>
            <w:r>
              <w:rPr>
                <w:szCs w:val="21"/>
              </w:rPr>
              <w:t>5</w:t>
            </w:r>
          </w:p>
        </w:tc>
        <w:tc>
          <w:tcPr>
            <w:tcW w:w="1579" w:type="dxa"/>
            <w:shd w:val="clear" w:color="auto" w:fill="auto"/>
            <w:vAlign w:val="center"/>
          </w:tcPr>
          <w:p>
            <w:pPr>
              <w:jc w:val="center"/>
              <w:rPr>
                <w:szCs w:val="21"/>
              </w:rPr>
            </w:pPr>
            <w:r>
              <w:rPr>
                <w:szCs w:val="21"/>
              </w:rPr>
              <w:t>可能</w:t>
            </w:r>
          </w:p>
        </w:tc>
        <w:tc>
          <w:tcPr>
            <w:tcW w:w="3332" w:type="dxa"/>
            <w:shd w:val="clear" w:color="auto" w:fill="auto"/>
            <w:vAlign w:val="center"/>
          </w:tcPr>
          <w:p>
            <w:pPr>
              <w:jc w:val="center"/>
              <w:rPr>
                <w:szCs w:val="21"/>
              </w:rPr>
            </w:pPr>
            <w:r>
              <w:rPr>
                <w:szCs w:val="21"/>
              </w:rPr>
              <w:t>预计一年发生一次</w:t>
            </w:r>
          </w:p>
        </w:tc>
        <w:tc>
          <w:tcPr>
            <w:tcW w:w="2582" w:type="dxa"/>
            <w:shd w:val="clear" w:color="auto" w:fill="auto"/>
            <w:vAlign w:val="center"/>
          </w:tcPr>
          <w:p>
            <w:pPr>
              <w:jc w:val="center"/>
              <w:rPr>
                <w:szCs w:val="21"/>
              </w:rPr>
            </w:pPr>
            <w:r>
              <w:rPr>
                <w:szCs w:val="21"/>
              </w:rPr>
              <w:t>0.3333～1</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820" w:type="dxa"/>
            <w:shd w:val="clear" w:color="auto" w:fill="auto"/>
            <w:vAlign w:val="center"/>
          </w:tcPr>
          <w:p>
            <w:pPr>
              <w:jc w:val="center"/>
              <w:rPr>
                <w:szCs w:val="21"/>
              </w:rPr>
            </w:pPr>
            <w:r>
              <w:rPr>
                <w:szCs w:val="21"/>
              </w:rPr>
              <w:t>6</w:t>
            </w:r>
          </w:p>
        </w:tc>
        <w:tc>
          <w:tcPr>
            <w:tcW w:w="1579" w:type="dxa"/>
            <w:shd w:val="clear" w:color="auto" w:fill="auto"/>
            <w:vAlign w:val="center"/>
          </w:tcPr>
          <w:p>
            <w:pPr>
              <w:jc w:val="center"/>
              <w:rPr>
                <w:szCs w:val="21"/>
              </w:rPr>
            </w:pPr>
            <w:r>
              <w:rPr>
                <w:szCs w:val="21"/>
              </w:rPr>
              <w:t>频繁</w:t>
            </w:r>
          </w:p>
        </w:tc>
        <w:tc>
          <w:tcPr>
            <w:tcW w:w="3332" w:type="dxa"/>
            <w:shd w:val="clear" w:color="auto" w:fill="auto"/>
            <w:vAlign w:val="center"/>
          </w:tcPr>
          <w:p>
            <w:pPr>
              <w:jc w:val="center"/>
              <w:rPr>
                <w:szCs w:val="21"/>
              </w:rPr>
            </w:pPr>
            <w:r>
              <w:rPr>
                <w:szCs w:val="21"/>
              </w:rPr>
              <w:t>预计一年发生一次以上</w:t>
            </w:r>
          </w:p>
        </w:tc>
        <w:tc>
          <w:tcPr>
            <w:tcW w:w="2582" w:type="dxa"/>
            <w:shd w:val="clear" w:color="auto" w:fill="auto"/>
            <w:vAlign w:val="center"/>
          </w:tcPr>
          <w:p>
            <w:pPr>
              <w:jc w:val="center"/>
              <w:rPr>
                <w:szCs w:val="21"/>
              </w:rPr>
            </w:pPr>
            <w:r>
              <w:rPr>
                <w:szCs w:val="21"/>
              </w:rPr>
              <w:t>1</w:t>
            </w:r>
          </w:p>
        </w:tc>
      </w:tr>
    </w:tbl>
    <w:p>
      <w:pPr>
        <w:pStyle w:val="30"/>
        <w:ind w:firstLine="480"/>
      </w:pPr>
      <w:r>
        <w:rPr>
          <w:rFonts w:hint="eastAsia" w:ascii="宋体" w:hAnsi="宋体" w:cs="宋体"/>
        </w:rPr>
        <w:t>⑶</w:t>
      </w:r>
      <w:r>
        <w:t>比较各类事故对环境影响的可能性和严重性，5 类污染事故的排列次数见表4.2-</w:t>
      </w:r>
      <w:r>
        <w:rPr>
          <w:rFonts w:hint="eastAsia"/>
          <w:lang w:val="en-US" w:eastAsia="zh-CN"/>
        </w:rPr>
        <w:t>5</w:t>
      </w:r>
      <w:r>
        <w:t>。火灾事故排出的烟雾和炭粒会直接影响周围居住区及植物，其可能性排列在第1位，但因属于暂时性危害，严重性被列于最后。有毒液体泄漏事故较为常见，水体和土壤的污染会引起许多环境问题，因此可能性和严重性均居第2位。爆炸震动波可能会使10km以内的建筑物受损，其严重性居第1 位。据记载特大爆炸事故中3t重的设备碎片会飞出1000m以外，故爆炸飞出物对环境的威胁也是有的。据国内35年以来的统计，有毒气体外逸比较容易控制，故对环境产生影响的可能性最小，但如果泄漏量大，则造成严重性是比较大的。</w:t>
      </w:r>
    </w:p>
    <w:p>
      <w:pPr>
        <w:pStyle w:val="30"/>
        <w:ind w:firstLine="480"/>
        <w:jc w:val="center"/>
        <w:rPr>
          <w:b/>
        </w:rPr>
      </w:pPr>
      <w:r>
        <w:rPr>
          <w:b/>
        </w:rPr>
        <w:t>表4.2-</w:t>
      </w:r>
      <w:r>
        <w:rPr>
          <w:rFonts w:hint="eastAsia"/>
          <w:b/>
          <w:lang w:val="en-US" w:eastAsia="zh-CN"/>
        </w:rPr>
        <w:t>5</w:t>
      </w:r>
      <w:r>
        <w:rPr>
          <w:b/>
        </w:rPr>
        <w:t xml:space="preserve"> 污染事故可能性、严重性排序表</w:t>
      </w:r>
    </w:p>
    <w:tbl>
      <w:tblPr>
        <w:tblStyle w:val="17"/>
        <w:tblW w:w="8313" w:type="dxa"/>
        <w:tblInd w:w="0" w:type="dxa"/>
        <w:tblBorders>
          <w:top w:val="single" w:color="000000" w:sz="12" w:space="0"/>
          <w:left w:val="none" w:color="auto" w:sz="0" w:space="0"/>
          <w:bottom w:val="single" w:color="auto" w:sz="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773"/>
        <w:gridCol w:w="4620"/>
        <w:gridCol w:w="1460"/>
        <w:gridCol w:w="1460"/>
      </w:tblGrid>
      <w:tr>
        <w:tblPrEx>
          <w:tblBorders>
            <w:top w:val="single" w:color="000000" w:sz="12" w:space="0"/>
            <w:left w:val="none" w:color="auto" w:sz="0" w:space="0"/>
            <w:bottom w:val="single" w:color="auto" w:sz="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348" w:hRule="exact"/>
        </w:trPr>
        <w:tc>
          <w:tcPr>
            <w:tcW w:w="773" w:type="dxa"/>
            <w:shd w:val="clear" w:color="auto" w:fill="auto"/>
            <w:vAlign w:val="center"/>
          </w:tcPr>
          <w:p>
            <w:pPr>
              <w:pStyle w:val="21"/>
              <w:snapToGrid w:val="0"/>
              <w:spacing w:line="286" w:lineRule="exact"/>
              <w:ind w:firstLine="201" w:firstLineChars="100"/>
              <w:rPr>
                <w:sz w:val="21"/>
                <w:szCs w:val="21"/>
              </w:rPr>
            </w:pPr>
            <w:r>
              <w:rPr>
                <w:b/>
                <w:bCs/>
                <w:spacing w:val="-5"/>
                <w:sz w:val="21"/>
                <w:szCs w:val="21"/>
              </w:rPr>
              <w:t>序号</w:t>
            </w:r>
          </w:p>
        </w:tc>
        <w:tc>
          <w:tcPr>
            <w:tcW w:w="4620" w:type="dxa"/>
            <w:shd w:val="clear" w:color="auto" w:fill="auto"/>
            <w:vAlign w:val="center"/>
          </w:tcPr>
          <w:p>
            <w:pPr>
              <w:pStyle w:val="21"/>
              <w:snapToGrid w:val="0"/>
              <w:spacing w:line="286" w:lineRule="exact"/>
              <w:jc w:val="center"/>
              <w:rPr>
                <w:sz w:val="21"/>
                <w:szCs w:val="21"/>
              </w:rPr>
            </w:pPr>
            <w:r>
              <w:rPr>
                <w:b/>
                <w:bCs/>
                <w:spacing w:val="-5"/>
                <w:sz w:val="21"/>
                <w:szCs w:val="21"/>
              </w:rPr>
              <w:t>污染事故类型</w:t>
            </w:r>
          </w:p>
        </w:tc>
        <w:tc>
          <w:tcPr>
            <w:tcW w:w="1460" w:type="dxa"/>
            <w:shd w:val="clear" w:color="auto" w:fill="auto"/>
            <w:vAlign w:val="center"/>
          </w:tcPr>
          <w:p>
            <w:pPr>
              <w:pStyle w:val="21"/>
              <w:snapToGrid w:val="0"/>
              <w:spacing w:line="286" w:lineRule="exact"/>
              <w:ind w:left="286"/>
              <w:jc w:val="center"/>
              <w:rPr>
                <w:sz w:val="21"/>
                <w:szCs w:val="21"/>
              </w:rPr>
            </w:pPr>
            <w:r>
              <w:rPr>
                <w:b/>
                <w:bCs/>
                <w:spacing w:val="-5"/>
                <w:sz w:val="21"/>
                <w:szCs w:val="21"/>
              </w:rPr>
              <w:t>可能性排序</w:t>
            </w:r>
          </w:p>
        </w:tc>
        <w:tc>
          <w:tcPr>
            <w:tcW w:w="1460" w:type="dxa"/>
            <w:shd w:val="clear" w:color="auto" w:fill="auto"/>
            <w:vAlign w:val="center"/>
          </w:tcPr>
          <w:p>
            <w:pPr>
              <w:pStyle w:val="21"/>
              <w:snapToGrid w:val="0"/>
              <w:spacing w:line="286" w:lineRule="exact"/>
              <w:ind w:left="285"/>
              <w:jc w:val="center"/>
              <w:rPr>
                <w:sz w:val="21"/>
                <w:szCs w:val="21"/>
              </w:rPr>
            </w:pPr>
            <w:r>
              <w:rPr>
                <w:b/>
                <w:bCs/>
                <w:spacing w:val="-5"/>
                <w:sz w:val="21"/>
                <w:szCs w:val="21"/>
              </w:rPr>
              <w:t>严重性排序</w:t>
            </w:r>
          </w:p>
        </w:tc>
      </w:tr>
      <w:tr>
        <w:tblPrEx>
          <w:tblBorders>
            <w:top w:val="single" w:color="000000" w:sz="12" w:space="0"/>
            <w:left w:val="none" w:color="auto" w:sz="0" w:space="0"/>
            <w:bottom w:val="single" w:color="auto" w:sz="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338" w:hRule="exact"/>
        </w:trPr>
        <w:tc>
          <w:tcPr>
            <w:tcW w:w="773" w:type="dxa"/>
            <w:shd w:val="clear" w:color="auto" w:fill="auto"/>
            <w:vAlign w:val="center"/>
          </w:tcPr>
          <w:p>
            <w:pPr>
              <w:pStyle w:val="21"/>
              <w:snapToGrid w:val="0"/>
              <w:spacing w:before="36"/>
              <w:ind w:left="18"/>
              <w:jc w:val="center"/>
              <w:rPr>
                <w:sz w:val="21"/>
                <w:szCs w:val="21"/>
              </w:rPr>
            </w:pPr>
            <w:r>
              <w:rPr>
                <w:sz w:val="21"/>
              </w:rPr>
              <w:t>1</w:t>
            </w:r>
          </w:p>
        </w:tc>
        <w:tc>
          <w:tcPr>
            <w:tcW w:w="4620" w:type="dxa"/>
            <w:shd w:val="clear" w:color="auto" w:fill="auto"/>
            <w:vAlign w:val="center"/>
          </w:tcPr>
          <w:p>
            <w:pPr>
              <w:pStyle w:val="21"/>
              <w:snapToGrid w:val="0"/>
              <w:spacing w:line="262" w:lineRule="exact"/>
              <w:jc w:val="center"/>
              <w:rPr>
                <w:sz w:val="21"/>
                <w:szCs w:val="21"/>
              </w:rPr>
            </w:pPr>
            <w:r>
              <w:rPr>
                <w:spacing w:val="-6"/>
                <w:sz w:val="21"/>
                <w:szCs w:val="21"/>
              </w:rPr>
              <w:t>着火燃烧后烟雾影响环境</w:t>
            </w:r>
          </w:p>
        </w:tc>
        <w:tc>
          <w:tcPr>
            <w:tcW w:w="1460" w:type="dxa"/>
            <w:shd w:val="clear" w:color="auto" w:fill="auto"/>
            <w:vAlign w:val="center"/>
          </w:tcPr>
          <w:p>
            <w:pPr>
              <w:pStyle w:val="21"/>
              <w:snapToGrid w:val="0"/>
              <w:spacing w:before="36"/>
              <w:ind w:left="1"/>
              <w:jc w:val="center"/>
              <w:rPr>
                <w:sz w:val="21"/>
                <w:szCs w:val="21"/>
              </w:rPr>
            </w:pPr>
            <w:r>
              <w:rPr>
                <w:sz w:val="21"/>
              </w:rPr>
              <w:t>1</w:t>
            </w:r>
          </w:p>
        </w:tc>
        <w:tc>
          <w:tcPr>
            <w:tcW w:w="1460" w:type="dxa"/>
            <w:shd w:val="clear" w:color="auto" w:fill="auto"/>
            <w:vAlign w:val="center"/>
          </w:tcPr>
          <w:p>
            <w:pPr>
              <w:pStyle w:val="21"/>
              <w:snapToGrid w:val="0"/>
              <w:spacing w:before="36"/>
              <w:ind w:right="2"/>
              <w:jc w:val="center"/>
              <w:rPr>
                <w:sz w:val="21"/>
                <w:szCs w:val="21"/>
              </w:rPr>
            </w:pPr>
            <w:r>
              <w:rPr>
                <w:sz w:val="21"/>
              </w:rPr>
              <w:t>5</w:t>
            </w:r>
          </w:p>
        </w:tc>
      </w:tr>
      <w:tr>
        <w:tblPrEx>
          <w:tblBorders>
            <w:top w:val="single" w:color="000000" w:sz="12" w:space="0"/>
            <w:left w:val="none" w:color="auto" w:sz="0" w:space="0"/>
            <w:bottom w:val="single" w:color="auto" w:sz="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338" w:hRule="exact"/>
        </w:trPr>
        <w:tc>
          <w:tcPr>
            <w:tcW w:w="773" w:type="dxa"/>
            <w:shd w:val="clear" w:color="auto" w:fill="auto"/>
            <w:vAlign w:val="center"/>
          </w:tcPr>
          <w:p>
            <w:pPr>
              <w:pStyle w:val="21"/>
              <w:snapToGrid w:val="0"/>
              <w:spacing w:before="36"/>
              <w:ind w:left="18"/>
              <w:jc w:val="center"/>
              <w:rPr>
                <w:sz w:val="21"/>
                <w:szCs w:val="21"/>
              </w:rPr>
            </w:pPr>
            <w:r>
              <w:rPr>
                <w:sz w:val="21"/>
              </w:rPr>
              <w:t>2</w:t>
            </w:r>
          </w:p>
        </w:tc>
        <w:tc>
          <w:tcPr>
            <w:tcW w:w="4620" w:type="dxa"/>
            <w:shd w:val="clear" w:color="auto" w:fill="auto"/>
            <w:vAlign w:val="center"/>
          </w:tcPr>
          <w:p>
            <w:pPr>
              <w:pStyle w:val="21"/>
              <w:snapToGrid w:val="0"/>
              <w:spacing w:line="262" w:lineRule="exact"/>
              <w:jc w:val="center"/>
              <w:rPr>
                <w:sz w:val="21"/>
                <w:szCs w:val="21"/>
              </w:rPr>
            </w:pPr>
            <w:r>
              <w:rPr>
                <w:spacing w:val="-6"/>
                <w:sz w:val="21"/>
                <w:szCs w:val="21"/>
              </w:rPr>
              <w:t>爆炸碎片飞出界外影响环境造成损失</w:t>
            </w:r>
          </w:p>
        </w:tc>
        <w:tc>
          <w:tcPr>
            <w:tcW w:w="1460" w:type="dxa"/>
            <w:shd w:val="clear" w:color="auto" w:fill="auto"/>
            <w:vAlign w:val="center"/>
          </w:tcPr>
          <w:p>
            <w:pPr>
              <w:pStyle w:val="21"/>
              <w:snapToGrid w:val="0"/>
              <w:spacing w:before="36"/>
              <w:ind w:left="1"/>
              <w:jc w:val="center"/>
              <w:rPr>
                <w:sz w:val="21"/>
                <w:szCs w:val="21"/>
              </w:rPr>
            </w:pPr>
            <w:r>
              <w:rPr>
                <w:sz w:val="21"/>
              </w:rPr>
              <w:t>4</w:t>
            </w:r>
          </w:p>
        </w:tc>
        <w:tc>
          <w:tcPr>
            <w:tcW w:w="1460" w:type="dxa"/>
            <w:shd w:val="clear" w:color="auto" w:fill="auto"/>
            <w:vAlign w:val="center"/>
          </w:tcPr>
          <w:p>
            <w:pPr>
              <w:pStyle w:val="21"/>
              <w:snapToGrid w:val="0"/>
              <w:spacing w:before="36"/>
              <w:ind w:right="2"/>
              <w:jc w:val="center"/>
              <w:rPr>
                <w:sz w:val="21"/>
                <w:szCs w:val="21"/>
              </w:rPr>
            </w:pPr>
            <w:r>
              <w:rPr>
                <w:sz w:val="21"/>
              </w:rPr>
              <w:t>4</w:t>
            </w:r>
          </w:p>
        </w:tc>
      </w:tr>
      <w:tr>
        <w:tblPrEx>
          <w:tblBorders>
            <w:top w:val="single" w:color="000000" w:sz="12" w:space="0"/>
            <w:left w:val="none" w:color="auto" w:sz="0" w:space="0"/>
            <w:bottom w:val="single" w:color="auto" w:sz="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338" w:hRule="exact"/>
        </w:trPr>
        <w:tc>
          <w:tcPr>
            <w:tcW w:w="773" w:type="dxa"/>
            <w:shd w:val="clear" w:color="auto" w:fill="auto"/>
            <w:vAlign w:val="center"/>
          </w:tcPr>
          <w:p>
            <w:pPr>
              <w:pStyle w:val="21"/>
              <w:snapToGrid w:val="0"/>
              <w:spacing w:before="36"/>
              <w:ind w:left="18"/>
              <w:jc w:val="center"/>
              <w:rPr>
                <w:sz w:val="21"/>
              </w:rPr>
            </w:pPr>
            <w:r>
              <w:rPr>
                <w:sz w:val="21"/>
              </w:rPr>
              <w:t>3</w:t>
            </w:r>
          </w:p>
        </w:tc>
        <w:tc>
          <w:tcPr>
            <w:tcW w:w="4620" w:type="dxa"/>
            <w:shd w:val="clear" w:color="auto" w:fill="auto"/>
            <w:vAlign w:val="center"/>
          </w:tcPr>
          <w:p>
            <w:pPr>
              <w:pStyle w:val="21"/>
              <w:snapToGrid w:val="0"/>
              <w:spacing w:line="262" w:lineRule="exact"/>
              <w:jc w:val="center"/>
              <w:rPr>
                <w:spacing w:val="-6"/>
                <w:sz w:val="21"/>
                <w:szCs w:val="21"/>
              </w:rPr>
            </w:pPr>
            <w:r>
              <w:rPr>
                <w:spacing w:val="-6"/>
                <w:sz w:val="21"/>
                <w:szCs w:val="21"/>
              </w:rPr>
              <w:t>有毒气体外逸污染环境</w:t>
            </w:r>
          </w:p>
        </w:tc>
        <w:tc>
          <w:tcPr>
            <w:tcW w:w="1460" w:type="dxa"/>
            <w:shd w:val="clear" w:color="auto" w:fill="auto"/>
            <w:vAlign w:val="center"/>
          </w:tcPr>
          <w:p>
            <w:pPr>
              <w:pStyle w:val="21"/>
              <w:snapToGrid w:val="0"/>
              <w:spacing w:before="36"/>
              <w:ind w:left="1"/>
              <w:jc w:val="center"/>
              <w:rPr>
                <w:sz w:val="21"/>
              </w:rPr>
            </w:pPr>
            <w:r>
              <w:rPr>
                <w:sz w:val="21"/>
              </w:rPr>
              <w:t>5</w:t>
            </w:r>
          </w:p>
        </w:tc>
        <w:tc>
          <w:tcPr>
            <w:tcW w:w="1460" w:type="dxa"/>
            <w:shd w:val="clear" w:color="auto" w:fill="auto"/>
            <w:vAlign w:val="center"/>
          </w:tcPr>
          <w:p>
            <w:pPr>
              <w:pStyle w:val="21"/>
              <w:snapToGrid w:val="0"/>
              <w:spacing w:before="36"/>
              <w:ind w:right="2"/>
              <w:jc w:val="center"/>
              <w:rPr>
                <w:sz w:val="21"/>
              </w:rPr>
            </w:pPr>
            <w:r>
              <w:rPr>
                <w:sz w:val="21"/>
              </w:rPr>
              <w:t>3</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328" w:hRule="exact"/>
        </w:trPr>
        <w:tc>
          <w:tcPr>
            <w:tcW w:w="773" w:type="dxa"/>
            <w:tcBorders>
              <w:top w:val="single" w:color="auto" w:sz="4" w:space="0"/>
              <w:left w:val="nil"/>
              <w:bottom w:val="single" w:color="auto" w:sz="4" w:space="0"/>
              <w:right w:val="single" w:color="auto" w:sz="4" w:space="0"/>
            </w:tcBorders>
            <w:shd w:val="clear" w:color="auto" w:fill="auto"/>
            <w:vAlign w:val="center"/>
          </w:tcPr>
          <w:p>
            <w:pPr>
              <w:pStyle w:val="21"/>
              <w:snapToGrid w:val="0"/>
              <w:spacing w:before="36"/>
              <w:ind w:left="18"/>
              <w:jc w:val="center"/>
              <w:rPr>
                <w:sz w:val="21"/>
                <w:szCs w:val="21"/>
              </w:rPr>
            </w:pPr>
            <w:r>
              <w:rPr>
                <w:sz w:val="21"/>
              </w:rPr>
              <w:t>4</w:t>
            </w:r>
          </w:p>
        </w:tc>
        <w:tc>
          <w:tcPr>
            <w:tcW w:w="46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1"/>
              <w:snapToGrid w:val="0"/>
              <w:spacing w:line="262" w:lineRule="exact"/>
              <w:jc w:val="center"/>
              <w:rPr>
                <w:sz w:val="21"/>
                <w:szCs w:val="21"/>
              </w:rPr>
            </w:pPr>
            <w:r>
              <w:rPr>
                <w:spacing w:val="-6"/>
                <w:sz w:val="21"/>
                <w:szCs w:val="21"/>
              </w:rPr>
              <w:t>燃爆或泄漏后有毒液体流入周围环境造成污染</w:t>
            </w:r>
          </w:p>
        </w:tc>
        <w:tc>
          <w:tcPr>
            <w:tcW w:w="14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1"/>
              <w:snapToGrid w:val="0"/>
              <w:spacing w:before="36"/>
              <w:ind w:left="1"/>
              <w:jc w:val="center"/>
              <w:rPr>
                <w:sz w:val="21"/>
                <w:szCs w:val="21"/>
              </w:rPr>
            </w:pPr>
            <w:r>
              <w:rPr>
                <w:sz w:val="21"/>
              </w:rPr>
              <w:t>2</w:t>
            </w:r>
          </w:p>
        </w:tc>
        <w:tc>
          <w:tcPr>
            <w:tcW w:w="1460" w:type="dxa"/>
            <w:tcBorders>
              <w:top w:val="single" w:color="auto" w:sz="4" w:space="0"/>
              <w:left w:val="single" w:color="auto" w:sz="4" w:space="0"/>
              <w:bottom w:val="single" w:color="auto" w:sz="4" w:space="0"/>
              <w:right w:val="nil"/>
            </w:tcBorders>
            <w:shd w:val="clear" w:color="auto" w:fill="auto"/>
            <w:vAlign w:val="center"/>
          </w:tcPr>
          <w:p>
            <w:pPr>
              <w:pStyle w:val="21"/>
              <w:snapToGrid w:val="0"/>
              <w:spacing w:before="36"/>
              <w:ind w:right="2"/>
              <w:jc w:val="center"/>
              <w:rPr>
                <w:sz w:val="21"/>
                <w:szCs w:val="21"/>
              </w:rPr>
            </w:pPr>
            <w:r>
              <w:rPr>
                <w:sz w:val="21"/>
              </w:rPr>
              <w:t>2</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339" w:hRule="exact"/>
        </w:trPr>
        <w:tc>
          <w:tcPr>
            <w:tcW w:w="773" w:type="dxa"/>
            <w:tcBorders>
              <w:top w:val="single" w:color="auto" w:sz="4" w:space="0"/>
              <w:left w:val="nil"/>
              <w:bottom w:val="single" w:color="000000" w:sz="12" w:space="0"/>
              <w:right w:val="single" w:color="000000" w:sz="4" w:space="0"/>
            </w:tcBorders>
            <w:shd w:val="clear" w:color="auto" w:fill="auto"/>
            <w:vAlign w:val="center"/>
          </w:tcPr>
          <w:p>
            <w:pPr>
              <w:pStyle w:val="21"/>
              <w:snapToGrid w:val="0"/>
              <w:spacing w:before="38"/>
              <w:ind w:left="18"/>
              <w:jc w:val="center"/>
              <w:rPr>
                <w:sz w:val="21"/>
                <w:szCs w:val="21"/>
              </w:rPr>
            </w:pPr>
            <w:r>
              <w:rPr>
                <w:sz w:val="21"/>
              </w:rPr>
              <w:t>5</w:t>
            </w:r>
          </w:p>
        </w:tc>
        <w:tc>
          <w:tcPr>
            <w:tcW w:w="4620" w:type="dxa"/>
            <w:tcBorders>
              <w:top w:val="single" w:color="auto" w:sz="4" w:space="0"/>
              <w:left w:val="single" w:color="000000" w:sz="4" w:space="0"/>
              <w:bottom w:val="single" w:color="000000" w:sz="12" w:space="0"/>
              <w:right w:val="single" w:color="000000" w:sz="4" w:space="0"/>
            </w:tcBorders>
            <w:shd w:val="clear" w:color="auto" w:fill="auto"/>
            <w:vAlign w:val="center"/>
          </w:tcPr>
          <w:p>
            <w:pPr>
              <w:pStyle w:val="21"/>
              <w:snapToGrid w:val="0"/>
              <w:spacing w:line="264" w:lineRule="exact"/>
              <w:jc w:val="center"/>
              <w:rPr>
                <w:sz w:val="21"/>
                <w:szCs w:val="21"/>
              </w:rPr>
            </w:pPr>
            <w:r>
              <w:rPr>
                <w:spacing w:val="-6"/>
                <w:sz w:val="21"/>
                <w:szCs w:val="21"/>
              </w:rPr>
              <w:t>爆炸震动波及界外环境造成损失</w:t>
            </w:r>
          </w:p>
        </w:tc>
        <w:tc>
          <w:tcPr>
            <w:tcW w:w="1460" w:type="dxa"/>
            <w:tcBorders>
              <w:top w:val="single" w:color="auto" w:sz="4" w:space="0"/>
              <w:left w:val="single" w:color="000000" w:sz="4" w:space="0"/>
              <w:bottom w:val="single" w:color="000000" w:sz="12" w:space="0"/>
              <w:right w:val="single" w:color="000000" w:sz="4" w:space="0"/>
            </w:tcBorders>
            <w:shd w:val="clear" w:color="auto" w:fill="auto"/>
            <w:vAlign w:val="center"/>
          </w:tcPr>
          <w:p>
            <w:pPr>
              <w:pStyle w:val="21"/>
              <w:snapToGrid w:val="0"/>
              <w:spacing w:before="38"/>
              <w:ind w:left="1"/>
              <w:jc w:val="center"/>
              <w:rPr>
                <w:sz w:val="21"/>
                <w:szCs w:val="21"/>
              </w:rPr>
            </w:pPr>
            <w:r>
              <w:rPr>
                <w:sz w:val="21"/>
              </w:rPr>
              <w:t>3</w:t>
            </w:r>
          </w:p>
        </w:tc>
        <w:tc>
          <w:tcPr>
            <w:tcW w:w="1460" w:type="dxa"/>
            <w:tcBorders>
              <w:top w:val="single" w:color="auto" w:sz="4" w:space="0"/>
              <w:left w:val="single" w:color="000000" w:sz="4" w:space="0"/>
              <w:bottom w:val="single" w:color="000000" w:sz="12" w:space="0"/>
              <w:right w:val="nil"/>
            </w:tcBorders>
            <w:shd w:val="clear" w:color="auto" w:fill="auto"/>
            <w:vAlign w:val="center"/>
          </w:tcPr>
          <w:p>
            <w:pPr>
              <w:pStyle w:val="21"/>
              <w:snapToGrid w:val="0"/>
              <w:spacing w:before="38"/>
              <w:ind w:right="2"/>
              <w:jc w:val="center"/>
              <w:rPr>
                <w:sz w:val="21"/>
                <w:szCs w:val="21"/>
              </w:rPr>
            </w:pPr>
            <w:r>
              <w:rPr>
                <w:sz w:val="21"/>
              </w:rPr>
              <w:t>1</w:t>
            </w:r>
          </w:p>
        </w:tc>
      </w:tr>
    </w:tbl>
    <w:p>
      <w:pPr>
        <w:pStyle w:val="30"/>
        <w:ind w:firstLine="480"/>
      </w:pPr>
      <w:r>
        <w:rPr>
          <w:rFonts w:hint="eastAsia" w:ascii="宋体" w:hAnsi="宋体" w:cs="宋体"/>
        </w:rPr>
        <w:t>⑷</w:t>
      </w:r>
      <w:r>
        <w:t>最大可信事故及风险概率</w:t>
      </w:r>
    </w:p>
    <w:p>
      <w:pPr>
        <w:pStyle w:val="30"/>
        <w:ind w:firstLine="480"/>
        <w:rPr>
          <w:rFonts w:hint="eastAsia" w:ascii="宋体" w:hAnsi="宋体" w:eastAsia="宋体" w:cs="宋体"/>
          <w:color w:val="auto"/>
          <w:sz w:val="24"/>
          <w:szCs w:val="24"/>
        </w:rPr>
      </w:pPr>
      <w:r>
        <w:t>本项目的最大可信事故为：储存各种化学品物料的泄漏事故及引起的火灾爆炸事故，其环境风险概率为1×10</w:t>
      </w:r>
      <w:r>
        <w:rPr>
          <w:vertAlign w:val="superscript"/>
        </w:rPr>
        <w:t>-2</w:t>
      </w:r>
      <w:r>
        <w:t>～3.125×10</w:t>
      </w:r>
      <w:r>
        <w:rPr>
          <w:vertAlign w:val="superscript"/>
        </w:rPr>
        <w:t>-2</w:t>
      </w:r>
      <w:r>
        <w:t xml:space="preserve"> 次/年。</w:t>
      </w:r>
    </w:p>
    <w:p>
      <w:pPr>
        <w:pStyle w:val="4"/>
        <w:rPr>
          <w:rFonts w:hint="eastAsia"/>
        </w:rPr>
      </w:pPr>
      <w:bookmarkStart w:id="122" w:name="_Toc8288"/>
      <w:bookmarkStart w:id="123" w:name="_Toc432846624"/>
      <w:r>
        <w:rPr>
          <w:rFonts w:hint="eastAsia"/>
        </w:rPr>
        <w:t>4.2.</w:t>
      </w:r>
      <w:r>
        <w:rPr>
          <w:rFonts w:hint="eastAsia"/>
          <w:lang w:val="en-US" w:eastAsia="zh-CN"/>
        </w:rPr>
        <w:t>5</w:t>
      </w:r>
      <w:r>
        <w:rPr>
          <w:rFonts w:hint="eastAsia"/>
        </w:rPr>
        <w:t>泄漏事故引发的水污染源强</w:t>
      </w:r>
      <w:bookmarkEnd w:id="122"/>
      <w:bookmarkEnd w:id="123"/>
    </w:p>
    <w:p>
      <w:pPr>
        <w:pStyle w:val="30"/>
        <w:ind w:firstLine="480"/>
      </w:pPr>
      <w:r>
        <w:t>（1）罐区物料的泄露速率及泄漏量</w:t>
      </w:r>
    </w:p>
    <w:p>
      <w:pPr>
        <w:pStyle w:val="30"/>
        <w:ind w:firstLine="480"/>
      </w:pPr>
      <w:r>
        <w:t>液体泄漏速度QL用伯努利方程计算：</w:t>
      </w:r>
    </w:p>
    <w:p>
      <w:pPr>
        <w:pStyle w:val="30"/>
        <w:ind w:firstLine="480"/>
        <w:jc w:val="center"/>
      </w:pPr>
      <w:r>
        <w:rPr>
          <w:lang w:bidi="ar"/>
        </w:rPr>
        <w:fldChar w:fldCharType="begin"/>
      </w:r>
      <w:r>
        <w:rPr>
          <w:lang w:bidi="ar"/>
        </w:rPr>
        <w:instrText xml:space="preserve">INCLUDEPICTURE \d "C:\\Users\\Administrator\\AppData\\Roaming\\Tencent\\Users\\89231614\\QQ\\WinTemp\\RichOle\\NLHE%HXW94O[QJ0TW`084[Q.png" \* MERGEFORMATINET </w:instrText>
      </w:r>
      <w:r>
        <w:rPr>
          <w:lang w:bidi="ar"/>
        </w:rPr>
        <w:fldChar w:fldCharType="separate"/>
      </w:r>
      <w:r>
        <w:rPr>
          <w:lang w:bidi="ar"/>
        </w:rPr>
        <w:drawing>
          <wp:inline distT="0" distB="0" distL="114300" distR="114300">
            <wp:extent cx="2171700" cy="704850"/>
            <wp:effectExtent l="0" t="0" r="0" b="0"/>
            <wp:docPr id="20"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descr="IMG_256"/>
                    <pic:cNvPicPr>
                      <a:picLocks noChangeAspect="1"/>
                    </pic:cNvPicPr>
                  </pic:nvPicPr>
                  <pic:blipFill>
                    <a:blip r:embed="rId14"/>
                    <a:stretch>
                      <a:fillRect/>
                    </a:stretch>
                  </pic:blipFill>
                  <pic:spPr>
                    <a:xfrm>
                      <a:off x="0" y="0"/>
                      <a:ext cx="2171700" cy="704850"/>
                    </a:xfrm>
                    <a:prstGeom prst="rect">
                      <a:avLst/>
                    </a:prstGeom>
                    <a:noFill/>
                    <a:ln w="9525">
                      <a:noFill/>
                    </a:ln>
                  </pic:spPr>
                </pic:pic>
              </a:graphicData>
            </a:graphic>
          </wp:inline>
        </w:drawing>
      </w:r>
      <w:r>
        <w:rPr>
          <w:lang w:bidi="ar"/>
        </w:rPr>
        <w:fldChar w:fldCharType="end"/>
      </w:r>
    </w:p>
    <w:p>
      <w:pPr>
        <w:pStyle w:val="30"/>
        <w:ind w:firstLine="480"/>
        <w:rPr>
          <w:rFonts w:hint="eastAsia" w:ascii="宋体" w:hAnsi="宋体" w:eastAsia="宋体" w:cs="宋体"/>
        </w:rPr>
      </w:pPr>
      <w:r>
        <w:rPr>
          <w:rFonts w:hint="eastAsia" w:ascii="宋体" w:hAnsi="宋体" w:eastAsia="宋体" w:cs="宋体"/>
        </w:rPr>
        <w:t>式中：Q</w:t>
      </w:r>
      <w:r>
        <w:rPr>
          <w:rFonts w:hint="eastAsia" w:ascii="宋体" w:hAnsi="宋体" w:eastAsia="宋体" w:cs="宋体"/>
          <w:vertAlign w:val="subscript"/>
        </w:rPr>
        <w:t>L</w:t>
      </w:r>
      <w:r>
        <w:rPr>
          <w:rFonts w:hint="eastAsia" w:ascii="宋体" w:hAnsi="宋体" w:eastAsia="宋体" w:cs="宋体"/>
        </w:rPr>
        <w:t>——液体泄漏速度，kg/s；</w:t>
      </w:r>
    </w:p>
    <w:p>
      <w:pPr>
        <w:pStyle w:val="30"/>
        <w:ind w:firstLine="1200" w:firstLineChars="500"/>
        <w:rPr>
          <w:rFonts w:hint="eastAsia" w:ascii="宋体" w:hAnsi="宋体" w:eastAsia="宋体" w:cs="宋体"/>
        </w:rPr>
      </w:pPr>
      <w:r>
        <w:rPr>
          <w:rFonts w:hint="eastAsia" w:ascii="宋体" w:hAnsi="宋体" w:eastAsia="宋体" w:cs="宋体"/>
        </w:rPr>
        <w:t>C</w:t>
      </w:r>
      <w:r>
        <w:rPr>
          <w:rFonts w:hint="eastAsia" w:ascii="宋体" w:hAnsi="宋体" w:eastAsia="宋体" w:cs="宋体"/>
          <w:vertAlign w:val="subscript"/>
        </w:rPr>
        <w:t>d</w:t>
      </w:r>
      <w:r>
        <w:rPr>
          <w:rFonts w:hint="eastAsia" w:ascii="宋体" w:hAnsi="宋体" w:eastAsia="宋体" w:cs="宋体"/>
        </w:rPr>
        <w:t>——液体泄漏系数，此值常用0.6~0.64，取0.62；</w:t>
      </w:r>
    </w:p>
    <w:p>
      <w:pPr>
        <w:pStyle w:val="30"/>
        <w:ind w:firstLine="1200" w:firstLineChars="500"/>
        <w:rPr>
          <w:rFonts w:hint="eastAsia" w:ascii="宋体" w:hAnsi="宋体" w:eastAsia="宋体" w:cs="宋体"/>
        </w:rPr>
      </w:pPr>
      <w:r>
        <w:rPr>
          <w:rFonts w:hint="eastAsia" w:ascii="宋体" w:hAnsi="宋体" w:eastAsia="宋体" w:cs="宋体"/>
        </w:rPr>
        <w:t>A——裂口面积，m</w:t>
      </w:r>
      <w:r>
        <w:rPr>
          <w:rFonts w:hint="eastAsia" w:ascii="宋体" w:hAnsi="宋体" w:eastAsia="宋体" w:cs="宋体"/>
          <w:vertAlign w:val="superscript"/>
        </w:rPr>
        <w:t>2</w:t>
      </w:r>
      <w:r>
        <w:rPr>
          <w:rFonts w:hint="eastAsia" w:ascii="宋体" w:hAnsi="宋体" w:eastAsia="宋体" w:cs="宋体"/>
        </w:rPr>
        <w:t>；</w:t>
      </w:r>
    </w:p>
    <w:p>
      <w:pPr>
        <w:pStyle w:val="30"/>
        <w:ind w:firstLine="1200" w:firstLineChars="500"/>
        <w:rPr>
          <w:rFonts w:hint="eastAsia" w:ascii="宋体" w:hAnsi="宋体" w:eastAsia="宋体" w:cs="宋体"/>
        </w:rPr>
      </w:pPr>
      <w:r>
        <w:rPr>
          <w:rFonts w:hint="eastAsia" w:ascii="宋体" w:hAnsi="宋体" w:eastAsia="宋体" w:cs="宋体"/>
        </w:rPr>
        <w:t>P——容器内介质压力，Pa；</w:t>
      </w:r>
    </w:p>
    <w:p>
      <w:pPr>
        <w:pStyle w:val="30"/>
        <w:ind w:firstLine="1200" w:firstLineChars="500"/>
        <w:rPr>
          <w:rFonts w:hint="eastAsia" w:ascii="宋体" w:hAnsi="宋体" w:eastAsia="宋体" w:cs="宋体"/>
        </w:rPr>
      </w:pPr>
      <w:r>
        <w:rPr>
          <w:rFonts w:hint="eastAsia" w:ascii="宋体" w:hAnsi="宋体" w:eastAsia="宋体" w:cs="宋体"/>
        </w:rPr>
        <w:t>P</w:t>
      </w:r>
      <w:r>
        <w:rPr>
          <w:rFonts w:hint="eastAsia" w:ascii="宋体" w:hAnsi="宋体" w:eastAsia="宋体" w:cs="宋体"/>
          <w:vertAlign w:val="subscript"/>
        </w:rPr>
        <w:t>0</w:t>
      </w:r>
      <w:r>
        <w:rPr>
          <w:rFonts w:hint="eastAsia" w:ascii="宋体" w:hAnsi="宋体" w:eastAsia="宋体" w:cs="宋体"/>
        </w:rPr>
        <w:t>——环境压力，Pa；</w:t>
      </w:r>
    </w:p>
    <w:p>
      <w:pPr>
        <w:pStyle w:val="30"/>
        <w:ind w:firstLine="1200" w:firstLineChars="500"/>
        <w:rPr>
          <w:rFonts w:hint="eastAsia" w:ascii="宋体" w:hAnsi="宋体" w:eastAsia="宋体" w:cs="宋体"/>
        </w:rPr>
      </w:pPr>
      <w:r>
        <w:rPr>
          <w:rFonts w:hint="eastAsia" w:ascii="宋体" w:hAnsi="宋体" w:eastAsia="宋体" w:cs="宋体"/>
        </w:rPr>
        <w:t>g——重力加速度；</w:t>
      </w:r>
    </w:p>
    <w:p>
      <w:pPr>
        <w:pStyle w:val="30"/>
        <w:ind w:firstLine="1200" w:firstLineChars="500"/>
        <w:rPr>
          <w:rFonts w:hint="eastAsia" w:ascii="宋体" w:hAnsi="宋体" w:eastAsia="宋体" w:cs="宋体"/>
        </w:rPr>
      </w:pPr>
      <w:r>
        <w:rPr>
          <w:rFonts w:hint="eastAsia" w:ascii="宋体" w:hAnsi="宋体" w:eastAsia="宋体" w:cs="宋体"/>
        </w:rPr>
        <w:t>h——裂口之上液位高度，m；</w:t>
      </w:r>
    </w:p>
    <w:p>
      <w:pPr>
        <w:pStyle w:val="30"/>
        <w:ind w:firstLine="480"/>
        <w:rPr>
          <w:rFonts w:hint="eastAsia"/>
        </w:rPr>
      </w:pPr>
      <w:r>
        <w:rPr>
          <w:rFonts w:hint="eastAsia"/>
          <w:lang w:eastAsia="zh-CN"/>
        </w:rPr>
        <w:t>硫氢化钠</w:t>
      </w:r>
      <w:r>
        <w:t>的储存方式为</w:t>
      </w:r>
      <w:r>
        <w:rPr>
          <w:rFonts w:hint="eastAsia"/>
          <w:lang w:eastAsia="zh-CN"/>
        </w:rPr>
        <w:t>储罐</w:t>
      </w:r>
      <w:r>
        <w:t>装</w:t>
      </w:r>
      <w:r>
        <w:rPr>
          <w:rFonts w:hint="eastAsia"/>
        </w:rPr>
        <w:t>，裂口有效面积去0</w:t>
      </w:r>
      <w:r>
        <w:t>.</w:t>
      </w:r>
      <w:r>
        <w:rPr>
          <w:rFonts w:hint="eastAsia"/>
        </w:rPr>
        <w:t>007</w:t>
      </w:r>
      <w:r>
        <w:t>1㎡</w:t>
      </w:r>
      <w:r>
        <w:rPr>
          <w:rFonts w:hint="eastAsia"/>
        </w:rPr>
        <w:t>，</w:t>
      </w:r>
      <w:r>
        <w:t>h取</w:t>
      </w:r>
      <w:r>
        <w:rPr>
          <w:rFonts w:hint="eastAsia"/>
          <w:lang w:val="en-US" w:eastAsia="zh-CN"/>
        </w:rPr>
        <w:t>5</w:t>
      </w:r>
      <w:r>
        <w:rPr>
          <w:rFonts w:hint="eastAsia"/>
        </w:rPr>
        <w:t>m，则泄露速率为 0.48180841856489 kg/s，泄漏时间持续30min，故</w:t>
      </w:r>
      <w:r>
        <w:rPr>
          <w:rFonts w:hint="eastAsia"/>
          <w:lang w:eastAsia="zh-CN"/>
        </w:rPr>
        <w:t>硫氢化钠</w:t>
      </w:r>
      <w:r>
        <w:rPr>
          <w:rFonts w:hint="eastAsia"/>
        </w:rPr>
        <w:t>总的泄漏量为</w:t>
      </w:r>
      <w:r>
        <w:rPr>
          <w:rFonts w:hint="eastAsia"/>
          <w:lang w:val="en-US" w:eastAsia="zh-CN"/>
        </w:rPr>
        <w:t>867.25</w:t>
      </w:r>
      <w:r>
        <w:rPr>
          <w:rFonts w:hint="eastAsia"/>
        </w:rPr>
        <w:t>kg。</w:t>
      </w:r>
    </w:p>
    <w:p>
      <w:pPr>
        <w:pStyle w:val="4"/>
        <w:rPr>
          <w:rFonts w:hint="eastAsia"/>
        </w:rPr>
      </w:pPr>
      <w:bookmarkStart w:id="124" w:name="_Toc17905"/>
      <w:bookmarkStart w:id="125" w:name="_Toc432846626"/>
      <w:r>
        <w:rPr>
          <w:rFonts w:hint="eastAsia"/>
        </w:rPr>
        <w:t>4.2.</w:t>
      </w:r>
      <w:r>
        <w:rPr>
          <w:rFonts w:hint="eastAsia"/>
          <w:lang w:val="en-US" w:eastAsia="zh-CN"/>
        </w:rPr>
        <w:t>6</w:t>
      </w:r>
      <w:r>
        <w:rPr>
          <w:rFonts w:hint="eastAsia"/>
        </w:rPr>
        <w:t>污染治理设施异常的源强分析</w:t>
      </w:r>
      <w:bookmarkEnd w:id="124"/>
      <w:bookmarkEnd w:id="125"/>
    </w:p>
    <w:p>
      <w:pPr>
        <w:rPr>
          <w:rFonts w:hint="eastAsia"/>
        </w:rPr>
      </w:pPr>
      <w:r>
        <w:rPr>
          <w:rFonts w:hint="eastAsia"/>
        </w:rPr>
        <w:t>本项目污染治理设施主要为焚烧尾气治理措施，废气治理设施运行异常的最坏情景是：焚烧废气未经处理直接排放，事故源强如下表，事故排放历时按30min计。</w:t>
      </w:r>
    </w:p>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表4.2-</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废气排放污染源强</w:t>
      </w:r>
    </w:p>
    <w:tbl>
      <w:tblPr>
        <w:tblStyle w:val="17"/>
        <w:tblW w:w="9120"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023"/>
        <w:gridCol w:w="1847"/>
        <w:gridCol w:w="1897"/>
        <w:gridCol w:w="1679"/>
        <w:gridCol w:w="167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30" w:hRule="atLeast"/>
        </w:trPr>
        <w:tc>
          <w:tcPr>
            <w:tcW w:w="2023" w:type="dxa"/>
            <w:vMerge w:val="restart"/>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废气来源</w:t>
            </w:r>
          </w:p>
        </w:tc>
        <w:tc>
          <w:tcPr>
            <w:tcW w:w="1847" w:type="dxa"/>
            <w:vMerge w:val="restart"/>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污染因子</w:t>
            </w:r>
          </w:p>
        </w:tc>
        <w:tc>
          <w:tcPr>
            <w:tcW w:w="1897"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排放量</w:t>
            </w:r>
          </w:p>
        </w:tc>
        <w:tc>
          <w:tcPr>
            <w:tcW w:w="3353" w:type="dxa"/>
            <w:gridSpan w:val="2"/>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排放浓度（mg/</w:t>
            </w:r>
            <w:r>
              <w:rPr>
                <w:rFonts w:hint="eastAsia"/>
                <w:color w:val="000000" w:themeColor="text1"/>
                <w:lang w:val="en-US" w:eastAsia="zh-CN"/>
                <w14:textFill>
                  <w14:solidFill>
                    <w14:schemeClr w14:val="tx1"/>
                  </w14:solidFill>
                </w14:textFill>
              </w:rPr>
              <w:t>N</w:t>
            </w:r>
            <w:r>
              <w:rPr>
                <w:rFonts w:hint="eastAsia"/>
                <w:color w:val="000000" w:themeColor="text1"/>
                <w14:textFill>
                  <w14:solidFill>
                    <w14:schemeClr w14:val="tx1"/>
                  </w14:solidFill>
                </w14:textFill>
              </w:rPr>
              <w:t>m3）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2023" w:type="dxa"/>
            <w:vMerge w:val="continue"/>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000000" w:themeColor="text1"/>
                <w14:textFill>
                  <w14:solidFill>
                    <w14:schemeClr w14:val="tx1"/>
                  </w14:solidFill>
                </w14:textFill>
              </w:rPr>
            </w:pPr>
          </w:p>
        </w:tc>
        <w:tc>
          <w:tcPr>
            <w:tcW w:w="1847" w:type="dxa"/>
            <w:vMerge w:val="continue"/>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000000" w:themeColor="text1"/>
                <w14:textFill>
                  <w14:solidFill>
                    <w14:schemeClr w14:val="tx1"/>
                  </w14:solidFill>
                </w14:textFill>
              </w:rPr>
            </w:pPr>
          </w:p>
        </w:tc>
        <w:tc>
          <w:tcPr>
            <w:tcW w:w="1897"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t/a</w:t>
            </w:r>
          </w:p>
        </w:tc>
        <w:tc>
          <w:tcPr>
            <w:tcW w:w="1679"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leftChars="0" w:firstLine="0" w:firstLineChars="0"/>
              <w:textAlignment w:val="auto"/>
              <w:outlineLvl w:val="9"/>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排放值</w:t>
            </w:r>
          </w:p>
        </w:tc>
        <w:tc>
          <w:tcPr>
            <w:tcW w:w="1674"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leftChars="0" w:firstLine="0" w:firstLineChars="0"/>
              <w:textAlignment w:val="auto"/>
              <w:outlineLvl w:val="9"/>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标准值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2023" w:type="dxa"/>
            <w:vMerge w:val="restart"/>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锅炉</w:t>
            </w:r>
          </w:p>
        </w:tc>
        <w:tc>
          <w:tcPr>
            <w:tcW w:w="1847"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烟尘</w:t>
            </w:r>
          </w:p>
        </w:tc>
        <w:tc>
          <w:tcPr>
            <w:tcW w:w="1897"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93.6</w:t>
            </w:r>
          </w:p>
        </w:tc>
        <w:tc>
          <w:tcPr>
            <w:tcW w:w="1679"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leftChars="0" w:firstLine="0" w:firstLineChars="0"/>
              <w:textAlignment w:val="auto"/>
              <w:outlineLvl w:val="9"/>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1800</w:t>
            </w:r>
          </w:p>
        </w:tc>
        <w:tc>
          <w:tcPr>
            <w:tcW w:w="1674"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76" w:hRule="atLeast"/>
        </w:trPr>
        <w:tc>
          <w:tcPr>
            <w:tcW w:w="2023" w:type="dxa"/>
            <w:vMerge w:val="continue"/>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color w:val="000000" w:themeColor="text1"/>
                <w14:textFill>
                  <w14:solidFill>
                    <w14:schemeClr w14:val="tx1"/>
                  </w14:solidFill>
                </w14:textFill>
              </w:rPr>
            </w:pPr>
          </w:p>
        </w:tc>
        <w:tc>
          <w:tcPr>
            <w:tcW w:w="1847"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SO2</w:t>
            </w:r>
          </w:p>
        </w:tc>
        <w:tc>
          <w:tcPr>
            <w:tcW w:w="1897"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75.6</w:t>
            </w:r>
          </w:p>
        </w:tc>
        <w:tc>
          <w:tcPr>
            <w:tcW w:w="1679"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1460</w:t>
            </w:r>
          </w:p>
        </w:tc>
        <w:tc>
          <w:tcPr>
            <w:tcW w:w="1674"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332" w:hRule="atLeast"/>
        </w:trPr>
        <w:tc>
          <w:tcPr>
            <w:tcW w:w="2023"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生产车间</w:t>
            </w:r>
          </w:p>
        </w:tc>
        <w:tc>
          <w:tcPr>
            <w:tcW w:w="1847"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硫化氢</w:t>
            </w:r>
          </w:p>
        </w:tc>
        <w:tc>
          <w:tcPr>
            <w:tcW w:w="1897"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少量</w:t>
            </w:r>
          </w:p>
        </w:tc>
        <w:tc>
          <w:tcPr>
            <w:tcW w:w="1679"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少量</w:t>
            </w:r>
          </w:p>
        </w:tc>
        <w:tc>
          <w:tcPr>
            <w:tcW w:w="1674" w:type="dxa"/>
            <w:shd w:val="clear" w:color="auto" w:fill="auto"/>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无组织排放厂界浓度</w:t>
            </w:r>
          </w:p>
        </w:tc>
      </w:tr>
    </w:tbl>
    <w:p>
      <w:pPr>
        <w:autoSpaceDE w:val="0"/>
        <w:autoSpaceDN w:val="0"/>
        <w:adjustRightInd w:val="0"/>
        <w:spacing w:line="360" w:lineRule="auto"/>
        <w:ind w:firstLine="420" w:firstLineChars="150"/>
        <w:jc w:val="left"/>
        <w:rPr>
          <w:rFonts w:hint="eastAsia" w:ascii="仿宋_GB2312" w:hAnsi="GB Pinyinok-A" w:eastAsia="仿宋_GB2312" w:cs="GB Pinyinok-A"/>
          <w:color w:val="000000"/>
          <w:kern w:val="0"/>
          <w:sz w:val="28"/>
          <w:szCs w:val="28"/>
        </w:rPr>
      </w:pPr>
    </w:p>
    <w:p>
      <w:pPr>
        <w:rPr>
          <w:rFonts w:hint="eastAsia"/>
        </w:rPr>
      </w:pPr>
      <w:r>
        <w:rPr>
          <w:rFonts w:hint="eastAsia"/>
        </w:rPr>
        <w:t>废水治理设施运行异常的最坏情景是：废水严重超标情况下排入</w:t>
      </w:r>
      <w:r>
        <w:rPr>
          <w:rFonts w:hint="eastAsia"/>
          <w:lang w:eastAsia="zh-CN"/>
        </w:rPr>
        <w:t>园区</w:t>
      </w:r>
      <w:r>
        <w:rPr>
          <w:rFonts w:hint="eastAsia"/>
        </w:rPr>
        <w:t>污水处理厂，排放量</w:t>
      </w:r>
      <w:r>
        <w:rPr>
          <w:rFonts w:hint="eastAsia"/>
          <w:lang w:val="en-US" w:eastAsia="zh-CN"/>
        </w:rPr>
        <w:t>110</w:t>
      </w:r>
      <w:r>
        <w:rPr>
          <w:rFonts w:hint="eastAsia"/>
        </w:rPr>
        <w:t>m3/d。</w:t>
      </w:r>
    </w:p>
    <w:p>
      <w:pPr>
        <w:rPr>
          <w:rFonts w:hint="eastAsia"/>
          <w:color w:val="000000" w:themeColor="text1"/>
          <w14:textFill>
            <w14:solidFill>
              <w14:schemeClr w14:val="tx1"/>
            </w14:solidFill>
          </w14:textFill>
        </w:rPr>
      </w:pPr>
    </w:p>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表4.2-</w:t>
      </w:r>
      <w:r>
        <w:rPr>
          <w:rFonts w:hint="eastAsia"/>
          <w:color w:val="000000" w:themeColor="text1"/>
          <w:lang w:val="en-US" w:eastAsia="zh-CN"/>
          <w14:textFill>
            <w14:solidFill>
              <w14:schemeClr w14:val="tx1"/>
            </w14:solidFill>
          </w14:textFill>
        </w:rPr>
        <w:t>7</w:t>
      </w:r>
      <w:r>
        <w:rPr>
          <w:rFonts w:hint="eastAsia"/>
          <w:color w:val="000000" w:themeColor="text1"/>
          <w14:textFill>
            <w14:solidFill>
              <w14:schemeClr w14:val="tx1"/>
            </w14:solidFill>
          </w14:textFill>
        </w:rPr>
        <w:t>废</w:t>
      </w:r>
      <w:r>
        <w:rPr>
          <w:rFonts w:hint="eastAsia"/>
          <w:color w:val="000000" w:themeColor="text1"/>
          <w:lang w:eastAsia="zh-CN"/>
          <w14:textFill>
            <w14:solidFill>
              <w14:schemeClr w14:val="tx1"/>
            </w14:solidFill>
          </w14:textFill>
        </w:rPr>
        <w:t>水</w:t>
      </w:r>
      <w:r>
        <w:rPr>
          <w:rFonts w:hint="eastAsia"/>
          <w:color w:val="000000" w:themeColor="text1"/>
          <w14:textFill>
            <w14:solidFill>
              <w14:schemeClr w14:val="tx1"/>
            </w14:solidFill>
          </w14:textFill>
        </w:rPr>
        <w:t>排放污染源强</w:t>
      </w:r>
    </w:p>
    <w:tbl>
      <w:tblPr>
        <w:tblStyle w:val="17"/>
        <w:tblW w:w="9120"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023"/>
        <w:gridCol w:w="1847"/>
        <w:gridCol w:w="1897"/>
        <w:gridCol w:w="1679"/>
        <w:gridCol w:w="167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930" w:hRule="atLeast"/>
        </w:trPr>
        <w:tc>
          <w:tcPr>
            <w:tcW w:w="2023" w:type="dxa"/>
            <w:vMerge w:val="restart"/>
            <w:shd w:val="clear" w:color="auto" w:fill="auto"/>
            <w:vAlign w:val="center"/>
          </w:tcPr>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废</w:t>
            </w:r>
            <w:r>
              <w:rPr>
                <w:rFonts w:hint="eastAsia"/>
                <w:color w:val="000000" w:themeColor="text1"/>
                <w:lang w:eastAsia="zh-CN"/>
                <w14:textFill>
                  <w14:solidFill>
                    <w14:schemeClr w14:val="tx1"/>
                  </w14:solidFill>
                </w14:textFill>
              </w:rPr>
              <w:t>水</w:t>
            </w:r>
            <w:r>
              <w:rPr>
                <w:rFonts w:hint="eastAsia"/>
                <w:color w:val="000000" w:themeColor="text1"/>
                <w14:textFill>
                  <w14:solidFill>
                    <w14:schemeClr w14:val="tx1"/>
                  </w14:solidFill>
                </w14:textFill>
              </w:rPr>
              <w:t>来源</w:t>
            </w:r>
          </w:p>
        </w:tc>
        <w:tc>
          <w:tcPr>
            <w:tcW w:w="1847" w:type="dxa"/>
            <w:vMerge w:val="restart"/>
            <w:shd w:val="clear" w:color="auto" w:fill="auto"/>
            <w:vAlign w:val="center"/>
          </w:tcPr>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污染因子</w:t>
            </w:r>
          </w:p>
        </w:tc>
        <w:tc>
          <w:tcPr>
            <w:tcW w:w="1897" w:type="dxa"/>
            <w:shd w:val="clear" w:color="auto" w:fill="auto"/>
            <w:vAlign w:val="center"/>
          </w:tcPr>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排放量</w:t>
            </w:r>
          </w:p>
        </w:tc>
        <w:tc>
          <w:tcPr>
            <w:tcW w:w="3353" w:type="dxa"/>
            <w:gridSpan w:val="2"/>
            <w:shd w:val="clear" w:color="auto" w:fill="auto"/>
            <w:vAlign w:val="center"/>
          </w:tcPr>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排放浓度（mg/</w:t>
            </w:r>
            <w:r>
              <w:rPr>
                <w:rFonts w:hint="eastAsia"/>
                <w:color w:val="000000" w:themeColor="text1"/>
                <w:lang w:val="en-US" w:eastAsia="zh-CN"/>
                <w14:textFill>
                  <w14:solidFill>
                    <w14:schemeClr w14:val="tx1"/>
                  </w14:solidFill>
                </w14:textFill>
              </w:rPr>
              <w:t>L</w:t>
            </w:r>
            <w:r>
              <w:rPr>
                <w:rFonts w:hint="eastAsia"/>
                <w:color w:val="000000" w:themeColor="text1"/>
                <w14:textFill>
                  <w14:solidFill>
                    <w14:schemeClr w14:val="tx1"/>
                  </w14:solidFill>
                </w14:textFill>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2023" w:type="dxa"/>
            <w:vMerge w:val="continue"/>
            <w:shd w:val="clear" w:color="auto" w:fill="auto"/>
            <w:vAlign w:val="center"/>
          </w:tcPr>
          <w:p>
            <w:pPr>
              <w:rPr>
                <w:rFonts w:hint="eastAsia"/>
                <w:color w:val="000000" w:themeColor="text1"/>
                <w14:textFill>
                  <w14:solidFill>
                    <w14:schemeClr w14:val="tx1"/>
                  </w14:solidFill>
                </w14:textFill>
              </w:rPr>
            </w:pPr>
          </w:p>
        </w:tc>
        <w:tc>
          <w:tcPr>
            <w:tcW w:w="1847" w:type="dxa"/>
            <w:vMerge w:val="continue"/>
            <w:shd w:val="clear" w:color="auto" w:fill="auto"/>
            <w:vAlign w:val="center"/>
          </w:tcPr>
          <w:p>
            <w:pPr>
              <w:rPr>
                <w:rFonts w:hint="eastAsia"/>
                <w:color w:val="000000" w:themeColor="text1"/>
                <w14:textFill>
                  <w14:solidFill>
                    <w14:schemeClr w14:val="tx1"/>
                  </w14:solidFill>
                </w14:textFill>
              </w:rPr>
            </w:pPr>
          </w:p>
        </w:tc>
        <w:tc>
          <w:tcPr>
            <w:tcW w:w="1897" w:type="dxa"/>
            <w:shd w:val="clear" w:color="auto" w:fill="auto"/>
            <w:vAlign w:val="center"/>
          </w:tcPr>
          <w:p>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t/a</w:t>
            </w:r>
          </w:p>
        </w:tc>
        <w:tc>
          <w:tcPr>
            <w:tcW w:w="1679" w:type="dxa"/>
            <w:shd w:val="clear" w:color="auto" w:fill="auto"/>
            <w:vAlign w:val="center"/>
          </w:tcPr>
          <w:p>
            <w:pPr>
              <w:ind w:left="0" w:leftChars="0" w:firstLine="0" w:firstLineChars="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排放值</w:t>
            </w:r>
          </w:p>
        </w:tc>
        <w:tc>
          <w:tcPr>
            <w:tcW w:w="1674" w:type="dxa"/>
            <w:shd w:val="clear" w:color="auto" w:fill="auto"/>
            <w:vAlign w:val="center"/>
          </w:tcPr>
          <w:p>
            <w:pPr>
              <w:ind w:left="0" w:leftChars="0" w:firstLine="0" w:firstLineChars="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标准值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2023" w:type="dxa"/>
            <w:vMerge w:val="restart"/>
            <w:shd w:val="clear" w:color="auto" w:fill="auto"/>
            <w:vAlign w:val="center"/>
          </w:tcPr>
          <w:p>
            <w:pPr>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生活污水</w:t>
            </w:r>
          </w:p>
        </w:tc>
        <w:tc>
          <w:tcPr>
            <w:tcW w:w="1847" w:type="dxa"/>
            <w:shd w:val="clear" w:color="auto" w:fill="auto"/>
            <w:vAlign w:val="center"/>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CODcr</w:t>
            </w:r>
          </w:p>
        </w:tc>
        <w:tc>
          <w:tcPr>
            <w:tcW w:w="1897" w:type="dxa"/>
            <w:shd w:val="clear" w:color="auto" w:fill="auto"/>
            <w:vAlign w:val="center"/>
          </w:tcPr>
          <w:p>
            <w:pP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0.34</w:t>
            </w:r>
          </w:p>
        </w:tc>
        <w:tc>
          <w:tcPr>
            <w:tcW w:w="1679" w:type="dxa"/>
            <w:shd w:val="clear" w:color="auto" w:fill="auto"/>
            <w:vAlign w:val="center"/>
          </w:tcPr>
          <w:p>
            <w:pPr>
              <w:ind w:left="0" w:leftChars="0" w:firstLine="48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280</w:t>
            </w:r>
          </w:p>
        </w:tc>
        <w:tc>
          <w:tcPr>
            <w:tcW w:w="1674" w:type="dxa"/>
            <w:shd w:val="clear" w:color="auto" w:fill="auto"/>
            <w:vAlign w:val="center"/>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2023" w:type="dxa"/>
            <w:vMerge w:val="continue"/>
            <w:shd w:val="clear" w:color="auto" w:fill="auto"/>
            <w:vAlign w:val="center"/>
          </w:tcPr>
          <w:p>
            <w:pPr>
              <w:rPr>
                <w:color w:val="000000" w:themeColor="text1"/>
                <w14:textFill>
                  <w14:solidFill>
                    <w14:schemeClr w14:val="tx1"/>
                  </w14:solidFill>
                </w14:textFill>
              </w:rPr>
            </w:pPr>
          </w:p>
        </w:tc>
        <w:tc>
          <w:tcPr>
            <w:tcW w:w="1847" w:type="dxa"/>
            <w:shd w:val="clear" w:color="auto" w:fill="auto"/>
            <w:vAlign w:val="center"/>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BOD5</w:t>
            </w:r>
          </w:p>
        </w:tc>
        <w:tc>
          <w:tcPr>
            <w:tcW w:w="1897" w:type="dxa"/>
            <w:shd w:val="clear" w:color="auto" w:fill="auto"/>
            <w:vAlign w:val="center"/>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0.19</w:t>
            </w:r>
          </w:p>
        </w:tc>
        <w:tc>
          <w:tcPr>
            <w:tcW w:w="1679" w:type="dxa"/>
            <w:shd w:val="clear" w:color="auto" w:fill="auto"/>
            <w:vAlign w:val="center"/>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160</w:t>
            </w:r>
          </w:p>
        </w:tc>
        <w:tc>
          <w:tcPr>
            <w:tcW w:w="1674" w:type="dxa"/>
            <w:shd w:val="clear" w:color="auto" w:fill="auto"/>
            <w:vAlign w:val="center"/>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2023" w:type="dxa"/>
            <w:vMerge w:val="continue"/>
            <w:shd w:val="clear" w:color="auto" w:fill="auto"/>
            <w:vAlign w:val="center"/>
          </w:tcPr>
          <w:p/>
        </w:tc>
        <w:tc>
          <w:tcPr>
            <w:tcW w:w="1847" w:type="dxa"/>
            <w:shd w:val="clear" w:color="auto" w:fill="auto"/>
            <w:vAlign w:val="center"/>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NH3-N</w:t>
            </w:r>
          </w:p>
        </w:tc>
        <w:tc>
          <w:tcPr>
            <w:tcW w:w="1897" w:type="dxa"/>
            <w:shd w:val="clear" w:color="auto" w:fill="auto"/>
            <w:vAlign w:val="center"/>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0.4</w:t>
            </w:r>
          </w:p>
        </w:tc>
        <w:tc>
          <w:tcPr>
            <w:tcW w:w="1679" w:type="dxa"/>
            <w:shd w:val="clear" w:color="auto" w:fill="auto"/>
            <w:vAlign w:val="center"/>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35</w:t>
            </w:r>
          </w:p>
        </w:tc>
        <w:tc>
          <w:tcPr>
            <w:tcW w:w="1674" w:type="dxa"/>
            <w:shd w:val="clear" w:color="auto" w:fill="auto"/>
            <w:vAlign w:val="center"/>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2023" w:type="dxa"/>
            <w:vMerge w:val="restart"/>
            <w:shd w:val="clear" w:color="auto" w:fill="auto"/>
            <w:vAlign w:val="center"/>
          </w:tcPr>
          <w:p>
            <w:pPr>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工艺废水</w:t>
            </w:r>
          </w:p>
        </w:tc>
        <w:tc>
          <w:tcPr>
            <w:tcW w:w="1847" w:type="dxa"/>
            <w:shd w:val="clear" w:color="auto" w:fill="auto"/>
            <w:vAlign w:val="center"/>
          </w:tcPr>
          <w:p>
            <w:pPr>
              <w:ind w:left="0" w:leftChars="0" w:right="0" w:rightChars="0" w:firstLine="48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CODcr</w:t>
            </w:r>
          </w:p>
        </w:tc>
        <w:tc>
          <w:tcPr>
            <w:tcW w:w="1897" w:type="dxa"/>
            <w:shd w:val="clear" w:color="auto" w:fill="auto"/>
            <w:vAlign w:val="center"/>
          </w:tcPr>
          <w:p>
            <w:pP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1.8</w:t>
            </w:r>
          </w:p>
        </w:tc>
        <w:tc>
          <w:tcPr>
            <w:tcW w:w="1679" w:type="dxa"/>
            <w:shd w:val="clear" w:color="auto" w:fill="auto"/>
            <w:vAlign w:val="center"/>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196.2</w:t>
            </w:r>
          </w:p>
        </w:tc>
        <w:tc>
          <w:tcPr>
            <w:tcW w:w="1674" w:type="dxa"/>
            <w:shd w:val="clear" w:color="auto" w:fill="auto"/>
            <w:vAlign w:val="center"/>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2023" w:type="dxa"/>
            <w:vMerge w:val="continue"/>
            <w:shd w:val="clear" w:color="auto" w:fill="auto"/>
            <w:vAlign w:val="center"/>
          </w:tcPr>
          <w:p/>
        </w:tc>
        <w:tc>
          <w:tcPr>
            <w:tcW w:w="1847" w:type="dxa"/>
            <w:shd w:val="clear" w:color="auto" w:fill="auto"/>
            <w:vAlign w:val="center"/>
          </w:tcPr>
          <w:p>
            <w:pPr>
              <w:ind w:left="0" w:leftChars="0" w:right="0" w:rightChars="0" w:firstLine="48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BOD5</w:t>
            </w:r>
          </w:p>
        </w:tc>
        <w:tc>
          <w:tcPr>
            <w:tcW w:w="1897" w:type="dxa"/>
            <w:shd w:val="clear" w:color="auto" w:fill="auto"/>
            <w:vAlign w:val="center"/>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8.5</w:t>
            </w:r>
          </w:p>
        </w:tc>
        <w:tc>
          <w:tcPr>
            <w:tcW w:w="1679" w:type="dxa"/>
            <w:shd w:val="clear" w:color="auto" w:fill="auto"/>
            <w:vAlign w:val="center"/>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94.4</w:t>
            </w:r>
          </w:p>
        </w:tc>
        <w:tc>
          <w:tcPr>
            <w:tcW w:w="1674" w:type="dxa"/>
            <w:shd w:val="clear" w:color="auto" w:fill="auto"/>
            <w:vAlign w:val="center"/>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2023" w:type="dxa"/>
            <w:vMerge w:val="continue"/>
            <w:shd w:val="clear" w:color="auto" w:fill="auto"/>
            <w:vAlign w:val="center"/>
          </w:tcPr>
          <w:p>
            <w:pPr>
              <w:rPr>
                <w:rFonts w:hint="eastAsia"/>
                <w:color w:val="000000" w:themeColor="text1"/>
                <w:lang w:val="en-US" w:eastAsia="zh-CN"/>
                <w14:textFill>
                  <w14:solidFill>
                    <w14:schemeClr w14:val="tx1"/>
                  </w14:solidFill>
                </w14:textFill>
              </w:rPr>
            </w:pPr>
          </w:p>
        </w:tc>
        <w:tc>
          <w:tcPr>
            <w:tcW w:w="1847" w:type="dxa"/>
            <w:shd w:val="clear" w:color="auto" w:fill="auto"/>
            <w:vAlign w:val="center"/>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SS</w:t>
            </w:r>
          </w:p>
        </w:tc>
        <w:tc>
          <w:tcPr>
            <w:tcW w:w="1897" w:type="dxa"/>
            <w:shd w:val="clear" w:color="auto" w:fill="auto"/>
            <w:vAlign w:val="center"/>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0.14</w:t>
            </w:r>
          </w:p>
        </w:tc>
        <w:tc>
          <w:tcPr>
            <w:tcW w:w="1679" w:type="dxa"/>
            <w:shd w:val="clear" w:color="auto" w:fill="auto"/>
            <w:vAlign w:val="center"/>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15.3</w:t>
            </w:r>
          </w:p>
        </w:tc>
        <w:tc>
          <w:tcPr>
            <w:tcW w:w="1674" w:type="dxa"/>
            <w:shd w:val="clear" w:color="auto" w:fill="auto"/>
            <w:vAlign w:val="center"/>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80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2023" w:type="dxa"/>
            <w:vMerge w:val="continue"/>
            <w:shd w:val="clear" w:color="auto" w:fill="auto"/>
            <w:vAlign w:val="center"/>
          </w:tcPr>
          <w:p>
            <w:pPr>
              <w:rPr>
                <w:rFonts w:hint="eastAsia"/>
                <w:color w:val="000000" w:themeColor="text1"/>
                <w:lang w:val="en-US" w:eastAsia="zh-CN"/>
                <w14:textFill>
                  <w14:solidFill>
                    <w14:schemeClr w14:val="tx1"/>
                  </w14:solidFill>
                </w14:textFill>
              </w:rPr>
            </w:pPr>
          </w:p>
        </w:tc>
        <w:tc>
          <w:tcPr>
            <w:tcW w:w="1847" w:type="dxa"/>
            <w:shd w:val="clear" w:color="auto" w:fill="auto"/>
            <w:vAlign w:val="center"/>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硫化物</w:t>
            </w:r>
          </w:p>
        </w:tc>
        <w:tc>
          <w:tcPr>
            <w:tcW w:w="1897" w:type="dxa"/>
            <w:shd w:val="clear" w:color="auto" w:fill="auto"/>
            <w:vAlign w:val="center"/>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1.5</w:t>
            </w:r>
          </w:p>
        </w:tc>
        <w:tc>
          <w:tcPr>
            <w:tcW w:w="1679" w:type="dxa"/>
            <w:shd w:val="clear" w:color="auto" w:fill="auto"/>
            <w:vAlign w:val="center"/>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159.4</w:t>
            </w:r>
          </w:p>
        </w:tc>
        <w:tc>
          <w:tcPr>
            <w:tcW w:w="1674" w:type="dxa"/>
            <w:shd w:val="clear" w:color="auto" w:fill="auto"/>
            <w:vAlign w:val="center"/>
          </w:tcPr>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1.0</w:t>
            </w:r>
          </w:p>
        </w:tc>
      </w:tr>
    </w:tbl>
    <w:p>
      <w:pPr>
        <w:ind w:left="0" w:leftChars="0" w:firstLine="0" w:firstLineChars="0"/>
        <w:rPr>
          <w:rFonts w:hint="eastAsia"/>
        </w:rPr>
      </w:pPr>
    </w:p>
    <w:p>
      <w:pPr>
        <w:pStyle w:val="4"/>
        <w:rPr>
          <w:rFonts w:hint="eastAsia"/>
        </w:rPr>
      </w:pPr>
      <w:bookmarkStart w:id="126" w:name="_Toc25486"/>
      <w:bookmarkStart w:id="127" w:name="_Toc432846627"/>
      <w:r>
        <w:rPr>
          <w:rFonts w:hint="eastAsia"/>
        </w:rPr>
        <w:t>4.2.</w:t>
      </w:r>
      <w:r>
        <w:rPr>
          <w:rFonts w:hint="eastAsia"/>
          <w:lang w:val="en-US" w:eastAsia="zh-CN"/>
        </w:rPr>
        <w:t>7</w:t>
      </w:r>
      <w:r>
        <w:rPr>
          <w:rFonts w:hint="eastAsia"/>
        </w:rPr>
        <w:t>企业违法排污的污染源强分析</w:t>
      </w:r>
      <w:bookmarkEnd w:id="126"/>
      <w:bookmarkEnd w:id="127"/>
    </w:p>
    <w:p>
      <w:pPr>
        <w:rPr>
          <w:rFonts w:hint="eastAsia"/>
        </w:rPr>
      </w:pPr>
      <w:r>
        <w:rPr>
          <w:rFonts w:hint="eastAsia"/>
        </w:rPr>
        <w:t>本项目有1个废水排放口、</w:t>
      </w:r>
      <w:r>
        <w:rPr>
          <w:rFonts w:hint="eastAsia"/>
          <w:lang w:val="en-US" w:eastAsia="zh-CN"/>
        </w:rPr>
        <w:t>1</w:t>
      </w:r>
      <w:r>
        <w:rPr>
          <w:rFonts w:hint="eastAsia"/>
        </w:rPr>
        <w:t>个工艺废气排放口。违法排污的最坏情景有：</w:t>
      </w:r>
    </w:p>
    <w:p>
      <w:pPr>
        <w:rPr>
          <w:rFonts w:hint="eastAsia"/>
        </w:rPr>
      </w:pPr>
      <w:r>
        <w:rPr>
          <w:rFonts w:hint="eastAsia"/>
        </w:rPr>
        <w:t>(1)</w:t>
      </w:r>
      <w:r>
        <w:rPr>
          <w:rFonts w:hint="eastAsia"/>
          <w:lang w:eastAsia="zh-CN"/>
        </w:rPr>
        <w:t>锅炉</w:t>
      </w:r>
      <w:r>
        <w:rPr>
          <w:rFonts w:hint="eastAsia"/>
        </w:rPr>
        <w:t>废气未经处理直接排放，事故源强同本报告第4.2.</w:t>
      </w:r>
      <w:r>
        <w:rPr>
          <w:rFonts w:hint="eastAsia"/>
          <w:lang w:val="en-US" w:eastAsia="zh-CN"/>
        </w:rPr>
        <w:t>6</w:t>
      </w:r>
      <w:r>
        <w:rPr>
          <w:rFonts w:hint="eastAsia"/>
        </w:rPr>
        <w:t>节。</w:t>
      </w:r>
    </w:p>
    <w:p>
      <w:pPr>
        <w:rPr>
          <w:rFonts w:hint="eastAsia"/>
        </w:rPr>
      </w:pPr>
      <w:r>
        <w:rPr>
          <w:rFonts w:hint="eastAsia"/>
        </w:rPr>
        <w:t>(2)生产废水未经处理直接排入或超标排入</w:t>
      </w:r>
      <w:r>
        <w:rPr>
          <w:rFonts w:hint="eastAsia"/>
          <w:lang w:eastAsia="zh-CN"/>
        </w:rPr>
        <w:t>园区</w:t>
      </w:r>
      <w:r>
        <w:rPr>
          <w:rFonts w:hint="eastAsia"/>
        </w:rPr>
        <w:t>污水处理厂污水处理厂，事故源强同本报告第4.2.</w:t>
      </w:r>
      <w:r>
        <w:rPr>
          <w:rFonts w:hint="eastAsia"/>
          <w:lang w:val="en-US" w:eastAsia="zh-CN"/>
        </w:rPr>
        <w:t>6</w:t>
      </w:r>
      <w:r>
        <w:rPr>
          <w:rFonts w:hint="eastAsia"/>
        </w:rPr>
        <w:t>节，事故源强为一天的废水排放量</w:t>
      </w:r>
      <w:r>
        <w:rPr>
          <w:rFonts w:hint="eastAsia"/>
          <w:lang w:val="en-US" w:eastAsia="zh-CN"/>
        </w:rPr>
        <w:t>110</w:t>
      </w:r>
      <w:r>
        <w:rPr>
          <w:rFonts w:hint="eastAsia"/>
        </w:rPr>
        <w:t>m3。</w:t>
      </w:r>
    </w:p>
    <w:p>
      <w:pPr>
        <w:pStyle w:val="4"/>
        <w:rPr>
          <w:rFonts w:hint="eastAsia"/>
        </w:rPr>
      </w:pPr>
      <w:bookmarkStart w:id="128" w:name="_Toc23484"/>
      <w:bookmarkStart w:id="129" w:name="_Toc432846628"/>
      <w:r>
        <w:rPr>
          <w:rFonts w:hint="eastAsia"/>
        </w:rPr>
        <w:t>4.2.</w:t>
      </w:r>
      <w:r>
        <w:rPr>
          <w:rFonts w:hint="eastAsia"/>
          <w:lang w:val="en-US" w:eastAsia="zh-CN"/>
        </w:rPr>
        <w:t>8</w:t>
      </w:r>
      <w:r>
        <w:rPr>
          <w:rFonts w:hint="eastAsia"/>
        </w:rPr>
        <w:t>通讯或运输系统故障事故的污染源强分析</w:t>
      </w:r>
      <w:bookmarkEnd w:id="128"/>
      <w:bookmarkEnd w:id="129"/>
    </w:p>
    <w:p>
      <w:pPr>
        <w:rPr>
          <w:rFonts w:hint="eastAsia"/>
        </w:rPr>
      </w:pPr>
      <w:r>
        <w:rPr>
          <w:rFonts w:hint="eastAsia"/>
        </w:rPr>
        <w:t>该项目生产装置采用自动化控制和手动切换两套装置，因而不存在通讯信号不畅致生产装置事故的情况。</w:t>
      </w:r>
    </w:p>
    <w:p>
      <w:pPr>
        <w:rPr>
          <w:rFonts w:hint="eastAsia"/>
        </w:rPr>
      </w:pPr>
      <w:r>
        <w:rPr>
          <w:rFonts w:hint="eastAsia"/>
        </w:rPr>
        <w:t>本公司通讯不畅的风险是延误救援时间，厂区内均配备了无线通话设备和有线电话，因而通讯故障的影响较小，暂不考虑。</w:t>
      </w:r>
    </w:p>
    <w:p>
      <w:pPr>
        <w:pStyle w:val="3"/>
        <w:rPr>
          <w:rFonts w:hint="eastAsia" w:ascii="宋体" w:hAnsi="宋体" w:eastAsia="宋体" w:cs="宋体"/>
          <w:color w:val="auto"/>
        </w:rPr>
      </w:pPr>
      <w:bookmarkStart w:id="130" w:name="_Toc10436"/>
      <w:bookmarkStart w:id="131" w:name="_Toc19538"/>
      <w:r>
        <w:rPr>
          <w:rFonts w:hint="eastAsia" w:ascii="宋体" w:hAnsi="宋体" w:eastAsia="宋体" w:cs="宋体"/>
          <w:color w:val="auto"/>
        </w:rPr>
        <w:t>4.</w:t>
      </w:r>
      <w:r>
        <w:rPr>
          <w:rFonts w:hint="eastAsia" w:ascii="宋体" w:hAnsi="宋体" w:cs="宋体"/>
          <w:color w:val="auto"/>
          <w:lang w:val="en-US" w:eastAsia="zh-CN"/>
        </w:rPr>
        <w:t>3</w:t>
      </w:r>
      <w:r>
        <w:rPr>
          <w:rFonts w:hint="eastAsia" w:ascii="宋体" w:hAnsi="宋体" w:eastAsia="宋体" w:cs="宋体"/>
          <w:color w:val="auto"/>
        </w:rPr>
        <w:t xml:space="preserve"> 释放环境风险物质的扩散途径、涉及环境风险防控与应急措施、应急资源情况分析</w:t>
      </w:r>
      <w:bookmarkEnd w:id="130"/>
      <w:bookmarkEnd w:id="131"/>
    </w:p>
    <w:p>
      <w:pPr>
        <w:pStyle w:val="4"/>
        <w:rPr>
          <w:rFonts w:hint="eastAsia" w:ascii="宋体" w:hAnsi="宋体" w:eastAsia="宋体" w:cs="宋体"/>
          <w:color w:val="auto"/>
        </w:rPr>
      </w:pPr>
      <w:bookmarkStart w:id="132" w:name="_Toc19105"/>
      <w:bookmarkStart w:id="133" w:name="_Toc12"/>
      <w:bookmarkStart w:id="134" w:name="_Toc421483235"/>
      <w:r>
        <w:rPr>
          <w:rFonts w:hint="eastAsia" w:ascii="宋体" w:hAnsi="宋体" w:eastAsia="宋体" w:cs="宋体"/>
          <w:color w:val="auto"/>
        </w:rPr>
        <w:t>4.</w:t>
      </w:r>
      <w:r>
        <w:rPr>
          <w:rFonts w:hint="eastAsia" w:ascii="宋体" w:hAnsi="宋体" w:cs="宋体"/>
          <w:color w:val="auto"/>
          <w:lang w:val="en-US" w:eastAsia="zh-CN"/>
        </w:rPr>
        <w:t>3</w:t>
      </w:r>
      <w:r>
        <w:rPr>
          <w:rFonts w:hint="eastAsia" w:ascii="宋体" w:hAnsi="宋体" w:eastAsia="宋体" w:cs="宋体"/>
          <w:color w:val="auto"/>
        </w:rPr>
        <w:t>.1 环境风险物质的释放途径</w:t>
      </w:r>
      <w:bookmarkEnd w:id="132"/>
      <w:bookmarkEnd w:id="133"/>
      <w:bookmarkEnd w:id="134"/>
    </w:p>
    <w:p>
      <w:pPr>
        <w:autoSpaceDE w:val="0"/>
        <w:autoSpaceDN w:val="0"/>
        <w:adjustRightInd w:val="0"/>
        <w:spacing w:line="360" w:lineRule="auto"/>
        <w:ind w:firstLine="480" w:firstLineChars="200"/>
        <w:rPr>
          <w:rFonts w:hint="eastAsia" w:ascii="宋体" w:hAnsi="宋体" w:eastAsia="宋体" w:cs="宋体"/>
          <w:color w:val="auto"/>
          <w:sz w:val="24"/>
          <w:shd w:val="clear" w:color="auto" w:fill="auto"/>
        </w:rPr>
      </w:pPr>
      <w:r>
        <w:rPr>
          <w:rFonts w:hint="eastAsia" w:ascii="宋体" w:hAnsi="宋体" w:eastAsia="宋体" w:cs="宋体"/>
          <w:snapToGrid w:val="0"/>
          <w:color w:val="auto"/>
          <w:kern w:val="0"/>
          <w:sz w:val="24"/>
          <w:shd w:val="clear" w:color="auto" w:fill="auto"/>
        </w:rPr>
        <w:t>（1）物料的泄漏事故</w:t>
      </w:r>
    </w:p>
    <w:p>
      <w:pPr>
        <w:autoSpaceDE w:val="0"/>
        <w:autoSpaceDN w:val="0"/>
        <w:adjustRightInd w:val="0"/>
        <w:spacing w:line="360" w:lineRule="auto"/>
        <w:ind w:firstLine="480" w:firstLineChars="200"/>
        <w:rPr>
          <w:rFonts w:hint="eastAsia" w:ascii="宋体" w:hAnsi="宋体" w:eastAsia="宋体" w:cs="宋体"/>
          <w:color w:val="auto"/>
          <w:sz w:val="24"/>
          <w:szCs w:val="24"/>
          <w:shd w:val="clear" w:color="auto" w:fill="auto"/>
        </w:rPr>
      </w:pPr>
      <w:r>
        <w:rPr>
          <w:rFonts w:hint="eastAsia" w:ascii="宋体" w:hAnsi="宋体" w:eastAsia="宋体" w:cs="宋体"/>
          <w:color w:val="auto"/>
          <w:sz w:val="24"/>
          <w:szCs w:val="24"/>
          <w:shd w:val="clear" w:color="auto" w:fill="auto"/>
        </w:rPr>
        <w:fldChar w:fldCharType="begin"/>
      </w:r>
      <w:r>
        <w:rPr>
          <w:rFonts w:hint="eastAsia" w:ascii="宋体" w:hAnsi="宋体" w:eastAsia="宋体" w:cs="宋体"/>
          <w:color w:val="auto"/>
          <w:sz w:val="24"/>
          <w:szCs w:val="24"/>
          <w:shd w:val="clear" w:color="auto" w:fill="auto"/>
        </w:rPr>
        <w:instrText xml:space="preserve"> = 1 \* GB3 \* MERGEFORMAT </w:instrText>
      </w:r>
      <w:r>
        <w:rPr>
          <w:rFonts w:hint="eastAsia" w:ascii="宋体" w:hAnsi="宋体" w:eastAsia="宋体" w:cs="宋体"/>
          <w:color w:val="auto"/>
          <w:sz w:val="24"/>
          <w:szCs w:val="24"/>
          <w:shd w:val="clear" w:color="auto" w:fill="auto"/>
        </w:rPr>
        <w:fldChar w:fldCharType="separate"/>
      </w:r>
      <w:r>
        <w:rPr>
          <w:rFonts w:hint="eastAsia" w:ascii="宋体" w:hAnsi="宋体" w:eastAsia="宋体" w:cs="宋体"/>
          <w:color w:val="auto"/>
          <w:sz w:val="24"/>
          <w:szCs w:val="24"/>
          <w:shd w:val="clear" w:color="auto" w:fill="auto"/>
        </w:rPr>
        <w:t>①</w:t>
      </w:r>
      <w:r>
        <w:rPr>
          <w:rFonts w:hint="eastAsia" w:ascii="宋体" w:hAnsi="宋体" w:eastAsia="宋体" w:cs="宋体"/>
          <w:color w:val="auto"/>
          <w:sz w:val="24"/>
          <w:szCs w:val="24"/>
          <w:shd w:val="clear" w:color="auto" w:fill="auto"/>
        </w:rPr>
        <w:fldChar w:fldCharType="end"/>
      </w:r>
      <w:r>
        <w:rPr>
          <w:rFonts w:hint="eastAsia" w:ascii="宋体" w:hAnsi="宋体" w:eastAsia="宋体" w:cs="宋体"/>
          <w:color w:val="auto"/>
          <w:sz w:val="24"/>
          <w:szCs w:val="24"/>
          <w:shd w:val="clear" w:color="auto" w:fill="auto"/>
        </w:rPr>
        <w:t>危险化学品泄漏事故</w:t>
      </w:r>
    </w:p>
    <w:p>
      <w:pPr>
        <w:autoSpaceDE w:val="0"/>
        <w:autoSpaceDN w:val="0"/>
        <w:adjustRightInd w:val="0"/>
        <w:spacing w:line="360" w:lineRule="auto"/>
        <w:ind w:firstLine="480" w:firstLineChars="200"/>
        <w:rPr>
          <w:rFonts w:hint="eastAsia" w:ascii="宋体" w:hAnsi="宋体" w:eastAsia="宋体" w:cs="宋体"/>
          <w:snapToGrid w:val="0"/>
          <w:color w:val="auto"/>
          <w:kern w:val="0"/>
          <w:sz w:val="24"/>
          <w:szCs w:val="24"/>
          <w:lang w:eastAsia="zh-CN"/>
        </w:rPr>
      </w:pPr>
      <w:r>
        <w:rPr>
          <w:rFonts w:hint="eastAsia" w:ascii="宋体" w:hAnsi="宋体" w:eastAsia="宋体" w:cs="宋体"/>
          <w:color w:val="auto"/>
          <w:sz w:val="24"/>
          <w:szCs w:val="24"/>
          <w:lang w:eastAsia="zh-CN"/>
        </w:rPr>
        <w:t>本公司</w:t>
      </w:r>
      <w:r>
        <w:rPr>
          <w:rFonts w:hint="eastAsia" w:ascii="宋体" w:hAnsi="宋体" w:eastAsia="宋体" w:cs="宋体"/>
          <w:color w:val="auto"/>
          <w:sz w:val="24"/>
          <w:szCs w:val="24"/>
        </w:rPr>
        <w:t>所涉及的</w:t>
      </w:r>
      <w:r>
        <w:rPr>
          <w:rFonts w:hint="eastAsia" w:ascii="宋体" w:hAnsi="宋体" w:eastAsia="宋体" w:cs="宋体"/>
          <w:color w:val="auto"/>
          <w:sz w:val="24"/>
          <w:szCs w:val="24"/>
          <w:lang w:eastAsia="zh-CN"/>
        </w:rPr>
        <w:t>经营产品为</w:t>
      </w:r>
      <w:r>
        <w:rPr>
          <w:rFonts w:hint="eastAsia" w:ascii="宋体" w:hAnsi="宋体" w:eastAsia="宋体" w:cs="宋体"/>
          <w:color w:val="auto"/>
          <w:sz w:val="28"/>
          <w:szCs w:val="28"/>
        </w:rPr>
        <w:t>NaHS、硫化钠</w:t>
      </w:r>
      <w:r>
        <w:rPr>
          <w:rFonts w:hint="eastAsia" w:ascii="宋体" w:hAnsi="宋体" w:eastAsia="宋体" w:cs="宋体"/>
          <w:snapToGrid w:val="0"/>
          <w:color w:val="auto"/>
          <w:kern w:val="0"/>
          <w:sz w:val="24"/>
          <w:szCs w:val="24"/>
          <w:lang w:eastAsia="zh-CN"/>
        </w:rPr>
        <w:t>在储存和经营过程中，由于设计失误、设备原因、管理原因，以及人为失误等造成管道、储罐、加油机、阀门等发生泄漏，一旦发生泄漏事故若处置不当或不及时将会对周边环境产生影响。</w:t>
      </w:r>
    </w:p>
    <w:p>
      <w:pPr>
        <w:autoSpaceDE w:val="0"/>
        <w:autoSpaceDN w:val="0"/>
        <w:adjustRightInd w:val="0"/>
        <w:spacing w:line="360" w:lineRule="auto"/>
        <w:ind w:firstLine="480" w:firstLineChars="200"/>
        <w:rPr>
          <w:rFonts w:hint="eastAsia" w:ascii="宋体" w:hAnsi="宋体" w:eastAsia="宋体" w:cs="宋体"/>
          <w:snapToGrid w:val="0"/>
          <w:color w:val="auto"/>
          <w:kern w:val="0"/>
          <w:sz w:val="24"/>
          <w:szCs w:val="24"/>
          <w:lang w:eastAsia="zh-CN"/>
        </w:rPr>
      </w:pPr>
      <w:r>
        <w:rPr>
          <w:rFonts w:hint="eastAsia" w:ascii="宋体" w:hAnsi="宋体" w:eastAsia="宋体" w:cs="宋体"/>
          <w:snapToGrid w:val="0"/>
          <w:color w:val="auto"/>
          <w:kern w:val="0"/>
          <w:sz w:val="24"/>
          <w:szCs w:val="24"/>
          <w:lang w:eastAsia="zh-CN"/>
        </w:rPr>
        <w:fldChar w:fldCharType="begin"/>
      </w:r>
      <w:r>
        <w:rPr>
          <w:rFonts w:hint="eastAsia" w:ascii="宋体" w:hAnsi="宋体" w:eastAsia="宋体" w:cs="宋体"/>
          <w:snapToGrid w:val="0"/>
          <w:color w:val="auto"/>
          <w:kern w:val="0"/>
          <w:sz w:val="24"/>
          <w:szCs w:val="24"/>
          <w:lang w:eastAsia="zh-CN"/>
        </w:rPr>
        <w:instrText xml:space="preserve"> = 2 \* GB3 \* MERGEFORMAT </w:instrText>
      </w:r>
      <w:r>
        <w:rPr>
          <w:rFonts w:hint="eastAsia" w:ascii="宋体" w:hAnsi="宋体" w:eastAsia="宋体" w:cs="宋体"/>
          <w:snapToGrid w:val="0"/>
          <w:color w:val="auto"/>
          <w:kern w:val="0"/>
          <w:sz w:val="24"/>
          <w:szCs w:val="24"/>
          <w:lang w:eastAsia="zh-CN"/>
        </w:rPr>
        <w:fldChar w:fldCharType="separate"/>
      </w:r>
      <w:r>
        <w:rPr>
          <w:rFonts w:hint="eastAsia" w:ascii="宋体" w:hAnsi="宋体" w:eastAsia="宋体" w:cs="宋体"/>
          <w:color w:val="auto"/>
          <w:sz w:val="24"/>
          <w:szCs w:val="24"/>
        </w:rPr>
        <w:t>②</w:t>
      </w:r>
      <w:r>
        <w:rPr>
          <w:rFonts w:hint="eastAsia" w:ascii="宋体" w:hAnsi="宋体" w:eastAsia="宋体" w:cs="宋体"/>
          <w:snapToGrid w:val="0"/>
          <w:color w:val="auto"/>
          <w:kern w:val="0"/>
          <w:sz w:val="24"/>
          <w:szCs w:val="24"/>
          <w:lang w:eastAsia="zh-CN"/>
        </w:rPr>
        <w:fldChar w:fldCharType="end"/>
      </w:r>
      <w:r>
        <w:rPr>
          <w:rFonts w:hint="eastAsia" w:ascii="宋体" w:hAnsi="宋体" w:eastAsia="宋体" w:cs="宋体"/>
          <w:snapToGrid w:val="0"/>
          <w:color w:val="auto"/>
          <w:kern w:val="0"/>
          <w:sz w:val="24"/>
          <w:szCs w:val="24"/>
          <w:lang w:eastAsia="zh-CN"/>
        </w:rPr>
        <w:t>危险废物泄露事故</w:t>
      </w:r>
    </w:p>
    <w:p>
      <w:pPr>
        <w:rPr>
          <w:rFonts w:hint="eastAsia"/>
          <w:lang w:val="en-US" w:eastAsia="zh-CN"/>
        </w:rPr>
      </w:pPr>
      <w:r>
        <w:rPr>
          <w:rFonts w:hint="eastAsia"/>
        </w:rPr>
        <w:t>本企业在生产过程中，会有一定污泥产生，每月约有3吨</w:t>
      </w:r>
      <w:r>
        <w:rPr>
          <w:rFonts w:hint="eastAsia"/>
          <w:lang w:val="en-US" w:eastAsia="zh-CN"/>
        </w:rPr>
        <w:t>，本项目污泥的清理、运输和处置均由具有资质单位处理处置。</w:t>
      </w:r>
    </w:p>
    <w:p>
      <w:pPr>
        <w:autoSpaceDE w:val="0"/>
        <w:autoSpaceDN w:val="0"/>
        <w:adjustRightIn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（2）火灾、爆炸事故</w:t>
      </w:r>
    </w:p>
    <w:p>
      <w:pPr>
        <w:autoSpaceDE w:val="0"/>
        <w:autoSpaceDN w:val="0"/>
        <w:adjustRightInd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项目原料中</w:t>
      </w:r>
      <w:r>
        <w:rPr>
          <w:rFonts w:hint="eastAsia" w:ascii="宋体" w:hAnsi="宋体" w:eastAsia="宋体" w:cs="宋体"/>
          <w:color w:val="auto"/>
          <w:sz w:val="24"/>
          <w:szCs w:val="24"/>
        </w:rPr>
        <w:t>含NaHS工业化纤废液</w:t>
      </w:r>
      <w:r>
        <w:rPr>
          <w:rFonts w:hint="eastAsia" w:ascii="宋体" w:hAnsi="宋体" w:eastAsia="宋体" w:cs="宋体"/>
          <w:color w:val="auto"/>
          <w:sz w:val="24"/>
          <w:szCs w:val="24"/>
          <w:lang w:eastAsia="zh-CN"/>
        </w:rPr>
        <w:t>不</w:t>
      </w:r>
      <w:r>
        <w:rPr>
          <w:rFonts w:hint="eastAsia" w:ascii="宋体" w:hAnsi="宋体" w:eastAsia="宋体" w:cs="宋体"/>
          <w:snapToGrid w:val="0"/>
          <w:color w:val="auto"/>
          <w:kern w:val="0"/>
          <w:sz w:val="24"/>
          <w:szCs w:val="24"/>
          <w:lang w:eastAsia="zh-CN"/>
        </w:rPr>
        <w:t>属于易燃易爆液体，火灾危险性类别为丙类。危险性较小。</w:t>
      </w:r>
    </w:p>
    <w:p>
      <w:pPr>
        <w:autoSpaceDE w:val="0"/>
        <w:autoSpaceDN w:val="0"/>
        <w:adjustRightIn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（3）环境风险防控设施失灵，导致事故</w:t>
      </w:r>
      <w:r>
        <w:rPr>
          <w:rFonts w:hint="eastAsia" w:ascii="宋体" w:hAnsi="宋体" w:eastAsia="宋体" w:cs="宋体"/>
          <w:color w:val="auto"/>
          <w:sz w:val="24"/>
          <w:lang w:eastAsia="zh-CN"/>
        </w:rPr>
        <w:t>废水、废气</w:t>
      </w:r>
      <w:r>
        <w:rPr>
          <w:rFonts w:hint="eastAsia" w:ascii="宋体" w:hAnsi="宋体" w:eastAsia="宋体" w:cs="宋体"/>
          <w:color w:val="auto"/>
          <w:sz w:val="24"/>
        </w:rPr>
        <w:t>对</w:t>
      </w:r>
      <w:r>
        <w:rPr>
          <w:rFonts w:hint="eastAsia" w:ascii="宋体" w:hAnsi="宋体" w:eastAsia="宋体" w:cs="宋体"/>
          <w:color w:val="auto"/>
          <w:sz w:val="24"/>
          <w:lang w:eastAsia="zh-CN"/>
        </w:rPr>
        <w:t>大气环境</w:t>
      </w:r>
      <w:r>
        <w:rPr>
          <w:rFonts w:hint="eastAsia" w:ascii="宋体" w:hAnsi="宋体" w:eastAsia="宋体" w:cs="宋体"/>
          <w:color w:val="auto"/>
          <w:sz w:val="24"/>
        </w:rPr>
        <w:t>造成影响。</w:t>
      </w:r>
    </w:p>
    <w:p>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szCs w:val="24"/>
        </w:rPr>
        <w:t>（4）非正常工况污染治理设施非正常运行、违法排污、停电断水、输送系统故障、各种自然灾害、极端天气等引发环境风险事故对周围环境造成的影响。</w:t>
      </w:r>
    </w:p>
    <w:p>
      <w:pPr>
        <w:pStyle w:val="4"/>
        <w:rPr>
          <w:rFonts w:hint="eastAsia" w:ascii="宋体" w:hAnsi="宋体" w:eastAsia="宋体" w:cs="宋体"/>
          <w:color w:val="auto"/>
        </w:rPr>
      </w:pPr>
      <w:bookmarkStart w:id="135" w:name="_Toc2980"/>
      <w:bookmarkStart w:id="136" w:name="_Toc3380"/>
      <w:r>
        <w:rPr>
          <w:rFonts w:hint="eastAsia" w:ascii="宋体" w:hAnsi="宋体" w:eastAsia="宋体" w:cs="宋体"/>
          <w:color w:val="auto"/>
        </w:rPr>
        <w:t>4.</w:t>
      </w:r>
      <w:r>
        <w:rPr>
          <w:rFonts w:hint="eastAsia" w:ascii="宋体" w:hAnsi="宋体" w:cs="宋体"/>
          <w:color w:val="auto"/>
          <w:lang w:val="en-US" w:eastAsia="zh-CN"/>
        </w:rPr>
        <w:t>3</w:t>
      </w:r>
      <w:r>
        <w:rPr>
          <w:rFonts w:hint="eastAsia" w:ascii="宋体" w:hAnsi="宋体" w:eastAsia="宋体" w:cs="宋体"/>
          <w:color w:val="auto"/>
        </w:rPr>
        <w:t>.2 风险防控与应急措施</w:t>
      </w:r>
      <w:bookmarkEnd w:id="135"/>
      <w:bookmarkEnd w:id="136"/>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cs="宋体"/>
          <w:color w:val="auto"/>
          <w:sz w:val="24"/>
          <w:szCs w:val="24"/>
          <w:lang w:val="en-US" w:eastAsia="zh-CN"/>
        </w:rPr>
        <w:t>3</w:t>
      </w:r>
      <w:r>
        <w:rPr>
          <w:rFonts w:hint="eastAsia" w:ascii="宋体" w:hAnsi="宋体" w:eastAsia="宋体" w:cs="宋体"/>
          <w:color w:val="auto"/>
          <w:sz w:val="24"/>
          <w:szCs w:val="24"/>
        </w:rPr>
        <w:t>.2.1 风险防控</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bookmarkStart w:id="137" w:name="_Toc2054"/>
      <w:bookmarkStart w:id="138" w:name="_Toc421483237"/>
      <w:r>
        <w:rPr>
          <w:rFonts w:hint="eastAsia" w:ascii="宋体" w:hAnsi="宋体" w:eastAsia="宋体" w:cs="宋体"/>
          <w:color w:val="000000" w:themeColor="text1"/>
          <w:sz w:val="24"/>
          <w14:textFill>
            <w14:solidFill>
              <w14:schemeClr w14:val="tx1"/>
            </w14:solidFill>
          </w14:textFill>
        </w:rPr>
        <w:t>1、审批三同时</w:t>
      </w:r>
    </w:p>
    <w:p>
      <w:pPr>
        <w:spacing w:line="360" w:lineRule="auto"/>
        <w:ind w:firstLine="480" w:firstLineChars="200"/>
        <w:rPr>
          <w:rFonts w:hint="eastAsia" w:ascii="宋体" w:hAnsi="宋体" w:eastAsia="宋体" w:cs="宋体"/>
          <w:color w:val="FF0000"/>
          <w:kern w:val="0"/>
          <w:sz w:val="24"/>
          <w:szCs w:val="24"/>
        </w:rPr>
      </w:pPr>
      <w:r>
        <w:rPr>
          <w:rFonts w:hint="eastAsia" w:cs="宋体"/>
          <w:color w:val="000000" w:themeColor="text1"/>
          <w:sz w:val="24"/>
          <w:szCs w:val="24"/>
          <w:lang w:eastAsia="zh-CN"/>
          <w14:textFill>
            <w14:solidFill>
              <w14:schemeClr w14:val="tx1"/>
            </w14:solidFill>
          </w14:textFill>
        </w:rPr>
        <w:t>九江市</w:t>
      </w:r>
      <w:r>
        <w:rPr>
          <w:rFonts w:hint="eastAsia" w:ascii="宋体" w:hAnsi="宋体" w:eastAsia="宋体" w:cs="宋体"/>
          <w:color w:val="000000" w:themeColor="text1"/>
          <w:sz w:val="24"/>
          <w:szCs w:val="24"/>
          <w:lang w:eastAsia="zh-CN"/>
          <w14:textFill>
            <w14:solidFill>
              <w14:schemeClr w14:val="tx1"/>
            </w14:solidFill>
          </w14:textFill>
        </w:rPr>
        <w:t>环保局于</w:t>
      </w:r>
      <w:r>
        <w:rPr>
          <w:rFonts w:hint="eastAsia" w:ascii="宋体" w:hAnsi="宋体" w:eastAsia="宋体" w:cs="宋体"/>
          <w:color w:val="000000" w:themeColor="text1"/>
          <w:sz w:val="24"/>
          <w:szCs w:val="24"/>
          <w:lang w:val="en-US" w:eastAsia="zh-CN"/>
          <w14:textFill>
            <w14:solidFill>
              <w14:schemeClr w14:val="tx1"/>
            </w14:solidFill>
          </w14:textFill>
        </w:rPr>
        <w:t>20</w:t>
      </w:r>
      <w:r>
        <w:rPr>
          <w:rFonts w:hint="eastAsia" w:cs="宋体"/>
          <w:color w:val="000000" w:themeColor="text1"/>
          <w:sz w:val="24"/>
          <w:szCs w:val="24"/>
          <w:lang w:val="en-US" w:eastAsia="zh-CN"/>
          <w14:textFill>
            <w14:solidFill>
              <w14:schemeClr w14:val="tx1"/>
            </w14:solidFill>
          </w14:textFill>
        </w:rPr>
        <w:t>08</w:t>
      </w:r>
      <w:r>
        <w:rPr>
          <w:rFonts w:hint="eastAsia" w:ascii="宋体" w:hAnsi="宋体" w:eastAsia="宋体" w:cs="宋体"/>
          <w:color w:val="000000" w:themeColor="text1"/>
          <w:sz w:val="24"/>
          <w:szCs w:val="24"/>
          <w:lang w:val="en-US" w:eastAsia="zh-CN"/>
          <w14:textFill>
            <w14:solidFill>
              <w14:schemeClr w14:val="tx1"/>
            </w14:solidFill>
          </w14:textFill>
        </w:rPr>
        <w:t>年对</w:t>
      </w:r>
      <w:r>
        <w:rPr>
          <w:rFonts w:hint="eastAsia" w:cs="宋体"/>
          <w:color w:val="000000" w:themeColor="text1"/>
          <w:sz w:val="24"/>
          <w:szCs w:val="24"/>
          <w:lang w:val="en-US" w:eastAsia="zh-CN"/>
          <w14:textFill>
            <w14:solidFill>
              <w14:schemeClr w14:val="tx1"/>
            </w14:solidFill>
          </w14:textFill>
        </w:rPr>
        <w:t>乔旭（九江）企业</w:t>
      </w:r>
      <w:r>
        <w:rPr>
          <w:rFonts w:hint="eastAsia" w:ascii="宋体" w:hAnsi="宋体" w:eastAsia="宋体" w:cs="宋体"/>
          <w:color w:val="000000" w:themeColor="text1"/>
          <w:sz w:val="24"/>
          <w:szCs w:val="24"/>
          <w:lang w:eastAsia="zh-CN"/>
          <w14:textFill>
            <w14:solidFill>
              <w14:schemeClr w14:val="tx1"/>
            </w14:solidFill>
          </w14:textFill>
        </w:rPr>
        <w:t>有限公司</w:t>
      </w:r>
      <w:r>
        <w:rPr>
          <w:rFonts w:hint="eastAsia" w:cs="宋体"/>
          <w:color w:val="000000" w:themeColor="text1"/>
          <w:spacing w:val="1"/>
          <w:sz w:val="24"/>
          <w:szCs w:val="24"/>
          <w:lang w:eastAsia="zh-CN"/>
          <w14:textFill>
            <w14:solidFill>
              <w14:schemeClr w14:val="tx1"/>
            </w14:solidFill>
          </w14:textFill>
        </w:rPr>
        <w:t>年处理硫氢化钠废液</w:t>
      </w:r>
      <w:r>
        <w:rPr>
          <w:rFonts w:hint="eastAsia" w:cs="宋体"/>
          <w:color w:val="000000" w:themeColor="text1"/>
          <w:spacing w:val="1"/>
          <w:sz w:val="24"/>
          <w:szCs w:val="24"/>
          <w:lang w:val="en-US" w:eastAsia="zh-CN"/>
          <w14:textFill>
            <w14:solidFill>
              <w14:schemeClr w14:val="tx1"/>
            </w14:solidFill>
          </w14:textFill>
        </w:rPr>
        <w:t>13600吨项目</w:t>
      </w:r>
      <w:r>
        <w:rPr>
          <w:rFonts w:hint="eastAsia" w:ascii="宋体" w:hAnsi="宋体" w:eastAsia="宋体" w:cs="宋体"/>
          <w:color w:val="000000" w:themeColor="text1"/>
          <w:spacing w:val="-5"/>
          <w:sz w:val="24"/>
          <w:szCs w:val="24"/>
          <w14:textFill>
            <w14:solidFill>
              <w14:schemeClr w14:val="tx1"/>
            </w14:solidFill>
          </w14:textFill>
        </w:rPr>
        <w:t>环境影响报告表</w:t>
      </w:r>
      <w:r>
        <w:rPr>
          <w:rFonts w:hint="eastAsia" w:ascii="宋体" w:hAnsi="宋体" w:eastAsia="宋体" w:cs="宋体"/>
          <w:color w:val="000000" w:themeColor="text1"/>
          <w:sz w:val="24"/>
          <w:szCs w:val="24"/>
          <w:lang w:eastAsia="zh-CN"/>
          <w14:textFill>
            <w14:solidFill>
              <w14:schemeClr w14:val="tx1"/>
            </w14:solidFill>
          </w14:textFill>
        </w:rPr>
        <w:t>进行了</w:t>
      </w:r>
      <w:r>
        <w:rPr>
          <w:rFonts w:hint="eastAsia" w:ascii="宋体" w:hAnsi="宋体" w:eastAsia="宋体" w:cs="宋体"/>
          <w:color w:val="000000" w:themeColor="text1"/>
          <w:sz w:val="24"/>
          <w:szCs w:val="24"/>
          <w14:textFill>
            <w14:solidFill>
              <w14:schemeClr w14:val="tx1"/>
            </w14:solidFill>
          </w14:textFill>
        </w:rPr>
        <w:t>批复（</w:t>
      </w:r>
      <w:r>
        <w:rPr>
          <w:rFonts w:hint="eastAsia" w:cs="宋体"/>
          <w:color w:val="000000" w:themeColor="text1"/>
          <w:sz w:val="24"/>
          <w:szCs w:val="24"/>
          <w:shd w:val="clear" w:color="auto" w:fill="auto"/>
          <w:lang w:val="en-US" w:eastAsia="zh-CN"/>
          <w14:textFill>
            <w14:solidFill>
              <w14:schemeClr w14:val="tx1"/>
            </w14:solidFill>
          </w14:textFill>
        </w:rPr>
        <w:t>九</w:t>
      </w:r>
      <w:r>
        <w:rPr>
          <w:rFonts w:hint="eastAsia" w:ascii="宋体" w:hAnsi="宋体" w:eastAsia="宋体" w:cs="宋体"/>
          <w:color w:val="000000" w:themeColor="text1"/>
          <w:sz w:val="24"/>
          <w:szCs w:val="24"/>
          <w:shd w:val="clear" w:color="auto" w:fill="auto"/>
          <w:lang w:val="en-US" w:eastAsia="zh-CN"/>
          <w14:textFill>
            <w14:solidFill>
              <w14:schemeClr w14:val="tx1"/>
            </w14:solidFill>
          </w14:textFill>
        </w:rPr>
        <w:t>环</w:t>
      </w:r>
      <w:r>
        <w:rPr>
          <w:rFonts w:hint="eastAsia" w:cs="宋体"/>
          <w:color w:val="000000" w:themeColor="text1"/>
          <w:sz w:val="24"/>
          <w:szCs w:val="24"/>
          <w:shd w:val="clear" w:color="auto" w:fill="auto"/>
          <w:lang w:val="en-US" w:eastAsia="zh-CN"/>
          <w14:textFill>
            <w14:solidFill>
              <w14:schemeClr w14:val="tx1"/>
            </w14:solidFill>
          </w14:textFill>
        </w:rPr>
        <w:t>审</w:t>
      </w:r>
      <w:r>
        <w:rPr>
          <w:rFonts w:hint="eastAsia" w:ascii="宋体" w:hAnsi="宋体" w:eastAsia="宋体" w:cs="宋体"/>
          <w:color w:val="000000" w:themeColor="text1"/>
          <w:sz w:val="24"/>
          <w:szCs w:val="24"/>
          <w:shd w:val="clear" w:color="auto" w:fill="auto"/>
          <w:lang w:val="en-US" w:eastAsia="zh-CN"/>
          <w14:textFill>
            <w14:solidFill>
              <w14:schemeClr w14:val="tx1"/>
            </w14:solidFill>
          </w14:textFill>
        </w:rPr>
        <w:t>[20</w:t>
      </w:r>
      <w:r>
        <w:rPr>
          <w:rFonts w:hint="eastAsia" w:cs="宋体"/>
          <w:color w:val="000000" w:themeColor="text1"/>
          <w:sz w:val="24"/>
          <w:szCs w:val="24"/>
          <w:shd w:val="clear" w:color="auto" w:fill="auto"/>
          <w:lang w:val="en-US" w:eastAsia="zh-CN"/>
          <w14:textFill>
            <w14:solidFill>
              <w14:schemeClr w14:val="tx1"/>
            </w14:solidFill>
          </w14:textFill>
        </w:rPr>
        <w:t>08</w:t>
      </w:r>
      <w:r>
        <w:rPr>
          <w:rFonts w:hint="eastAsia" w:ascii="宋体" w:hAnsi="宋体" w:eastAsia="宋体" w:cs="宋体"/>
          <w:color w:val="000000" w:themeColor="text1"/>
          <w:sz w:val="24"/>
          <w:szCs w:val="24"/>
          <w:shd w:val="clear" w:color="auto" w:fill="auto"/>
          <w:lang w:val="en-US" w:eastAsia="zh-CN"/>
          <w14:textFill>
            <w14:solidFill>
              <w14:schemeClr w14:val="tx1"/>
            </w14:solidFill>
          </w14:textFill>
        </w:rPr>
        <w:t>]</w:t>
      </w:r>
      <w:r>
        <w:rPr>
          <w:rFonts w:hint="eastAsia" w:cs="宋体"/>
          <w:color w:val="000000" w:themeColor="text1"/>
          <w:sz w:val="24"/>
          <w:szCs w:val="24"/>
          <w:shd w:val="clear" w:color="auto" w:fill="auto"/>
          <w:lang w:val="en-US" w:eastAsia="zh-CN"/>
          <w14:textFill>
            <w14:solidFill>
              <w14:schemeClr w14:val="tx1"/>
            </w14:solidFill>
          </w14:textFill>
        </w:rPr>
        <w:t>15</w:t>
      </w:r>
      <w:r>
        <w:rPr>
          <w:rFonts w:hint="eastAsia" w:ascii="宋体" w:hAnsi="宋体" w:eastAsia="宋体" w:cs="宋体"/>
          <w:color w:val="000000" w:themeColor="text1"/>
          <w:sz w:val="24"/>
          <w:szCs w:val="24"/>
          <w:shd w:val="clear" w:color="auto" w:fill="auto"/>
          <w:lang w:val="en-US" w:eastAsia="zh-CN"/>
          <w14:textFill>
            <w14:solidFill>
              <w14:schemeClr w14:val="tx1"/>
            </w14:solidFill>
          </w14:textFill>
        </w:rPr>
        <w:t>号</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2、监测</w:t>
      </w:r>
    </w:p>
    <w:p>
      <w:pPr>
        <w:rPr>
          <w:rFonts w:hint="eastAsia"/>
        </w:rPr>
      </w:pPr>
      <w:r>
        <w:rPr>
          <w:rFonts w:hint="eastAsia"/>
        </w:rPr>
        <w:t>1、储罐有浮标液位计；</w:t>
      </w:r>
    </w:p>
    <w:p>
      <w:pPr>
        <w:rPr>
          <w:rFonts w:hint="eastAsia"/>
        </w:rPr>
      </w:pPr>
      <w:r>
        <w:rPr>
          <w:rFonts w:hint="eastAsia"/>
        </w:rPr>
        <w:t>2、导热油炉有温度超高报警和控制装置；</w:t>
      </w:r>
    </w:p>
    <w:p>
      <w:pPr>
        <w:rPr>
          <w:rFonts w:hint="eastAsia"/>
        </w:rPr>
      </w:pPr>
      <w:r>
        <w:rPr>
          <w:rFonts w:hint="eastAsia"/>
        </w:rPr>
        <w:t>3、分析室设有重要参数的分析仪器。</w:t>
      </w:r>
    </w:p>
    <w:p>
      <w:pPr>
        <w:rPr>
          <w:rFonts w:hint="eastAsia"/>
          <w:lang w:eastAsia="zh-CN"/>
        </w:rPr>
      </w:pPr>
      <w:r>
        <w:rPr>
          <w:rFonts w:hint="eastAsia"/>
          <w:lang w:val="en-US" w:eastAsia="zh-CN"/>
        </w:rPr>
        <w:t>4、</w:t>
      </w:r>
      <w:r>
        <w:rPr>
          <w:rFonts w:hint="eastAsia"/>
          <w:lang w:eastAsia="zh-CN"/>
        </w:rPr>
        <w:t>应急监测：本次评估建议企业与资质单位建立应急监测协议，确保突发环境事件后能够迅速组织周边区域的应急监测，及时了解污染动向，便于应急处理及后期修复。</w:t>
      </w:r>
    </w:p>
    <w:p>
      <w:pPr>
        <w:spacing w:line="360" w:lineRule="auto"/>
        <w:ind w:firstLine="480" w:firstLineChars="200"/>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3、操作规程</w:t>
      </w:r>
    </w:p>
    <w:p>
      <w:pPr>
        <w:autoSpaceDE w:val="0"/>
        <w:autoSpaceDN w:val="0"/>
        <w:adjustRightInd w:val="0"/>
        <w:spacing w:line="360" w:lineRule="auto"/>
        <w:ind w:firstLine="480" w:firstLineChars="200"/>
        <w:rPr>
          <w:rFonts w:hint="eastAsia" w:ascii="宋体" w:hAnsi="宋体" w:eastAsia="宋体" w:cs="宋体"/>
          <w:color w:val="auto"/>
          <w:kern w:val="0"/>
          <w:sz w:val="24"/>
          <w:szCs w:val="24"/>
          <w:lang w:val="en-GB"/>
        </w:rPr>
      </w:pPr>
      <w:r>
        <w:rPr>
          <w:rFonts w:hint="eastAsia" w:ascii="宋体" w:hAnsi="宋体" w:eastAsia="宋体" w:cs="宋体"/>
          <w:color w:val="auto"/>
          <w:sz w:val="24"/>
          <w:szCs w:val="24"/>
          <w:lang w:eastAsia="zh-CN"/>
        </w:rPr>
        <w:fldChar w:fldCharType="begin"/>
      </w:r>
      <w:r>
        <w:rPr>
          <w:rFonts w:hint="eastAsia" w:ascii="宋体" w:hAnsi="宋体" w:eastAsia="宋体" w:cs="宋体"/>
          <w:color w:val="auto"/>
          <w:sz w:val="24"/>
          <w:szCs w:val="24"/>
          <w:lang w:eastAsia="zh-CN"/>
        </w:rPr>
        <w:instrText xml:space="preserve"> = 1 \* GB3 \* MERGEFORMAT </w:instrText>
      </w:r>
      <w:r>
        <w:rPr>
          <w:rFonts w:hint="eastAsia" w:ascii="宋体" w:hAnsi="宋体" w:eastAsia="宋体" w:cs="宋体"/>
          <w:color w:val="auto"/>
          <w:sz w:val="24"/>
          <w:szCs w:val="24"/>
          <w:lang w:eastAsia="zh-CN"/>
        </w:rPr>
        <w:fldChar w:fldCharType="separate"/>
      </w:r>
      <w:r>
        <w:rPr>
          <w:rFonts w:hint="eastAsia" w:ascii="宋体" w:hAnsi="宋体" w:eastAsia="宋体" w:cs="宋体"/>
          <w:sz w:val="24"/>
          <w:szCs w:val="24"/>
        </w:rPr>
        <w:t>①</w:t>
      </w:r>
      <w:r>
        <w:rPr>
          <w:rFonts w:hint="eastAsia" w:ascii="宋体" w:hAnsi="宋体" w:eastAsia="宋体" w:cs="宋体"/>
          <w:color w:val="auto"/>
          <w:sz w:val="24"/>
          <w:szCs w:val="24"/>
          <w:lang w:eastAsia="zh-CN"/>
        </w:rPr>
        <w:fldChar w:fldCharType="end"/>
      </w:r>
      <w:r>
        <w:rPr>
          <w:rFonts w:hint="eastAsia" w:ascii="宋体" w:hAnsi="宋体" w:eastAsia="宋体" w:cs="宋体"/>
          <w:color w:val="auto"/>
          <w:kern w:val="0"/>
          <w:sz w:val="24"/>
          <w:szCs w:val="24"/>
          <w:lang w:val="en-GB" w:eastAsia="zh-CN"/>
        </w:rPr>
        <w:t>公司</w:t>
      </w:r>
      <w:r>
        <w:rPr>
          <w:rFonts w:hint="eastAsia" w:ascii="宋体" w:hAnsi="宋体" w:eastAsia="宋体" w:cs="宋体"/>
          <w:color w:val="auto"/>
          <w:kern w:val="0"/>
          <w:sz w:val="24"/>
          <w:szCs w:val="24"/>
          <w:lang w:val="en-GB"/>
        </w:rPr>
        <w:t>已建立各装置操作规程、环境保护制度、安全生产制度，进行日常巡检，并制定定期检修计划</w:t>
      </w:r>
      <w:r>
        <w:rPr>
          <w:rFonts w:hint="eastAsia" w:ascii="宋体" w:hAnsi="宋体" w:eastAsia="宋体" w:cs="宋体"/>
          <w:color w:val="auto"/>
          <w:kern w:val="0"/>
          <w:sz w:val="24"/>
          <w:szCs w:val="24"/>
          <w:lang w:val="en-US" w:eastAsia="zh-CN"/>
        </w:rPr>
        <w:t>;</w:t>
      </w:r>
    </w:p>
    <w:p>
      <w:pPr>
        <w:autoSpaceDE w:val="0"/>
        <w:autoSpaceDN w:val="0"/>
        <w:adjustRightInd w:val="0"/>
        <w:spacing w:line="360" w:lineRule="auto"/>
        <w:ind w:firstLine="480" w:firstLineChars="200"/>
        <w:rPr>
          <w:rFonts w:hint="eastAsia" w:ascii="宋体" w:hAnsi="宋体" w:eastAsia="宋体" w:cs="宋体"/>
          <w:color w:val="auto"/>
          <w:kern w:val="0"/>
          <w:sz w:val="24"/>
          <w:szCs w:val="24"/>
          <w:lang w:val="en-GB"/>
        </w:rPr>
      </w:pPr>
      <w:r>
        <w:rPr>
          <w:rFonts w:hint="eastAsia" w:ascii="宋体" w:hAnsi="宋体" w:eastAsia="宋体" w:cs="宋体"/>
          <w:color w:val="auto"/>
          <w:sz w:val="24"/>
          <w:szCs w:val="24"/>
          <w:lang w:eastAsia="zh-CN"/>
        </w:rPr>
        <w:fldChar w:fldCharType="begin"/>
      </w:r>
      <w:r>
        <w:rPr>
          <w:rFonts w:hint="eastAsia" w:ascii="宋体" w:hAnsi="宋体" w:eastAsia="宋体" w:cs="宋体"/>
          <w:color w:val="auto"/>
          <w:sz w:val="24"/>
          <w:szCs w:val="24"/>
          <w:lang w:eastAsia="zh-CN"/>
        </w:rPr>
        <w:instrText xml:space="preserve"> = 2 \* GB3 \* MERGEFORMAT </w:instrText>
      </w:r>
      <w:r>
        <w:rPr>
          <w:rFonts w:hint="eastAsia" w:ascii="宋体" w:hAnsi="宋体" w:eastAsia="宋体" w:cs="宋体"/>
          <w:color w:val="auto"/>
          <w:sz w:val="24"/>
          <w:szCs w:val="24"/>
          <w:lang w:eastAsia="zh-CN"/>
        </w:rPr>
        <w:fldChar w:fldCharType="separate"/>
      </w:r>
      <w:r>
        <w:rPr>
          <w:rFonts w:hint="eastAsia" w:ascii="宋体" w:hAnsi="宋体" w:eastAsia="宋体" w:cs="宋体"/>
          <w:sz w:val="24"/>
          <w:szCs w:val="24"/>
        </w:rPr>
        <w:t>②</w:t>
      </w:r>
      <w:r>
        <w:rPr>
          <w:rFonts w:hint="eastAsia" w:ascii="宋体" w:hAnsi="宋体" w:eastAsia="宋体" w:cs="宋体"/>
          <w:color w:val="auto"/>
          <w:sz w:val="24"/>
          <w:szCs w:val="24"/>
          <w:lang w:eastAsia="zh-CN"/>
        </w:rPr>
        <w:fldChar w:fldCharType="end"/>
      </w:r>
      <w:r>
        <w:rPr>
          <w:rFonts w:hint="eastAsia" w:ascii="宋体" w:hAnsi="宋体" w:eastAsia="宋体" w:cs="宋体"/>
          <w:color w:val="auto"/>
          <w:kern w:val="0"/>
          <w:sz w:val="24"/>
          <w:szCs w:val="24"/>
          <w:lang w:val="en-GB"/>
        </w:rPr>
        <w:t>针对各项环保规章制度，落实以主要负责人为核心的环境安全工作责任制；</w:t>
      </w:r>
    </w:p>
    <w:p>
      <w:pPr>
        <w:autoSpaceDE w:val="0"/>
        <w:autoSpaceDN w:val="0"/>
        <w:adjustRightInd w:val="0"/>
        <w:spacing w:line="360" w:lineRule="auto"/>
        <w:ind w:firstLine="480" w:firstLineChars="200"/>
        <w:rPr>
          <w:rFonts w:hint="eastAsia" w:ascii="宋体" w:hAnsi="宋体" w:eastAsia="宋体" w:cs="宋体"/>
          <w:color w:val="auto"/>
          <w:kern w:val="0"/>
          <w:sz w:val="24"/>
          <w:szCs w:val="24"/>
          <w:lang w:val="en-GB"/>
        </w:rPr>
      </w:pPr>
      <w:r>
        <w:rPr>
          <w:rFonts w:hint="eastAsia" w:ascii="宋体" w:hAnsi="宋体" w:eastAsia="宋体" w:cs="宋体"/>
          <w:color w:val="auto"/>
          <w:sz w:val="24"/>
          <w:szCs w:val="24"/>
          <w:lang w:eastAsia="zh-CN"/>
        </w:rPr>
        <w:fldChar w:fldCharType="begin"/>
      </w:r>
      <w:r>
        <w:rPr>
          <w:rFonts w:hint="eastAsia" w:ascii="宋体" w:hAnsi="宋体" w:eastAsia="宋体" w:cs="宋体"/>
          <w:color w:val="auto"/>
          <w:sz w:val="24"/>
          <w:szCs w:val="24"/>
          <w:lang w:eastAsia="zh-CN"/>
        </w:rPr>
        <w:instrText xml:space="preserve"> = 3 \* GB3 \* MERGEFORMAT </w:instrText>
      </w:r>
      <w:r>
        <w:rPr>
          <w:rFonts w:hint="eastAsia" w:ascii="宋体" w:hAnsi="宋体" w:eastAsia="宋体" w:cs="宋体"/>
          <w:color w:val="auto"/>
          <w:sz w:val="24"/>
          <w:szCs w:val="24"/>
          <w:lang w:eastAsia="zh-CN"/>
        </w:rPr>
        <w:fldChar w:fldCharType="separate"/>
      </w:r>
      <w:r>
        <w:rPr>
          <w:rFonts w:hint="eastAsia" w:ascii="宋体" w:hAnsi="宋体" w:eastAsia="宋体" w:cs="宋体"/>
          <w:color w:val="auto"/>
          <w:sz w:val="24"/>
          <w:szCs w:val="24"/>
          <w:lang w:eastAsia="zh-CN"/>
        </w:rPr>
        <w:t>③</w:t>
      </w:r>
      <w:r>
        <w:rPr>
          <w:rFonts w:hint="eastAsia" w:ascii="宋体" w:hAnsi="宋体" w:eastAsia="宋体" w:cs="宋体"/>
          <w:color w:val="auto"/>
          <w:sz w:val="24"/>
          <w:szCs w:val="24"/>
          <w:lang w:eastAsia="zh-CN"/>
        </w:rPr>
        <w:fldChar w:fldCharType="end"/>
      </w:r>
      <w:r>
        <w:rPr>
          <w:rFonts w:hint="eastAsia" w:ascii="宋体" w:hAnsi="宋体" w:eastAsia="宋体" w:cs="宋体"/>
          <w:color w:val="auto"/>
          <w:kern w:val="0"/>
          <w:sz w:val="24"/>
          <w:szCs w:val="24"/>
          <w:lang w:val="en-GB"/>
        </w:rPr>
        <w:t>全面推进环境安全防控体系建设，积极开展风险评估，编制预案，开展应急演练，加强物资储备和自测能力建设。</w:t>
      </w:r>
    </w:p>
    <w:p>
      <w:pPr>
        <w:spacing w:line="360" w:lineRule="auto"/>
        <w:ind w:firstLine="480" w:firstLineChars="200"/>
        <w:rPr>
          <w:rFonts w:hint="eastAsia" w:ascii="宋体" w:hAnsi="宋体" w:eastAsia="宋体" w:cs="宋体"/>
          <w:color w:val="auto"/>
          <w:sz w:val="24"/>
          <w:lang w:val="en-GB"/>
        </w:rPr>
      </w:pPr>
      <w:r>
        <w:rPr>
          <w:rFonts w:hint="eastAsia" w:ascii="宋体" w:hAnsi="宋体" w:eastAsia="宋体" w:cs="宋体"/>
          <w:color w:val="auto"/>
          <w:sz w:val="24"/>
          <w:lang w:val="en-GB"/>
        </w:rPr>
        <w:t>4、危险废物管理</w:t>
      </w:r>
    </w:p>
    <w:p>
      <w:pPr>
        <w:rPr>
          <w:rFonts w:hint="eastAsia" w:eastAsia="宋体"/>
          <w:lang w:val="en-GB" w:eastAsia="zh-CN"/>
        </w:rPr>
      </w:pPr>
      <w:r>
        <w:rPr>
          <w:rFonts w:hint="eastAsia"/>
          <w:lang w:eastAsia="zh-CN"/>
        </w:rPr>
        <w:t>该</w:t>
      </w:r>
      <w:r>
        <w:rPr>
          <w:rFonts w:hint="eastAsia"/>
        </w:rPr>
        <w:t>企业在生产过程中，会有一定污泥产生，每月约有3吨</w:t>
      </w:r>
      <w:r>
        <w:rPr>
          <w:rFonts w:hint="eastAsia"/>
          <w:lang w:val="en-US" w:eastAsia="zh-CN"/>
        </w:rPr>
        <w:t>，本项目污泥的清理、运输和处置均由具有资质单位处理处置</w:t>
      </w:r>
      <w:r>
        <w:rPr>
          <w:rFonts w:hint="eastAsia"/>
          <w:lang w:val="en-GB" w:eastAsia="zh-CN"/>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公司</w:t>
      </w:r>
      <w:r>
        <w:rPr>
          <w:rFonts w:hint="eastAsia" w:ascii="宋体" w:hAnsi="宋体" w:eastAsia="宋体" w:cs="宋体"/>
          <w:color w:val="auto"/>
          <w:sz w:val="24"/>
          <w:szCs w:val="24"/>
        </w:rPr>
        <w:t>以“预防为主、防控结合”的指导思想，建立安全、及时、有效的污染综合预防与控制体系，确保事故状态下的污水全部处于受控状态，事故废水得到有效处理，防止对周围地表水和地下水的污染。</w:t>
      </w:r>
    </w:p>
    <w:p>
      <w:pPr>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（1）一级防控措施</w:t>
      </w:r>
    </w:p>
    <w:p>
      <w:pPr>
        <w:autoSpaceDE w:val="0"/>
        <w:autoSpaceDN w:val="0"/>
        <w:adjustRightInd w:val="0"/>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 w:val="24"/>
          <w:lang w:eastAsia="zh-CN"/>
        </w:rPr>
        <w:t>罐区等重点区域</w:t>
      </w:r>
      <w:r>
        <w:rPr>
          <w:rFonts w:hint="eastAsia" w:ascii="宋体" w:hAnsi="宋体" w:eastAsia="宋体" w:cs="宋体"/>
          <w:bCs/>
          <w:color w:val="auto"/>
          <w:sz w:val="24"/>
          <w:szCs w:val="24"/>
          <w:lang w:val="zh-CN"/>
        </w:rPr>
        <w:t>采用水平防渗处理、</w:t>
      </w:r>
      <w:r>
        <w:rPr>
          <w:rFonts w:hint="eastAsia" w:ascii="宋体" w:hAnsi="宋体" w:eastAsia="宋体" w:cs="宋体"/>
          <w:color w:val="auto"/>
          <w:szCs w:val="21"/>
          <w:lang w:eastAsia="zh-CN"/>
        </w:rPr>
        <w:t>该公司</w:t>
      </w:r>
      <w:r>
        <w:rPr>
          <w:rFonts w:hint="eastAsia" w:ascii="宋体" w:hAnsi="宋体" w:eastAsia="宋体" w:cs="宋体"/>
          <w:color w:val="auto"/>
          <w:szCs w:val="21"/>
        </w:rPr>
        <w:t>原料储罐不属于易燃、可燃物质，罐区设有30cm的围堤</w:t>
      </w:r>
    </w:p>
    <w:p>
      <w:pPr>
        <w:autoSpaceDE w:val="0"/>
        <w:autoSpaceDN w:val="0"/>
        <w:adjustRightIn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（2）二级防控措施</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Cs w:val="21"/>
        </w:rPr>
        <w:t>设有300m</w:t>
      </w:r>
      <w:r>
        <w:rPr>
          <w:rFonts w:hint="eastAsia" w:ascii="宋体" w:hAnsi="宋体" w:eastAsia="宋体" w:cs="宋体"/>
          <w:color w:val="auto"/>
          <w:szCs w:val="21"/>
          <w:vertAlign w:val="superscript"/>
        </w:rPr>
        <w:t>3</w:t>
      </w:r>
      <w:r>
        <w:rPr>
          <w:rFonts w:hint="eastAsia" w:ascii="宋体" w:hAnsi="宋体" w:eastAsia="宋体" w:cs="宋体"/>
          <w:color w:val="auto"/>
          <w:szCs w:val="21"/>
        </w:rPr>
        <w:t>消防水池</w:t>
      </w:r>
      <w:r>
        <w:rPr>
          <w:rFonts w:hint="eastAsia" w:ascii="宋体" w:hAnsi="宋体" w:eastAsia="宋体" w:cs="宋体"/>
          <w:color w:val="auto"/>
          <w:sz w:val="24"/>
          <w:lang w:eastAsia="zh-CN"/>
        </w:rPr>
        <w:t>，一旦突发环境事件可将事故废水排至消防水池，确保事故废水不外排</w:t>
      </w:r>
      <w:r>
        <w:rPr>
          <w:rFonts w:hint="eastAsia" w:ascii="宋体" w:hAnsi="宋体" w:eastAsia="宋体" w:cs="宋体"/>
          <w:color w:val="auto"/>
          <w:sz w:val="24"/>
        </w:rPr>
        <w:t>。</w:t>
      </w:r>
    </w:p>
    <w:p>
      <w:pPr>
        <w:autoSpaceDE w:val="0"/>
        <w:autoSpaceDN w:val="0"/>
        <w:adjustRightIn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（3）三级防控措施</w:t>
      </w:r>
    </w:p>
    <w:p>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kern w:val="0"/>
          <w:sz w:val="24"/>
          <w:szCs w:val="24"/>
          <w:lang w:eastAsia="zh-CN"/>
        </w:rPr>
        <w:t>设置雨水收集、排放设施，雨水</w:t>
      </w:r>
      <w:r>
        <w:rPr>
          <w:rFonts w:hint="eastAsia" w:ascii="宋体" w:hAnsi="宋体" w:eastAsia="宋体" w:cs="宋体"/>
          <w:color w:val="auto"/>
          <w:kern w:val="0"/>
          <w:sz w:val="24"/>
          <w:szCs w:val="24"/>
        </w:rPr>
        <w:t>排放口</w:t>
      </w:r>
      <w:r>
        <w:rPr>
          <w:rFonts w:hint="eastAsia" w:ascii="宋体" w:hAnsi="宋体" w:eastAsia="宋体" w:cs="宋体"/>
          <w:color w:val="auto"/>
          <w:kern w:val="0"/>
          <w:sz w:val="24"/>
          <w:szCs w:val="24"/>
          <w:lang w:eastAsia="zh-CN"/>
        </w:rPr>
        <w:t>需设置</w:t>
      </w:r>
      <w:r>
        <w:rPr>
          <w:rFonts w:hint="eastAsia" w:ascii="宋体" w:hAnsi="宋体" w:eastAsia="宋体" w:cs="宋体"/>
          <w:color w:val="auto"/>
          <w:kern w:val="0"/>
          <w:sz w:val="24"/>
          <w:szCs w:val="24"/>
        </w:rPr>
        <w:t>切断措施，一旦出现</w:t>
      </w:r>
      <w:r>
        <w:rPr>
          <w:rFonts w:hint="eastAsia" w:ascii="宋体" w:hAnsi="宋体" w:eastAsia="宋体" w:cs="宋体"/>
          <w:color w:val="auto"/>
          <w:kern w:val="0"/>
          <w:sz w:val="24"/>
          <w:szCs w:val="24"/>
          <w:lang w:eastAsia="zh-CN"/>
        </w:rPr>
        <w:t>事故废水</w:t>
      </w:r>
      <w:r>
        <w:rPr>
          <w:rFonts w:hint="eastAsia" w:ascii="宋体" w:hAnsi="宋体" w:eastAsia="宋体" w:cs="宋体"/>
          <w:color w:val="auto"/>
          <w:kern w:val="0"/>
          <w:sz w:val="24"/>
          <w:szCs w:val="24"/>
        </w:rPr>
        <w:t>，可以立即切断</w:t>
      </w:r>
      <w:r>
        <w:rPr>
          <w:rFonts w:hint="eastAsia" w:ascii="宋体" w:hAnsi="宋体" w:eastAsia="宋体" w:cs="宋体"/>
          <w:color w:val="auto"/>
          <w:kern w:val="0"/>
          <w:sz w:val="24"/>
          <w:szCs w:val="24"/>
          <w:lang w:eastAsia="zh-CN"/>
        </w:rPr>
        <w:t>雨水</w:t>
      </w:r>
      <w:r>
        <w:rPr>
          <w:rFonts w:hint="eastAsia" w:ascii="宋体" w:hAnsi="宋体" w:eastAsia="宋体" w:cs="宋体"/>
          <w:color w:val="auto"/>
          <w:kern w:val="0"/>
          <w:sz w:val="24"/>
          <w:szCs w:val="24"/>
        </w:rPr>
        <w:t>排放口闸阀</w:t>
      </w:r>
      <w:r>
        <w:rPr>
          <w:rFonts w:hint="eastAsia" w:ascii="宋体" w:hAnsi="宋体" w:eastAsia="宋体" w:cs="宋体"/>
          <w:color w:val="auto"/>
          <w:kern w:val="0"/>
          <w:sz w:val="24"/>
          <w:szCs w:val="24"/>
          <w:lang w:eastAsia="zh-CN"/>
        </w:rPr>
        <w:t>（</w:t>
      </w:r>
      <w:r>
        <w:rPr>
          <w:rFonts w:hint="eastAsia" w:ascii="宋体" w:hAnsi="宋体" w:eastAsia="宋体" w:cs="宋体"/>
          <w:color w:val="auto"/>
          <w:sz w:val="24"/>
        </w:rPr>
        <w:t>正常情况下至外环境管道阀门关闭</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，能够确保</w:t>
      </w:r>
      <w:r>
        <w:rPr>
          <w:rFonts w:hint="eastAsia" w:ascii="宋体" w:hAnsi="宋体" w:eastAsia="宋体" w:cs="宋体"/>
          <w:color w:val="auto"/>
          <w:kern w:val="0"/>
          <w:sz w:val="24"/>
          <w:szCs w:val="24"/>
          <w:lang w:eastAsia="zh-CN"/>
        </w:rPr>
        <w:t>事故</w:t>
      </w:r>
      <w:r>
        <w:rPr>
          <w:rFonts w:hint="eastAsia" w:ascii="宋体" w:hAnsi="宋体" w:eastAsia="宋体" w:cs="宋体"/>
          <w:color w:val="auto"/>
          <w:kern w:val="0"/>
          <w:sz w:val="24"/>
          <w:szCs w:val="24"/>
        </w:rPr>
        <w:t>废水不外排</w:t>
      </w:r>
      <w:r>
        <w:rPr>
          <w:rFonts w:hint="eastAsia" w:ascii="宋体" w:hAnsi="宋体" w:eastAsia="宋体" w:cs="宋体"/>
          <w:color w:val="auto"/>
          <w:sz w:val="24"/>
        </w:rPr>
        <w:t>。</w:t>
      </w:r>
    </w:p>
    <w:p>
      <w:pPr>
        <w:spacing w:line="360" w:lineRule="auto"/>
        <w:ind w:firstLine="480" w:firstLineChars="200"/>
        <w:rPr>
          <w:rFonts w:hint="eastAsia" w:ascii="宋体" w:hAnsi="宋体" w:eastAsia="宋体" w:cs="宋体"/>
          <w:color w:val="auto"/>
          <w:sz w:val="24"/>
          <w:lang w:val="en-GB"/>
        </w:rPr>
      </w:pPr>
      <w:r>
        <w:rPr>
          <w:rFonts w:hint="eastAsia" w:ascii="宋体" w:hAnsi="宋体" w:eastAsia="宋体" w:cs="宋体"/>
          <w:color w:val="auto"/>
          <w:sz w:val="24"/>
          <w:lang w:val="en-GB"/>
        </w:rPr>
        <w:t>6、防毒措施</w:t>
      </w:r>
    </w:p>
    <w:p>
      <w:pPr>
        <w:autoSpaceDE w:val="0"/>
        <w:autoSpaceDN w:val="0"/>
        <w:adjustRightInd w:val="0"/>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在有毒性危害的作业环境中，应设计必要的淋洗器、洗眼器等卫生防护设施，其服务半径小于15m。并根据作业特点和防护要求，配置事故柜、急救箱和个人防护用品。</w:t>
      </w:r>
    </w:p>
    <w:p>
      <w:pPr>
        <w:autoSpaceDE w:val="0"/>
        <w:autoSpaceDN w:val="0"/>
        <w:adjustRightIn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4.2.2 应急措施</w:t>
      </w:r>
    </w:p>
    <w:p>
      <w:pPr>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事故（包括已发生的事故、即将可能发生的事故或未遂事故）发生后，应沉着冷静，了解事故发生的具体情况，客观分析、准确判断，分类、分级，迅速果断地采取相应有效的处理措施，防止事故后果的扩大，最大限度地降低事故损失，现场抢险、救援主要采取停车、隔离、覆盖、转移、收集等方式、方法进行处置。</w:t>
      </w:r>
    </w:p>
    <w:p>
      <w:pPr>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（1）抢险救援方式、方法</w:t>
      </w:r>
    </w:p>
    <w:p>
      <w:pPr>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lang w:eastAsia="zh-CN"/>
        </w:rPr>
        <w:t>抢险救灾组成员</w:t>
      </w:r>
      <w:r>
        <w:rPr>
          <w:rFonts w:hint="eastAsia" w:ascii="宋体" w:hAnsi="宋体" w:eastAsia="宋体" w:cs="宋体"/>
          <w:color w:val="auto"/>
          <w:kern w:val="0"/>
          <w:sz w:val="24"/>
        </w:rPr>
        <w:t>根据指挥部下达的抢修指令，迅速进行抢修设备，控制事故、以及防止事故扩大。</w:t>
      </w:r>
    </w:p>
    <w:p>
      <w:pPr>
        <w:spacing w:line="360" w:lineRule="auto"/>
        <w:ind w:firstLine="480" w:firstLineChars="200"/>
        <w:rPr>
          <w:rFonts w:hint="eastAsia" w:ascii="宋体" w:hAnsi="宋体" w:eastAsia="宋体" w:cs="宋体"/>
          <w:color w:val="auto"/>
          <w:kern w:val="0"/>
          <w:sz w:val="24"/>
        </w:rPr>
      </w:pPr>
      <w:r>
        <w:rPr>
          <w:rFonts w:hint="eastAsia"/>
          <w:lang w:val="en-US" w:eastAsia="zh-CN"/>
        </w:rPr>
        <w:t>警戒保卫</w:t>
      </w:r>
      <w:r>
        <w:rPr>
          <w:rFonts w:hint="eastAsia"/>
        </w:rPr>
        <w:t>组</w:t>
      </w:r>
      <w:r>
        <w:rPr>
          <w:rFonts w:hint="eastAsia" w:ascii="宋体" w:hAnsi="宋体" w:eastAsia="宋体" w:cs="宋体"/>
          <w:color w:val="auto"/>
          <w:kern w:val="0"/>
          <w:sz w:val="24"/>
          <w:lang w:eastAsia="zh-CN"/>
        </w:rPr>
        <w:t>组</w:t>
      </w:r>
      <w:r>
        <w:rPr>
          <w:rFonts w:hint="eastAsia" w:ascii="宋体" w:hAnsi="宋体" w:eastAsia="宋体" w:cs="宋体"/>
          <w:color w:val="auto"/>
          <w:kern w:val="0"/>
          <w:sz w:val="24"/>
        </w:rPr>
        <w:t>人员迅速组织救援伤员撤离，组织人员在事故现场周围设岗划分禁区或加强警戒和巡逻检查，严禁无关人员进入禁区。</w:t>
      </w:r>
      <w:r>
        <w:rPr>
          <w:rFonts w:hint="eastAsia" w:ascii="宋体" w:hAnsi="宋体" w:eastAsia="宋体" w:cs="宋体"/>
          <w:color w:val="auto"/>
          <w:kern w:val="0"/>
          <w:sz w:val="24"/>
          <w:lang w:eastAsia="zh-CN"/>
        </w:rPr>
        <w:t>并</w:t>
      </w:r>
      <w:r>
        <w:rPr>
          <w:rFonts w:hint="eastAsia" w:ascii="宋体" w:hAnsi="宋体" w:eastAsia="宋体" w:cs="宋体"/>
          <w:color w:val="auto"/>
          <w:kern w:val="0"/>
          <w:sz w:val="24"/>
        </w:rPr>
        <w:t>与消防车队配合，立即救护伤员和中毒人员，对中毒人员应根据中毒症状及时采取相应的应急措施，对伤员进行医疗处置或输氧急救，重伤员应及时转送医院抢救。</w:t>
      </w:r>
    </w:p>
    <w:p>
      <w:pPr>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（2）控制事故扩大的措施</w:t>
      </w:r>
    </w:p>
    <w:p>
      <w:pPr>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发生事故的部门就迅速查明事故发生源点和原因，指挥部成员到达现场后，根据事故状况及危害程度作出相应的应急决定，并命令各应急救援专业队立即开展抢救抢险。如事故扩大时，应请求救援。如发生大面积火灾，则由应急总指挥命令停止一切作业。</w:t>
      </w:r>
    </w:p>
    <w:p>
      <w:pPr>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（3）事故可能扩大后的应急措施</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kern w:val="0"/>
          <w:sz w:val="24"/>
        </w:rPr>
        <w:t>如果发生重大环境事故，指挥人员迅速向主管部门和公安、消防、环保、卫生等上级领导机关报告事故情况，由指挥部下达紧急安全疏散命令，</w:t>
      </w:r>
      <w:r>
        <w:rPr>
          <w:rFonts w:hint="eastAsia" w:ascii="宋体" w:hAnsi="宋体" w:eastAsia="宋体" w:cs="宋体"/>
          <w:color w:val="auto"/>
          <w:kern w:val="0"/>
          <w:sz w:val="24"/>
          <w:lang w:eastAsia="zh-CN"/>
        </w:rPr>
        <w:t>该企业</w:t>
      </w:r>
      <w:r>
        <w:rPr>
          <w:rFonts w:hint="eastAsia" w:ascii="宋体" w:hAnsi="宋体" w:eastAsia="宋体" w:cs="宋体"/>
          <w:color w:val="auto"/>
          <w:kern w:val="0"/>
          <w:sz w:val="24"/>
        </w:rPr>
        <w:t>抢险抢修力量不足或有可能危及社会安全时，由指挥部立即向上级</w:t>
      </w:r>
      <w:r>
        <w:rPr>
          <w:rFonts w:hint="eastAsia" w:ascii="宋体" w:hAnsi="宋体" w:eastAsia="宋体" w:cs="宋体"/>
          <w:color w:val="auto"/>
          <w:kern w:val="0"/>
          <w:sz w:val="24"/>
          <w:lang w:eastAsia="zh-CN"/>
        </w:rPr>
        <w:t>部门</w:t>
      </w:r>
      <w:r>
        <w:rPr>
          <w:rFonts w:hint="eastAsia" w:ascii="宋体" w:hAnsi="宋体" w:eastAsia="宋体" w:cs="宋体"/>
          <w:color w:val="auto"/>
          <w:kern w:val="0"/>
          <w:sz w:val="24"/>
        </w:rPr>
        <w:t>通报，必要时请求社会力量帮助。社会援助队伍进入厂区时，由</w:t>
      </w:r>
      <w:r>
        <w:rPr>
          <w:rFonts w:hint="eastAsia" w:ascii="宋体" w:hAnsi="宋体" w:eastAsia="宋体" w:cs="宋体"/>
          <w:color w:val="auto"/>
          <w:kern w:val="0"/>
          <w:sz w:val="24"/>
          <w:lang w:eastAsia="zh-CN"/>
        </w:rPr>
        <w:t>后勤保障组</w:t>
      </w:r>
      <w:r>
        <w:rPr>
          <w:rFonts w:hint="eastAsia" w:ascii="宋体" w:hAnsi="宋体" w:eastAsia="宋体" w:cs="宋体"/>
          <w:color w:val="auto"/>
          <w:kern w:val="0"/>
          <w:sz w:val="24"/>
        </w:rPr>
        <w:t>组人员联络、引导并告知注意事项。</w:t>
      </w:r>
    </w:p>
    <w:p>
      <w:pPr>
        <w:pStyle w:val="4"/>
        <w:rPr>
          <w:rFonts w:hint="eastAsia" w:ascii="宋体" w:hAnsi="宋体" w:eastAsia="宋体" w:cs="宋体"/>
          <w:color w:val="auto"/>
        </w:rPr>
      </w:pPr>
      <w:bookmarkStart w:id="139" w:name="_Toc17382"/>
      <w:r>
        <w:rPr>
          <w:rFonts w:hint="eastAsia" w:ascii="宋体" w:hAnsi="宋体" w:eastAsia="宋体" w:cs="宋体"/>
          <w:color w:val="auto"/>
        </w:rPr>
        <w:t>4.</w:t>
      </w:r>
      <w:r>
        <w:rPr>
          <w:rFonts w:hint="eastAsia" w:ascii="宋体" w:hAnsi="宋体" w:cs="宋体"/>
          <w:color w:val="auto"/>
          <w:lang w:val="en-US" w:eastAsia="zh-CN"/>
        </w:rPr>
        <w:t>3</w:t>
      </w:r>
      <w:r>
        <w:rPr>
          <w:rFonts w:hint="eastAsia" w:ascii="宋体" w:hAnsi="宋体" w:eastAsia="宋体" w:cs="宋体"/>
          <w:color w:val="auto"/>
        </w:rPr>
        <w:t>.3 应急资源准备</w:t>
      </w:r>
      <w:bookmarkEnd w:id="137"/>
      <w:bookmarkEnd w:id="138"/>
      <w:bookmarkEnd w:id="139"/>
    </w:p>
    <w:p>
      <w:pPr>
        <w:spacing w:line="360" w:lineRule="auto"/>
        <w:ind w:firstLine="480"/>
        <w:rPr>
          <w:rFonts w:hint="eastAsia"/>
        </w:rPr>
      </w:pPr>
      <w:r>
        <w:rPr>
          <w:rFonts w:hint="eastAsia" w:ascii="宋体" w:hAnsi="宋体" w:eastAsia="宋体" w:cs="宋体"/>
          <w:color w:val="auto"/>
          <w:sz w:val="24"/>
        </w:rPr>
        <w:t>制订了《突发环境事件应急预案》，建立了应急救援组织和应急队伍，储备了相应的应急救援物资、器材，确保遇到突发</w:t>
      </w:r>
      <w:r>
        <w:rPr>
          <w:color w:val="auto"/>
          <w:sz w:val="24"/>
        </w:rPr>
        <w:t>环境事件时能够有效应对。</w:t>
      </w:r>
      <w:r>
        <w:rPr>
          <w:rFonts w:hint="eastAsia"/>
          <w:color w:val="auto"/>
          <w:sz w:val="24"/>
        </w:rPr>
        <w:t>应急物资详见表3.7-1。</w:t>
      </w:r>
    </w:p>
    <w:p>
      <w:pPr>
        <w:pStyle w:val="3"/>
        <w:rPr>
          <w:rFonts w:hint="eastAsia"/>
        </w:rPr>
      </w:pPr>
      <w:bookmarkStart w:id="140" w:name="_Toc432846641"/>
      <w:bookmarkStart w:id="141" w:name="_Toc16314"/>
      <w:r>
        <w:rPr>
          <w:rFonts w:hint="eastAsia"/>
        </w:rPr>
        <w:t>4.4突发环境事件危害后果分析</w:t>
      </w:r>
      <w:bookmarkEnd w:id="140"/>
      <w:bookmarkEnd w:id="141"/>
    </w:p>
    <w:p>
      <w:pPr>
        <w:rPr>
          <w:rFonts w:hint="eastAsia"/>
        </w:rPr>
      </w:pPr>
      <w:r>
        <w:rPr>
          <w:rFonts w:hint="eastAsia"/>
        </w:rPr>
        <w:t>根据前述各类突发环境事件情景源强及影响分析结果，从地表水、地下水、土壤、大气、人口及至社会等方面考虑，并给出本企业</w:t>
      </w:r>
    </w:p>
    <w:p>
      <w:pPr>
        <w:rPr>
          <w:rFonts w:hint="eastAsia"/>
        </w:rPr>
      </w:pPr>
      <w:r>
        <w:rPr>
          <w:rFonts w:hint="eastAsia"/>
        </w:rPr>
        <w:t>突发环境事件对环境风险受体的影响程度和范围，见表4.4-1。</w:t>
      </w:r>
    </w:p>
    <w:p>
      <w:pPr>
        <w:rPr>
          <w:rFonts w:hint="eastAsia"/>
        </w:rPr>
      </w:pPr>
      <w:r>
        <w:rPr>
          <w:rFonts w:hint="eastAsia"/>
        </w:rPr>
        <w:t>表4.4-1本项目突发环境事件各类情景可能产生的后果分析</w:t>
      </w:r>
    </w:p>
    <w:p/>
    <w:tbl>
      <w:tblPr>
        <w:tblStyle w:val="17"/>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40"/>
        <w:gridCol w:w="396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080" w:type="dxa"/>
            <w:vAlign w:val="center"/>
          </w:tcPr>
          <w:p>
            <w:pPr>
              <w:ind w:left="0" w:leftChars="0" w:firstLine="0" w:firstLineChars="0"/>
              <w:rPr>
                <w:rFonts w:hint="eastAsia"/>
              </w:rPr>
            </w:pPr>
            <w:r>
              <w:rPr>
                <w:rFonts w:hint="eastAsia"/>
              </w:rPr>
              <w:t>序号</w:t>
            </w:r>
          </w:p>
        </w:tc>
        <w:tc>
          <w:tcPr>
            <w:tcW w:w="2340" w:type="dxa"/>
            <w:vAlign w:val="center"/>
          </w:tcPr>
          <w:p>
            <w:pPr>
              <w:ind w:left="0" w:leftChars="0" w:firstLine="0" w:firstLineChars="0"/>
              <w:rPr>
                <w:rFonts w:hint="eastAsia"/>
              </w:rPr>
            </w:pPr>
            <w:r>
              <w:rPr>
                <w:rFonts w:hint="eastAsia"/>
              </w:rPr>
              <w:t>突发环境事件类型</w:t>
            </w:r>
          </w:p>
        </w:tc>
        <w:tc>
          <w:tcPr>
            <w:tcW w:w="3960" w:type="dxa"/>
            <w:vAlign w:val="center"/>
          </w:tcPr>
          <w:p>
            <w:pPr>
              <w:ind w:left="0" w:leftChars="0" w:firstLine="0" w:firstLineChars="0"/>
              <w:rPr>
                <w:rFonts w:hint="eastAsia"/>
              </w:rPr>
            </w:pPr>
            <w:r>
              <w:rPr>
                <w:rFonts w:hint="eastAsia"/>
              </w:rPr>
              <w:t>各类突发环境事件对环境风险受体的影响程度及范围</w:t>
            </w:r>
          </w:p>
        </w:tc>
        <w:tc>
          <w:tcPr>
            <w:tcW w:w="1620" w:type="dxa"/>
            <w:vAlign w:val="center"/>
          </w:tcPr>
          <w:p>
            <w:pPr>
              <w:ind w:left="0" w:leftChars="0" w:firstLine="0" w:firstLineChars="0"/>
              <w:rPr>
                <w:rFonts w:hint="eastAsia"/>
              </w:rPr>
            </w:pPr>
            <w:r>
              <w:rPr>
                <w:rFonts w:hint="eastAsia"/>
              </w:rPr>
              <w:t>预估突发环</w:t>
            </w:r>
          </w:p>
          <w:p>
            <w:pPr>
              <w:ind w:left="0" w:leftChars="0" w:firstLine="0" w:firstLineChars="0"/>
              <w:rPr>
                <w:rFonts w:hint="eastAsia"/>
              </w:rPr>
            </w:pPr>
            <w:r>
              <w:rPr>
                <w:rFonts w:hint="eastAsia"/>
              </w:rPr>
              <w:t>境事件级别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1080" w:type="dxa"/>
            <w:vAlign w:val="center"/>
          </w:tcPr>
          <w:p>
            <w:pPr>
              <w:rPr>
                <w:rFonts w:hint="eastAsia"/>
              </w:rPr>
            </w:pPr>
            <w:r>
              <w:rPr>
                <w:rFonts w:hint="eastAsia"/>
              </w:rPr>
              <w:t>1</w:t>
            </w:r>
          </w:p>
        </w:tc>
        <w:tc>
          <w:tcPr>
            <w:tcW w:w="2340" w:type="dxa"/>
            <w:vAlign w:val="center"/>
          </w:tcPr>
          <w:p>
            <w:pPr>
              <w:rPr>
                <w:rFonts w:hint="eastAsia"/>
              </w:rPr>
            </w:pPr>
            <w:r>
              <w:rPr>
                <w:rFonts w:hint="eastAsia"/>
              </w:rPr>
              <w:t>火灾、爆炸事故</w:t>
            </w:r>
          </w:p>
        </w:tc>
        <w:tc>
          <w:tcPr>
            <w:tcW w:w="3960" w:type="dxa"/>
            <w:vAlign w:val="center"/>
          </w:tcPr>
          <w:p>
            <w:pPr>
              <w:rPr>
                <w:rFonts w:hint="eastAsia"/>
              </w:rPr>
            </w:pPr>
            <w:r>
              <w:rPr>
                <w:rFonts w:hint="eastAsia"/>
              </w:rPr>
              <w:t>火灾爆炸事故次生的</w:t>
            </w:r>
            <w:r>
              <w:rPr>
                <w:rFonts w:hint="eastAsia"/>
                <w:lang w:val="en-US" w:eastAsia="zh-CN"/>
              </w:rPr>
              <w:t>硫化钠</w:t>
            </w:r>
            <w:r>
              <w:rPr>
                <w:rFonts w:hint="eastAsia"/>
              </w:rPr>
              <w:t>和危险物料泄漏排放会对周围环境空气造成严重影响，但本项目</w:t>
            </w:r>
            <w:r>
              <w:rPr>
                <w:rFonts w:hint="eastAsia"/>
                <w:lang w:eastAsia="zh-CN"/>
              </w:rPr>
              <w:t>原料</w:t>
            </w:r>
            <w:r>
              <w:rPr>
                <w:rFonts w:hint="eastAsia"/>
              </w:rPr>
              <w:t>不易燃、不易爆，，装置区发生火灾对环境影响不大，爆炸时最大影响范围为本车间。</w:t>
            </w:r>
          </w:p>
          <w:p>
            <w:pPr>
              <w:rPr>
                <w:rFonts w:hint="eastAsia"/>
              </w:rPr>
            </w:pPr>
            <w:r>
              <w:rPr>
                <w:rFonts w:hint="eastAsia"/>
              </w:rPr>
              <w:t>火灾事故衍生的消防尾水中含有大量的危险化学品，如不对废水进行有效收集，当排入外环境水，必将对</w:t>
            </w:r>
            <w:r>
              <w:rPr>
                <w:rFonts w:hint="eastAsia"/>
                <w:lang w:eastAsia="zh-CN"/>
              </w:rPr>
              <w:t>长江</w:t>
            </w:r>
            <w:r>
              <w:rPr>
                <w:rFonts w:hint="eastAsia"/>
              </w:rPr>
              <w:t>下游水质及沿途地下水、土壤造成污染。</w:t>
            </w:r>
          </w:p>
        </w:tc>
        <w:tc>
          <w:tcPr>
            <w:tcW w:w="1620" w:type="dxa"/>
            <w:vAlign w:val="center"/>
          </w:tcPr>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Ⅱ-Ⅳ级</w:t>
            </w:r>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080" w:type="dxa"/>
            <w:vAlign w:val="center"/>
          </w:tcPr>
          <w:p>
            <w:pPr>
              <w:rPr>
                <w:rFonts w:hint="eastAsia"/>
              </w:rPr>
            </w:pPr>
            <w:r>
              <w:rPr>
                <w:rFonts w:hint="eastAsia"/>
              </w:rPr>
              <w:t>2</w:t>
            </w:r>
          </w:p>
        </w:tc>
        <w:tc>
          <w:tcPr>
            <w:tcW w:w="2340" w:type="dxa"/>
            <w:vAlign w:val="center"/>
          </w:tcPr>
          <w:p>
            <w:pPr>
              <w:rPr>
                <w:rFonts w:hint="eastAsia"/>
              </w:rPr>
            </w:pPr>
            <w:r>
              <w:rPr>
                <w:rFonts w:hint="eastAsia"/>
              </w:rPr>
              <w:t>危险化学</w:t>
            </w:r>
          </w:p>
          <w:p>
            <w:pPr>
              <w:rPr>
                <w:rFonts w:hint="eastAsia"/>
              </w:rPr>
            </w:pPr>
            <w:r>
              <w:rPr>
                <w:rFonts w:hint="eastAsia"/>
              </w:rPr>
              <w:t>品泄漏</w:t>
            </w:r>
          </w:p>
          <w:p>
            <w:pPr>
              <w:rPr>
                <w:rFonts w:hint="eastAsia"/>
              </w:rPr>
            </w:pPr>
          </w:p>
        </w:tc>
        <w:tc>
          <w:tcPr>
            <w:tcW w:w="3960" w:type="dxa"/>
            <w:vAlign w:val="center"/>
          </w:tcPr>
          <w:p>
            <w:pPr>
              <w:rPr>
                <w:rFonts w:hint="eastAsia"/>
              </w:rPr>
            </w:pPr>
            <w:r>
              <w:rPr>
                <w:rFonts w:hint="eastAsia"/>
              </w:rPr>
              <w:t>储罐泄漏后，可控制在现有围堰内，该围堰外设集水井并通过管道与事故池相连，可视程度进行回用或处置。</w:t>
            </w:r>
          </w:p>
        </w:tc>
        <w:tc>
          <w:tcPr>
            <w:tcW w:w="1620" w:type="dxa"/>
            <w:vAlign w:val="center"/>
          </w:tcPr>
          <w:p>
            <w:pPr>
              <w:rPr>
                <w:rFonts w:hint="eastAsia"/>
              </w:rPr>
            </w:pPr>
          </w:p>
          <w:p>
            <w:pPr>
              <w:rPr>
                <w:rFonts w:hint="eastAsia"/>
              </w:rPr>
            </w:pPr>
            <w:r>
              <w:rPr>
                <w:rFonts w:hint="eastAsia"/>
              </w:rPr>
              <w:t>Ⅲ</w:t>
            </w:r>
            <w:r>
              <w:rPr>
                <w:rFonts w:hint="eastAsia"/>
                <w:lang w:val="en-US" w:eastAsia="zh-CN"/>
              </w:rPr>
              <w:t>-</w:t>
            </w:r>
            <w:r>
              <w:rPr>
                <w:rFonts w:hint="eastAsia"/>
              </w:rPr>
              <w:t>Ⅳ级</w:t>
            </w:r>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1080" w:type="dxa"/>
            <w:vAlign w:val="center"/>
          </w:tcPr>
          <w:p>
            <w:pPr>
              <w:rPr>
                <w:rFonts w:hint="eastAsia"/>
              </w:rPr>
            </w:pPr>
            <w:r>
              <w:rPr>
                <w:rFonts w:hint="eastAsia"/>
              </w:rPr>
              <w:t>3</w:t>
            </w:r>
          </w:p>
        </w:tc>
        <w:tc>
          <w:tcPr>
            <w:tcW w:w="2340" w:type="dxa"/>
            <w:vAlign w:val="center"/>
          </w:tcPr>
          <w:p>
            <w:pPr>
              <w:rPr>
                <w:rFonts w:hint="eastAsia"/>
              </w:rPr>
            </w:pPr>
            <w:r>
              <w:rPr>
                <w:rFonts w:hint="eastAsia"/>
              </w:rPr>
              <w:t>风险防控</w:t>
            </w:r>
          </w:p>
          <w:p>
            <w:pPr>
              <w:rPr>
                <w:rFonts w:hint="eastAsia"/>
              </w:rPr>
            </w:pPr>
            <w:r>
              <w:rPr>
                <w:rFonts w:hint="eastAsia"/>
              </w:rPr>
              <w:t>设施失灵</w:t>
            </w:r>
          </w:p>
          <w:p>
            <w:pPr>
              <w:rPr>
                <w:rFonts w:hint="eastAsia"/>
              </w:rPr>
            </w:pPr>
          </w:p>
        </w:tc>
        <w:tc>
          <w:tcPr>
            <w:tcW w:w="3960" w:type="dxa"/>
            <w:vAlign w:val="center"/>
          </w:tcPr>
          <w:p>
            <w:pPr>
              <w:rPr>
                <w:rFonts w:hint="eastAsia"/>
              </w:rPr>
            </w:pPr>
            <w:r>
              <w:rPr>
                <w:rFonts w:hint="eastAsia"/>
              </w:rPr>
              <w:t>水环境风险防控措施失灵，含有危险化学品的消防尾水通过雨水管网直接排入地表水体。</w:t>
            </w:r>
          </w:p>
        </w:tc>
        <w:tc>
          <w:tcPr>
            <w:tcW w:w="1620" w:type="dxa"/>
            <w:vAlign w:val="center"/>
          </w:tcPr>
          <w:p>
            <w:pPr>
              <w:rPr>
                <w:rFonts w:hint="eastAsia"/>
              </w:rPr>
            </w:pPr>
          </w:p>
          <w:p>
            <w:pPr>
              <w:rPr>
                <w:rFonts w:hint="eastAsia"/>
              </w:rPr>
            </w:pPr>
            <w:r>
              <w:rPr>
                <w:rFonts w:hint="eastAsia"/>
              </w:rPr>
              <w:t>Ⅲ</w:t>
            </w:r>
            <w:r>
              <w:rPr>
                <w:rFonts w:hint="eastAsia"/>
                <w:lang w:val="en-US" w:eastAsia="zh-CN"/>
              </w:rPr>
              <w:t>-</w:t>
            </w:r>
            <w:r>
              <w:rPr>
                <w:rFonts w:hint="eastAsia"/>
              </w:rPr>
              <w:t>Ⅳ级</w:t>
            </w:r>
          </w:p>
          <w:p>
            <w:pPr>
              <w:rPr>
                <w:rFonts w:hint="eastAsia"/>
              </w:rPr>
            </w:pPr>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080" w:type="dxa"/>
            <w:vMerge w:val="restart"/>
            <w:vAlign w:val="center"/>
          </w:tcPr>
          <w:p>
            <w:pPr>
              <w:rPr>
                <w:rFonts w:hint="eastAsia"/>
              </w:rPr>
            </w:pPr>
            <w:r>
              <w:rPr>
                <w:rFonts w:hint="eastAsia"/>
              </w:rPr>
              <w:t>4</w:t>
            </w:r>
          </w:p>
        </w:tc>
        <w:tc>
          <w:tcPr>
            <w:tcW w:w="2340" w:type="dxa"/>
            <w:vMerge w:val="restart"/>
            <w:vAlign w:val="center"/>
          </w:tcPr>
          <w:p>
            <w:pPr>
              <w:rPr>
                <w:rFonts w:hint="eastAsia"/>
              </w:rPr>
            </w:pPr>
            <w:r>
              <w:rPr>
                <w:rFonts w:hint="eastAsia"/>
              </w:rPr>
              <w:t>污染治理</w:t>
            </w:r>
          </w:p>
          <w:p>
            <w:pPr>
              <w:rPr>
                <w:rFonts w:hint="eastAsia"/>
              </w:rPr>
            </w:pPr>
            <w:r>
              <w:rPr>
                <w:rFonts w:hint="eastAsia"/>
              </w:rPr>
              <w:t>设施异常</w:t>
            </w:r>
          </w:p>
          <w:p>
            <w:pPr>
              <w:rPr>
                <w:rFonts w:hint="eastAsia"/>
              </w:rPr>
            </w:pPr>
          </w:p>
        </w:tc>
        <w:tc>
          <w:tcPr>
            <w:tcW w:w="3960" w:type="dxa"/>
            <w:vAlign w:val="center"/>
          </w:tcPr>
          <w:p>
            <w:pPr>
              <w:rPr>
                <w:rFonts w:hint="eastAsia"/>
              </w:rPr>
            </w:pPr>
            <w:r>
              <w:rPr>
                <w:rFonts w:hint="eastAsia"/>
              </w:rPr>
              <w:t>废气治理设施运行异常的最坏情景是废气未经处理直接排放，事故源强为低于火灾爆炸产生的源强，事故造成的影响范围不大。</w:t>
            </w:r>
          </w:p>
        </w:tc>
        <w:tc>
          <w:tcPr>
            <w:tcW w:w="1620" w:type="dxa"/>
            <w:vAlign w:val="center"/>
          </w:tcPr>
          <w:p>
            <w:pPr>
              <w:rPr>
                <w:rFonts w:hint="eastAsia"/>
              </w:rPr>
            </w:pPr>
            <w:r>
              <w:rPr>
                <w:rFonts w:hint="eastAsia"/>
              </w:rPr>
              <w:t>Ⅳ级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080" w:type="dxa"/>
            <w:vMerge w:val="continue"/>
            <w:vAlign w:val="center"/>
          </w:tcPr>
          <w:p>
            <w:pPr>
              <w:rPr>
                <w:rFonts w:hint="eastAsia"/>
              </w:rPr>
            </w:pPr>
          </w:p>
        </w:tc>
        <w:tc>
          <w:tcPr>
            <w:tcW w:w="2340" w:type="dxa"/>
            <w:vMerge w:val="continue"/>
            <w:vAlign w:val="center"/>
          </w:tcPr>
          <w:p>
            <w:pPr>
              <w:rPr>
                <w:rFonts w:hint="eastAsia"/>
              </w:rPr>
            </w:pPr>
          </w:p>
        </w:tc>
        <w:tc>
          <w:tcPr>
            <w:tcW w:w="3960" w:type="dxa"/>
            <w:vAlign w:val="center"/>
          </w:tcPr>
          <w:p>
            <w:pPr>
              <w:rPr>
                <w:rFonts w:hint="eastAsia"/>
              </w:rPr>
            </w:pPr>
            <w:r>
              <w:rPr>
                <w:rFonts w:hint="eastAsia"/>
              </w:rPr>
              <w:t>废水治理设施运行异常的最坏情景是废水未经有效处理直接排放，对</w:t>
            </w:r>
            <w:r>
              <w:rPr>
                <w:rFonts w:hint="eastAsia"/>
                <w:lang w:eastAsia="zh-CN"/>
              </w:rPr>
              <w:t>园区</w:t>
            </w:r>
            <w:r>
              <w:rPr>
                <w:rFonts w:hint="eastAsia"/>
              </w:rPr>
              <w:t>污水处理厂水质影响不大，对外环境不会造成影响。</w:t>
            </w:r>
          </w:p>
        </w:tc>
        <w:tc>
          <w:tcPr>
            <w:tcW w:w="1620" w:type="dxa"/>
            <w:vAlign w:val="center"/>
          </w:tcPr>
          <w:p>
            <w:pPr>
              <w:rPr>
                <w:rFonts w:hint="eastAsia"/>
              </w:rPr>
            </w:pPr>
            <w:r>
              <w:rPr>
                <w:rFonts w:hint="eastAsia"/>
              </w:rPr>
              <w:t>Ⅳ级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080" w:type="dxa"/>
            <w:vMerge w:val="restart"/>
            <w:vAlign w:val="center"/>
          </w:tcPr>
          <w:p>
            <w:pPr>
              <w:rPr>
                <w:rFonts w:hint="eastAsia"/>
              </w:rPr>
            </w:pPr>
            <w:r>
              <w:rPr>
                <w:rFonts w:hint="eastAsia"/>
              </w:rPr>
              <w:t>5</w:t>
            </w:r>
          </w:p>
        </w:tc>
        <w:tc>
          <w:tcPr>
            <w:tcW w:w="2340" w:type="dxa"/>
            <w:vMerge w:val="restart"/>
            <w:vAlign w:val="center"/>
          </w:tcPr>
          <w:p>
            <w:pPr>
              <w:rPr>
                <w:rFonts w:hint="eastAsia"/>
              </w:rPr>
            </w:pPr>
            <w:r>
              <w:rPr>
                <w:rFonts w:hint="eastAsia"/>
              </w:rPr>
              <w:t>企业违法</w:t>
            </w:r>
          </w:p>
          <w:p>
            <w:pPr>
              <w:rPr>
                <w:rFonts w:hint="eastAsia"/>
              </w:rPr>
            </w:pPr>
            <w:r>
              <w:rPr>
                <w:rFonts w:hint="eastAsia"/>
              </w:rPr>
              <w:t>排污</w:t>
            </w:r>
          </w:p>
          <w:p>
            <w:pPr>
              <w:rPr>
                <w:rFonts w:hint="eastAsia"/>
              </w:rPr>
            </w:pPr>
          </w:p>
        </w:tc>
        <w:tc>
          <w:tcPr>
            <w:tcW w:w="3960" w:type="dxa"/>
            <w:vAlign w:val="center"/>
          </w:tcPr>
          <w:p>
            <w:pPr>
              <w:rPr>
                <w:rFonts w:hint="eastAsia"/>
              </w:rPr>
            </w:pPr>
            <w:r>
              <w:rPr>
                <w:rFonts w:hint="eastAsia"/>
              </w:rPr>
              <w:t>企业将</w:t>
            </w:r>
            <w:r>
              <w:rPr>
                <w:rFonts w:hint="eastAsia"/>
                <w:lang w:eastAsia="zh-CN"/>
              </w:rPr>
              <w:t>锅炉</w:t>
            </w:r>
            <w:r>
              <w:rPr>
                <w:rFonts w:hint="eastAsia"/>
              </w:rPr>
              <w:t>废气未经处理直接排放，其造成的影响程度及影响范围与废气治理设施异常相同。</w:t>
            </w:r>
          </w:p>
        </w:tc>
        <w:tc>
          <w:tcPr>
            <w:tcW w:w="1620" w:type="dxa"/>
            <w:vMerge w:val="restart"/>
            <w:vAlign w:val="center"/>
          </w:tcPr>
          <w:p>
            <w:pPr>
              <w:rPr>
                <w:rFonts w:hint="eastAsia"/>
              </w:rPr>
            </w:pPr>
            <w:r>
              <w:rPr>
                <w:rFonts w:hint="eastAsia"/>
              </w:rPr>
              <w:t>Ⅳ级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080" w:type="dxa"/>
            <w:vMerge w:val="continue"/>
            <w:vAlign w:val="center"/>
          </w:tcPr>
          <w:p>
            <w:pPr>
              <w:rPr>
                <w:rFonts w:hint="eastAsia"/>
              </w:rPr>
            </w:pPr>
          </w:p>
        </w:tc>
        <w:tc>
          <w:tcPr>
            <w:tcW w:w="2340" w:type="dxa"/>
            <w:vMerge w:val="continue"/>
            <w:vAlign w:val="center"/>
          </w:tcPr>
          <w:p>
            <w:pPr>
              <w:rPr>
                <w:rFonts w:hint="eastAsia"/>
              </w:rPr>
            </w:pPr>
          </w:p>
        </w:tc>
        <w:tc>
          <w:tcPr>
            <w:tcW w:w="3960" w:type="dxa"/>
            <w:vAlign w:val="center"/>
          </w:tcPr>
          <w:p>
            <w:pPr>
              <w:rPr>
                <w:rFonts w:hint="eastAsia"/>
              </w:rPr>
            </w:pPr>
            <w:r>
              <w:rPr>
                <w:rFonts w:hint="eastAsia"/>
              </w:rPr>
              <w:t>企业将废水未经处理直接排放，其造成的影响程度及影响范围与废水治理设施异常排放相同。</w:t>
            </w:r>
          </w:p>
        </w:tc>
        <w:tc>
          <w:tcPr>
            <w:tcW w:w="1620" w:type="dxa"/>
            <w:vMerge w:val="continue"/>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Align w:val="center"/>
          </w:tcPr>
          <w:p>
            <w:pPr>
              <w:rPr>
                <w:rFonts w:hint="eastAsia"/>
              </w:rPr>
            </w:pPr>
            <w:r>
              <w:rPr>
                <w:rFonts w:hint="eastAsia"/>
              </w:rPr>
              <w:t>6</w:t>
            </w:r>
          </w:p>
        </w:tc>
        <w:tc>
          <w:tcPr>
            <w:tcW w:w="2340" w:type="dxa"/>
            <w:vAlign w:val="center"/>
          </w:tcPr>
          <w:p>
            <w:pPr>
              <w:rPr>
                <w:rFonts w:hint="eastAsia"/>
              </w:rPr>
            </w:pPr>
            <w:r>
              <w:rPr>
                <w:rFonts w:hint="eastAsia"/>
              </w:rPr>
              <w:t>通讯或运输系统故障事故</w:t>
            </w:r>
          </w:p>
        </w:tc>
        <w:tc>
          <w:tcPr>
            <w:tcW w:w="3960" w:type="dxa"/>
            <w:vAlign w:val="center"/>
          </w:tcPr>
          <w:p>
            <w:pPr>
              <w:rPr>
                <w:rFonts w:hint="eastAsia"/>
              </w:rPr>
            </w:pPr>
            <w:r>
              <w:rPr>
                <w:rFonts w:hint="eastAsia"/>
              </w:rPr>
              <w:t>本项目管道输送系统故障会导致物料泄漏引发危化品泄漏事件，源强危险化学品泄漏</w:t>
            </w:r>
          </w:p>
        </w:tc>
        <w:tc>
          <w:tcPr>
            <w:tcW w:w="1620" w:type="dxa"/>
            <w:vAlign w:val="center"/>
          </w:tcPr>
          <w:p>
            <w:pPr>
              <w:rPr>
                <w:rFonts w:hint="eastAsia"/>
              </w:rPr>
            </w:pPr>
            <w:r>
              <w:rPr>
                <w:rFonts w:hint="eastAsia"/>
              </w:rPr>
              <w:t>Ⅱ-Ⅳ级</w:t>
            </w:r>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0" w:hRule="atLeast"/>
        </w:trPr>
        <w:tc>
          <w:tcPr>
            <w:tcW w:w="1080" w:type="dxa"/>
            <w:vAlign w:val="center"/>
          </w:tcPr>
          <w:p>
            <w:pPr>
              <w:rPr>
                <w:rFonts w:hint="eastAsia"/>
              </w:rPr>
            </w:pPr>
            <w:r>
              <w:rPr>
                <w:rFonts w:hint="eastAsia"/>
              </w:rPr>
              <w:t>7</w:t>
            </w:r>
          </w:p>
        </w:tc>
        <w:tc>
          <w:tcPr>
            <w:tcW w:w="2340" w:type="dxa"/>
            <w:vAlign w:val="center"/>
          </w:tcPr>
          <w:p>
            <w:pPr>
              <w:ind w:left="0" w:leftChars="0" w:firstLine="0" w:firstLineChars="0"/>
              <w:rPr>
                <w:rFonts w:hint="eastAsia"/>
              </w:rPr>
            </w:pPr>
            <w:r>
              <w:rPr>
                <w:rFonts w:hint="eastAsia"/>
              </w:rPr>
              <w:t>各种自然灾害、极端天气或不利气象条件</w:t>
            </w:r>
          </w:p>
        </w:tc>
        <w:tc>
          <w:tcPr>
            <w:tcW w:w="3960" w:type="dxa"/>
            <w:vAlign w:val="center"/>
          </w:tcPr>
          <w:p>
            <w:pPr>
              <w:rPr>
                <w:rFonts w:hint="eastAsia"/>
              </w:rPr>
            </w:pPr>
            <w:r>
              <w:rPr>
                <w:rFonts w:hint="eastAsia"/>
              </w:rPr>
              <w:t>本地区最有可能出现的自然灾害为暴雨，发生上述情景水污染源强一般不会超过危险化学品泄漏。</w:t>
            </w:r>
          </w:p>
        </w:tc>
        <w:tc>
          <w:tcPr>
            <w:tcW w:w="1620" w:type="dxa"/>
            <w:vAlign w:val="center"/>
          </w:tcPr>
          <w:p>
            <w:pPr>
              <w:rPr>
                <w:rFonts w:hint="eastAsia"/>
              </w:rPr>
            </w:pPr>
            <w:r>
              <w:rPr>
                <w:rFonts w:hint="eastAsia"/>
              </w:rPr>
              <w:t>Ⅱ-Ⅳ级</w:t>
            </w:r>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080" w:type="dxa"/>
            <w:tcBorders>
              <w:bottom w:val="single" w:color="auto" w:sz="4" w:space="0"/>
            </w:tcBorders>
            <w:vAlign w:val="center"/>
          </w:tcPr>
          <w:p>
            <w:pPr>
              <w:rPr>
                <w:rFonts w:hint="eastAsia"/>
              </w:rPr>
            </w:pPr>
            <w:r>
              <w:rPr>
                <w:rFonts w:hint="eastAsia"/>
              </w:rPr>
              <w:t>8</w:t>
            </w:r>
          </w:p>
        </w:tc>
        <w:tc>
          <w:tcPr>
            <w:tcW w:w="2340" w:type="dxa"/>
            <w:tcBorders>
              <w:bottom w:val="single" w:color="auto" w:sz="4" w:space="0"/>
            </w:tcBorders>
            <w:vAlign w:val="center"/>
          </w:tcPr>
          <w:p>
            <w:pPr>
              <w:rPr>
                <w:rFonts w:hint="eastAsia"/>
              </w:rPr>
            </w:pPr>
            <w:r>
              <w:rPr>
                <w:rFonts w:hint="eastAsia"/>
              </w:rPr>
              <w:t>非正常工况</w:t>
            </w:r>
          </w:p>
        </w:tc>
        <w:tc>
          <w:tcPr>
            <w:tcW w:w="3960" w:type="dxa"/>
            <w:vAlign w:val="center"/>
          </w:tcPr>
          <w:p>
            <w:pPr>
              <w:rPr>
                <w:rFonts w:hint="eastAsia"/>
              </w:rPr>
            </w:pPr>
            <w:r>
              <w:rPr>
                <w:rFonts w:hint="eastAsia"/>
              </w:rPr>
              <w:t>发生装置区物料泄漏，其源强不超过污染治理设施异常源强。</w:t>
            </w:r>
          </w:p>
        </w:tc>
        <w:tc>
          <w:tcPr>
            <w:tcW w:w="1620" w:type="dxa"/>
            <w:vAlign w:val="center"/>
          </w:tcPr>
          <w:p>
            <w:pPr>
              <w:rPr>
                <w:rFonts w:hint="eastAsia"/>
              </w:rPr>
            </w:pPr>
            <w:r>
              <w:rPr>
                <w:rFonts w:hint="eastAsia"/>
              </w:rPr>
              <w:t>Ⅳ级</w:t>
            </w:r>
          </w:p>
        </w:tc>
      </w:tr>
    </w:tbl>
    <w:p>
      <w:pPr>
        <w:rPr>
          <w:rFonts w:hint="eastAsia"/>
        </w:rPr>
      </w:pPr>
    </w:p>
    <w:p>
      <w:pPr>
        <w:spacing w:line="360" w:lineRule="auto"/>
        <w:ind w:firstLine="480"/>
        <w:rPr>
          <w:rFonts w:hint="eastAsia"/>
          <w:color w:val="auto"/>
          <w:sz w:val="24"/>
        </w:rPr>
      </w:pPr>
    </w:p>
    <w:p>
      <w:pPr>
        <w:rPr>
          <w:rFonts w:hint="eastAsia"/>
          <w:lang w:val="en-US" w:eastAsia="zh-CN"/>
        </w:rPr>
        <w:sectPr>
          <w:footerReference r:id="rId6" w:type="default"/>
          <w:pgSz w:w="11910" w:h="16840"/>
          <w:pgMar w:top="1200" w:right="800" w:bottom="1220" w:left="1400" w:header="878" w:footer="1025" w:gutter="0"/>
          <w:pgNumType w:fmt="decimal"/>
          <w:cols w:equalWidth="0" w:num="1">
            <w:col w:w="9710"/>
          </w:cols>
        </w:sectPr>
      </w:pPr>
    </w:p>
    <w:p>
      <w:pPr>
        <w:pStyle w:val="2"/>
        <w:rPr>
          <w:rFonts w:hint="eastAsia"/>
        </w:rPr>
      </w:pPr>
      <w:bookmarkStart w:id="142" w:name="_Toc12674"/>
      <w:bookmarkStart w:id="143" w:name="_Toc7235"/>
      <w:bookmarkStart w:id="144" w:name="_Toc23285"/>
      <w:r>
        <w:t xml:space="preserve">5 </w:t>
      </w:r>
      <w:r>
        <w:rPr>
          <w:rFonts w:hint="eastAsia"/>
          <w:lang w:eastAsia="zh-CN"/>
        </w:rPr>
        <w:t>、</w:t>
      </w:r>
      <w:r>
        <w:t>现有环境风险防控和应急措施差距分析</w:t>
      </w:r>
      <w:bookmarkEnd w:id="142"/>
      <w:bookmarkEnd w:id="143"/>
      <w:bookmarkEnd w:id="144"/>
    </w:p>
    <w:bookmarkEnd w:id="53"/>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依据《企业突发环境事件风险评估指南（试行</w:t>
      </w:r>
      <w:r>
        <w:rPr>
          <w:rFonts w:hint="eastAsia" w:ascii="宋体" w:hAnsi="宋体" w:eastAsia="宋体" w:cs="宋体"/>
          <w:spacing w:val="-120"/>
          <w:sz w:val="24"/>
          <w:szCs w:val="24"/>
        </w:rPr>
        <w:t>）</w:t>
      </w:r>
      <w:r>
        <w:rPr>
          <w:rFonts w:hint="eastAsia" w:ascii="宋体" w:hAnsi="宋体" w:eastAsia="宋体" w:cs="宋体"/>
          <w:sz w:val="24"/>
          <w:szCs w:val="24"/>
        </w:rPr>
        <w:t>》的相关要求，从以下五个</w:t>
      </w:r>
      <w:r>
        <w:rPr>
          <w:rFonts w:hint="eastAsia" w:ascii="宋体" w:hAnsi="宋体" w:eastAsia="宋体" w:cs="宋体"/>
          <w:spacing w:val="-1"/>
          <w:sz w:val="24"/>
          <w:szCs w:val="24"/>
        </w:rPr>
        <w:t xml:space="preserve">方面对现有环境风险防控与应急措施的完备性、可靠性和有效性进行分析论证， </w:t>
      </w:r>
      <w:r>
        <w:rPr>
          <w:rFonts w:hint="eastAsia" w:ascii="宋体" w:hAnsi="宋体" w:eastAsia="宋体" w:cs="宋体"/>
          <w:sz w:val="24"/>
          <w:szCs w:val="24"/>
        </w:rPr>
        <w:t>找出差距、问题，提出需要整改的短期、中期和长期项目内容</w:t>
      </w:r>
      <w:r>
        <w:rPr>
          <w:rFonts w:hint="eastAsia" w:ascii="宋体" w:hAnsi="宋体" w:eastAsia="宋体" w:cs="宋体"/>
          <w:sz w:val="24"/>
          <w:szCs w:val="24"/>
          <w:lang w:eastAsia="zh-CN"/>
        </w:rPr>
        <w:t>。</w:t>
      </w:r>
    </w:p>
    <w:p>
      <w:pPr>
        <w:pStyle w:val="3"/>
        <w:rPr>
          <w:rFonts w:hint="eastAsia" w:ascii="宋体" w:hAnsi="宋体" w:eastAsia="宋体" w:cs="宋体"/>
          <w:color w:val="auto"/>
        </w:rPr>
      </w:pPr>
      <w:bookmarkStart w:id="145" w:name="_Toc401654954"/>
      <w:bookmarkStart w:id="146" w:name="_Toc421487025"/>
      <w:bookmarkStart w:id="147" w:name="_Toc421817103"/>
      <w:bookmarkStart w:id="148" w:name="_Toc421483867"/>
      <w:bookmarkStart w:id="149" w:name="_Toc19431"/>
      <w:bookmarkStart w:id="150" w:name="_Toc421483244"/>
      <w:bookmarkStart w:id="151" w:name="_Toc421487100"/>
      <w:bookmarkStart w:id="152" w:name="_Toc10721"/>
      <w:bookmarkStart w:id="153" w:name="_Toc20947"/>
      <w:r>
        <w:rPr>
          <w:rFonts w:hint="eastAsia" w:ascii="宋体" w:hAnsi="宋体" w:eastAsia="宋体" w:cs="宋体"/>
          <w:color w:val="auto"/>
        </w:rPr>
        <w:t>5.1 环境风险管理制度</w:t>
      </w:r>
      <w:bookmarkEnd w:id="145"/>
      <w:bookmarkEnd w:id="146"/>
      <w:bookmarkEnd w:id="147"/>
      <w:bookmarkEnd w:id="148"/>
      <w:bookmarkEnd w:id="149"/>
      <w:bookmarkEnd w:id="150"/>
      <w:bookmarkEnd w:id="151"/>
      <w:bookmarkEnd w:id="152"/>
      <w:bookmarkEnd w:id="153"/>
    </w:p>
    <w:p>
      <w:pPr>
        <w:autoSpaceDE w:val="0"/>
        <w:autoSpaceDN w:val="0"/>
        <w:adjustRightInd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（1）针对</w:t>
      </w:r>
      <w:r>
        <w:rPr>
          <w:rFonts w:hint="eastAsia" w:ascii="宋体" w:hAnsi="宋体" w:eastAsia="宋体" w:cs="宋体"/>
          <w:color w:val="auto"/>
          <w:kern w:val="0"/>
          <w:sz w:val="24"/>
          <w:lang w:eastAsia="zh-CN"/>
        </w:rPr>
        <w:t>企业</w:t>
      </w:r>
      <w:r>
        <w:rPr>
          <w:rFonts w:hint="eastAsia" w:ascii="宋体" w:hAnsi="宋体" w:eastAsia="宋体" w:cs="宋体"/>
          <w:color w:val="auto"/>
          <w:kern w:val="0"/>
          <w:sz w:val="24"/>
        </w:rPr>
        <w:t>环境风险单元编制了《</w:t>
      </w:r>
      <w:r>
        <w:rPr>
          <w:rFonts w:hint="eastAsia" w:ascii="宋体" w:hAnsi="宋体" w:eastAsia="宋体" w:cs="宋体"/>
          <w:color w:val="auto"/>
          <w:spacing w:val="-8"/>
          <w:sz w:val="24"/>
          <w:szCs w:val="24"/>
        </w:rPr>
        <w:t>乔旭（九江）企业有限公司</w:t>
      </w:r>
      <w:r>
        <w:rPr>
          <w:rFonts w:hint="eastAsia" w:ascii="宋体" w:hAnsi="宋体" w:eastAsia="宋体" w:cs="宋体"/>
          <w:color w:val="auto"/>
          <w:kern w:val="0"/>
          <w:sz w:val="24"/>
        </w:rPr>
        <w:t>突发环境事件应急预案》，明确了应对突发环境事件的责任机构及责任人，建立了环境风险防控和应急措施制度。但还需要进一步落实定期巡检和维护责任制度，保障应对风险事故的处理能力。</w:t>
      </w:r>
    </w:p>
    <w:p>
      <w:pPr>
        <w:autoSpaceDE w:val="0"/>
        <w:autoSpaceDN w:val="0"/>
        <w:adjustRightInd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（2）对于环评及批复文件的各项环境风险防控和应急措施要求已经落实。</w:t>
      </w:r>
    </w:p>
    <w:p>
      <w:pPr>
        <w:autoSpaceDE w:val="0"/>
        <w:autoSpaceDN w:val="0"/>
        <w:adjustRightInd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（3）定期对职工开展环境风险和环境应急管理宣传和培训，在厂区内张贴风险物质危险特性、急救措施等标识牌。还需要</w:t>
      </w:r>
      <w:r>
        <w:rPr>
          <w:rFonts w:hint="eastAsia" w:ascii="宋体" w:hAnsi="宋体" w:eastAsia="宋体" w:cs="宋体"/>
          <w:color w:val="auto"/>
          <w:kern w:val="0"/>
          <w:sz w:val="24"/>
          <w:lang w:eastAsia="zh-CN"/>
        </w:rPr>
        <w:t>张贴</w:t>
      </w:r>
      <w:r>
        <w:rPr>
          <w:rFonts w:hint="eastAsia" w:ascii="宋体" w:hAnsi="宋体" w:eastAsia="宋体" w:cs="宋体"/>
          <w:color w:val="auto"/>
          <w:kern w:val="0"/>
          <w:sz w:val="24"/>
        </w:rPr>
        <w:t>应急救援机构和人员。</w:t>
      </w:r>
    </w:p>
    <w:p>
      <w:pPr>
        <w:autoSpaceDE w:val="0"/>
        <w:autoSpaceDN w:val="0"/>
        <w:adjustRightInd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（4）建立了突发环境事件信息报告制度，应认真严格执行，以便及时有效的进行报送。</w:t>
      </w:r>
    </w:p>
    <w:p>
      <w:pPr>
        <w:autoSpaceDE w:val="0"/>
        <w:autoSpaceDN w:val="0"/>
        <w:adjustRightInd w:val="0"/>
        <w:spacing w:line="360" w:lineRule="auto"/>
        <w:ind w:firstLine="480" w:firstLineChars="200"/>
        <w:rPr>
          <w:rFonts w:hint="eastAsia" w:ascii="宋体" w:hAnsi="宋体" w:eastAsia="宋体" w:cs="宋体"/>
          <w:color w:val="auto"/>
          <w:kern w:val="0"/>
          <w:sz w:val="24"/>
          <w:lang w:eastAsia="zh-CN"/>
        </w:rPr>
      </w:pPr>
      <w:r>
        <w:rPr>
          <w:rFonts w:hint="eastAsia" w:ascii="宋体" w:hAnsi="宋体" w:eastAsia="宋体" w:cs="宋体"/>
          <w:color w:val="auto"/>
          <w:kern w:val="0"/>
          <w:sz w:val="24"/>
        </w:rPr>
        <w:t>（5）需要</w:t>
      </w:r>
      <w:r>
        <w:rPr>
          <w:rFonts w:hint="eastAsia" w:ascii="宋体" w:hAnsi="宋体" w:eastAsia="宋体" w:cs="宋体"/>
          <w:color w:val="auto"/>
          <w:kern w:val="0"/>
          <w:sz w:val="24"/>
          <w:lang w:eastAsia="zh-CN"/>
        </w:rPr>
        <w:t>根据</w:t>
      </w:r>
      <w:r>
        <w:rPr>
          <w:rFonts w:hint="eastAsia" w:ascii="宋体" w:hAnsi="宋体" w:eastAsia="宋体" w:cs="宋体"/>
          <w:color w:val="auto"/>
          <w:kern w:val="0"/>
          <w:sz w:val="24"/>
        </w:rPr>
        <w:t>《企业突发环境事件隐患排查和治理工作指南（试行）》（环境保护部公告〔2016〕74号）进一步完善并落实安全隐患排查、治理制度，对于发现的隐患及时整改并建立档案。</w:t>
      </w:r>
    </w:p>
    <w:p>
      <w:pPr>
        <w:pStyle w:val="3"/>
        <w:rPr>
          <w:rFonts w:hint="eastAsia" w:ascii="宋体" w:hAnsi="宋体" w:eastAsia="宋体" w:cs="宋体"/>
          <w:color w:val="auto"/>
        </w:rPr>
      </w:pPr>
      <w:bookmarkStart w:id="154" w:name="_Toc19691"/>
      <w:bookmarkStart w:id="155" w:name="_Toc12875"/>
      <w:bookmarkStart w:id="156" w:name="_Toc30072"/>
      <w:r>
        <w:rPr>
          <w:rFonts w:hint="eastAsia" w:ascii="宋体" w:hAnsi="宋体" w:eastAsia="宋体" w:cs="宋体"/>
          <w:color w:val="auto"/>
        </w:rPr>
        <w:t>5.2 环境风险防控与应急措施</w:t>
      </w:r>
      <w:bookmarkEnd w:id="154"/>
      <w:bookmarkEnd w:id="155"/>
      <w:bookmarkEnd w:id="156"/>
    </w:p>
    <w:p>
      <w:pPr>
        <w:autoSpaceDE w:val="0"/>
        <w:autoSpaceDN w:val="0"/>
        <w:adjustRightInd w:val="0"/>
        <w:spacing w:line="360" w:lineRule="auto"/>
        <w:ind w:firstLine="480" w:firstLineChars="200"/>
        <w:rPr>
          <w:rFonts w:hint="eastAsia" w:ascii="宋体" w:hAnsi="宋体" w:eastAsia="宋体" w:cs="宋体"/>
          <w:color w:val="auto"/>
          <w:kern w:val="0"/>
          <w:sz w:val="24"/>
        </w:rPr>
      </w:pPr>
      <w:bookmarkStart w:id="157" w:name="_Toc421483869"/>
      <w:bookmarkStart w:id="158" w:name="_Toc401654956"/>
      <w:bookmarkStart w:id="159" w:name="_Toc421817105"/>
      <w:bookmarkStart w:id="160" w:name="_Toc421483246"/>
      <w:bookmarkStart w:id="161" w:name="_Toc421487102"/>
      <w:bookmarkStart w:id="162" w:name="_Toc19532"/>
      <w:bookmarkStart w:id="163" w:name="_Toc421487027"/>
      <w:r>
        <w:rPr>
          <w:rFonts w:hint="eastAsia" w:ascii="宋体" w:hAnsi="宋体" w:eastAsia="宋体" w:cs="宋体"/>
          <w:color w:val="auto"/>
          <w:kern w:val="0"/>
          <w:sz w:val="24"/>
          <w:lang w:eastAsia="zh-CN"/>
        </w:rPr>
        <w:t>企业</w:t>
      </w:r>
      <w:r>
        <w:rPr>
          <w:rFonts w:hint="eastAsia" w:ascii="宋体" w:hAnsi="宋体" w:eastAsia="宋体" w:cs="宋体"/>
          <w:color w:val="auto"/>
          <w:kern w:val="0"/>
          <w:sz w:val="24"/>
        </w:rPr>
        <w:t>现有环境风险防控与应急措施的差距分析，见表5.2-1。</w:t>
      </w:r>
    </w:p>
    <w:p>
      <w:pPr>
        <w:autoSpaceDE w:val="0"/>
        <w:autoSpaceDN w:val="0"/>
        <w:adjustRightInd w:val="0"/>
        <w:spacing w:line="360" w:lineRule="auto"/>
        <w:jc w:val="center"/>
        <w:rPr>
          <w:rFonts w:hint="eastAsia" w:ascii="宋体" w:hAnsi="宋体" w:eastAsia="宋体" w:cs="宋体"/>
          <w:b/>
          <w:bCs/>
          <w:color w:val="auto"/>
          <w:kern w:val="0"/>
          <w:szCs w:val="21"/>
        </w:rPr>
      </w:pPr>
      <w:r>
        <w:rPr>
          <w:rFonts w:hint="eastAsia" w:ascii="宋体" w:hAnsi="宋体" w:eastAsia="宋体" w:cs="宋体"/>
          <w:b/>
          <w:bCs/>
          <w:color w:val="auto"/>
          <w:kern w:val="0"/>
          <w:szCs w:val="21"/>
        </w:rPr>
        <w:t>表5.2-1  现有环境风险防控和应急措施差距分析</w:t>
      </w:r>
    </w:p>
    <w:tbl>
      <w:tblPr>
        <w:tblStyle w:val="18"/>
        <w:tblW w:w="9071"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3368"/>
        <w:gridCol w:w="465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052" w:type="dxa"/>
            <w:tcBorders>
              <w:tl2br w:val="nil"/>
              <w:tr2bl w:val="nil"/>
            </w:tcBorders>
            <w:vAlign w:val="center"/>
          </w:tcPr>
          <w:p>
            <w:pPr>
              <w:jc w:val="both"/>
              <w:rPr>
                <w:rFonts w:hint="eastAsia" w:ascii="宋体" w:hAnsi="宋体" w:eastAsia="宋体" w:cs="宋体"/>
                <w:color w:val="auto"/>
                <w:szCs w:val="21"/>
              </w:rPr>
            </w:pPr>
            <w:r>
              <w:rPr>
                <w:rFonts w:hint="eastAsia" w:ascii="宋体" w:hAnsi="宋体" w:eastAsia="宋体" w:cs="宋体"/>
                <w:color w:val="auto"/>
                <w:szCs w:val="21"/>
              </w:rPr>
              <w:t>类别</w:t>
            </w:r>
          </w:p>
        </w:tc>
        <w:tc>
          <w:tcPr>
            <w:tcW w:w="3368" w:type="dxa"/>
            <w:tcBorders>
              <w:tl2br w:val="nil"/>
              <w:tr2bl w:val="nil"/>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相关要求</w:t>
            </w:r>
          </w:p>
        </w:tc>
        <w:tc>
          <w:tcPr>
            <w:tcW w:w="4651" w:type="dxa"/>
            <w:tcBorders>
              <w:tl2br w:val="nil"/>
              <w:tr2bl w:val="nil"/>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差距分析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052" w:type="dxa"/>
            <w:vMerge w:val="restart"/>
            <w:tcBorders>
              <w:tl2br w:val="nil"/>
              <w:tr2bl w:val="nil"/>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环境风险防控与应急措施</w:t>
            </w:r>
          </w:p>
        </w:tc>
        <w:tc>
          <w:tcPr>
            <w:tcW w:w="3368" w:type="dxa"/>
            <w:tcBorders>
              <w:tl2br w:val="nil"/>
              <w:tr2bl w:val="nil"/>
            </w:tcBorders>
            <w:vAlign w:val="center"/>
          </w:tcPr>
          <w:p>
            <w:pPr>
              <w:rPr>
                <w:rFonts w:hint="eastAsia" w:ascii="宋体" w:hAnsi="宋体" w:eastAsia="宋体" w:cs="宋体"/>
                <w:color w:val="auto"/>
                <w:szCs w:val="21"/>
              </w:rPr>
            </w:pPr>
            <w:r>
              <w:rPr>
                <w:rFonts w:hint="eastAsia" w:ascii="宋体" w:hAnsi="宋体" w:eastAsia="宋体" w:cs="宋体"/>
                <w:color w:val="auto"/>
                <w:szCs w:val="21"/>
              </w:rPr>
              <w:t>是否在废气排放口、废水、雨水和清洁下水排放口对可能排出的环境风险物质，按照物质特性、危害，设置监视、控制措施，分析每项措施的管理规定、岗位职责落实情况和措施的有效性。</w:t>
            </w:r>
          </w:p>
        </w:tc>
        <w:tc>
          <w:tcPr>
            <w:tcW w:w="4651" w:type="dxa"/>
            <w:tcBorders>
              <w:tl2br w:val="nil"/>
              <w:tr2bl w:val="nil"/>
            </w:tcBorders>
            <w:vAlign w:val="center"/>
          </w:tcPr>
          <w:p>
            <w:pPr>
              <w:rPr>
                <w:rFonts w:hint="eastAsia" w:ascii="宋体" w:hAnsi="宋体" w:eastAsia="宋体" w:cs="宋体"/>
                <w:color w:val="auto"/>
                <w:szCs w:val="21"/>
                <w:lang w:eastAsia="zh-CN"/>
              </w:rPr>
            </w:pPr>
            <w:r>
              <w:rPr>
                <w:rFonts w:hint="eastAsia" w:ascii="宋体" w:hAnsi="宋体" w:eastAsia="宋体" w:cs="宋体"/>
                <w:color w:val="auto"/>
                <w:szCs w:val="21"/>
              </w:rPr>
              <w:t>(1)</w:t>
            </w:r>
            <w:r>
              <w:rPr>
                <w:rFonts w:hint="eastAsia" w:cs="宋体"/>
                <w:color w:val="auto"/>
                <w:szCs w:val="21"/>
                <w:lang w:eastAsia="zh-CN"/>
              </w:rPr>
              <w:t>现有工程外排废水主要是工艺蒸发冷凝水，经化学沉淀法处理后排入工业园污水管网。</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052" w:type="dxa"/>
            <w:vMerge w:val="continue"/>
            <w:tcBorders>
              <w:tl2br w:val="nil"/>
              <w:tr2bl w:val="nil"/>
            </w:tcBorders>
            <w:vAlign w:val="center"/>
          </w:tcPr>
          <w:p>
            <w:pPr>
              <w:rPr>
                <w:rFonts w:hint="eastAsia" w:ascii="宋体" w:hAnsi="宋体" w:eastAsia="宋体" w:cs="宋体"/>
                <w:color w:val="auto"/>
                <w:szCs w:val="21"/>
              </w:rPr>
            </w:pPr>
          </w:p>
        </w:tc>
        <w:tc>
          <w:tcPr>
            <w:tcW w:w="3368" w:type="dxa"/>
            <w:tcBorders>
              <w:tl2br w:val="nil"/>
              <w:tr2bl w:val="nil"/>
            </w:tcBorders>
            <w:vAlign w:val="center"/>
          </w:tcPr>
          <w:p>
            <w:pPr>
              <w:rPr>
                <w:rFonts w:hint="eastAsia" w:ascii="宋体" w:hAnsi="宋体" w:eastAsia="宋体" w:cs="宋体"/>
                <w:color w:val="auto"/>
                <w:szCs w:val="21"/>
              </w:rPr>
            </w:pPr>
            <w:r>
              <w:rPr>
                <w:rFonts w:hint="eastAsia" w:ascii="宋体" w:hAnsi="宋体" w:eastAsia="宋体" w:cs="宋体"/>
                <w:color w:val="auto"/>
                <w:szCs w:val="21"/>
              </w:rPr>
              <w:t>是否采取防止事故排水、污染物等扩散、排出厂界的措施，包括截流措施、事故排水收集措施、清净下水系统防控措施、雨水系统防控措施、生产废水处理系统防控措施等，分析每项措施的管理规定、岗位职责落实情况和措施的有效性。</w:t>
            </w:r>
          </w:p>
        </w:tc>
        <w:tc>
          <w:tcPr>
            <w:tcW w:w="4651" w:type="dxa"/>
            <w:tcBorders>
              <w:tl2br w:val="nil"/>
              <w:tr2bl w:val="nil"/>
            </w:tcBorders>
            <w:vAlign w:val="center"/>
          </w:tcPr>
          <w:p>
            <w:pPr>
              <w:rPr>
                <w:rFonts w:hint="eastAsia" w:ascii="宋体" w:hAnsi="宋体" w:eastAsia="宋体" w:cs="宋体"/>
                <w:color w:val="auto"/>
                <w:szCs w:val="21"/>
              </w:rPr>
            </w:pPr>
            <w:r>
              <w:rPr>
                <w:rFonts w:hint="eastAsia" w:ascii="宋体" w:hAnsi="宋体" w:eastAsia="宋体" w:cs="宋体"/>
                <w:color w:val="auto"/>
                <w:szCs w:val="21"/>
              </w:rPr>
              <w:t>需完善雨水防控措施并设有专人负责。</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052" w:type="dxa"/>
            <w:vMerge w:val="continue"/>
            <w:tcBorders>
              <w:tl2br w:val="nil"/>
              <w:tr2bl w:val="nil"/>
            </w:tcBorders>
            <w:vAlign w:val="center"/>
          </w:tcPr>
          <w:p>
            <w:pPr>
              <w:rPr>
                <w:rFonts w:hint="eastAsia" w:ascii="宋体" w:hAnsi="宋体" w:eastAsia="宋体" w:cs="宋体"/>
                <w:color w:val="auto"/>
                <w:szCs w:val="21"/>
              </w:rPr>
            </w:pPr>
          </w:p>
        </w:tc>
        <w:tc>
          <w:tcPr>
            <w:tcW w:w="3368" w:type="dxa"/>
            <w:tcBorders>
              <w:tl2br w:val="nil"/>
              <w:tr2bl w:val="nil"/>
            </w:tcBorders>
            <w:vAlign w:val="center"/>
          </w:tcPr>
          <w:p>
            <w:pPr>
              <w:rPr>
                <w:rFonts w:hint="eastAsia" w:ascii="宋体" w:hAnsi="宋体" w:eastAsia="宋体" w:cs="宋体"/>
                <w:color w:val="auto"/>
                <w:szCs w:val="21"/>
              </w:rPr>
            </w:pPr>
            <w:r>
              <w:rPr>
                <w:rFonts w:hint="eastAsia" w:ascii="宋体" w:hAnsi="宋体" w:eastAsia="宋体" w:cs="宋体"/>
                <w:color w:val="auto"/>
                <w:szCs w:val="21"/>
              </w:rPr>
              <w:t>涉及毒性气体的，是否设置毒性气体泄露紧急处理装置，是否已经布置生产区域或厂界毒性气体泄露监控预警系统，是否有提醒周边公众紧急疏散的措施和手段等，分析每项措施的管理规定、岗位责任落实情况和措施的有效性。</w:t>
            </w:r>
          </w:p>
        </w:tc>
        <w:tc>
          <w:tcPr>
            <w:tcW w:w="4651" w:type="dxa"/>
            <w:tcBorders>
              <w:tl2br w:val="nil"/>
              <w:tr2bl w:val="nil"/>
            </w:tcBorders>
            <w:vAlign w:val="center"/>
          </w:tcPr>
          <w:p>
            <w:pPr>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(1)</w:t>
            </w:r>
            <w:r>
              <w:rPr>
                <w:rFonts w:hint="eastAsia" w:cs="宋体"/>
                <w:color w:val="auto"/>
                <w:szCs w:val="21"/>
                <w:lang w:eastAsia="zh-CN"/>
              </w:rPr>
              <w:t>企业</w:t>
            </w:r>
            <w:r>
              <w:rPr>
                <w:rFonts w:hint="eastAsia" w:ascii="宋体" w:hAnsi="宋体" w:eastAsia="宋体" w:cs="宋体"/>
                <w:color w:val="auto"/>
                <w:szCs w:val="21"/>
                <w:lang w:eastAsia="zh-CN"/>
              </w:rPr>
              <w:t>涉及的毒性气体为无组织排放的</w:t>
            </w:r>
            <w:r>
              <w:rPr>
                <w:rFonts w:hint="eastAsia" w:cs="宋体"/>
                <w:color w:val="auto"/>
                <w:szCs w:val="21"/>
                <w:lang w:eastAsia="zh-CN"/>
              </w:rPr>
              <w:t>硫化氢</w:t>
            </w:r>
            <w:r>
              <w:rPr>
                <w:rFonts w:hint="eastAsia" w:ascii="宋体" w:hAnsi="宋体" w:eastAsia="宋体" w:cs="宋体"/>
                <w:color w:val="auto"/>
                <w:szCs w:val="21"/>
                <w:lang w:eastAsia="zh-CN"/>
              </w:rPr>
              <w:t>，</w:t>
            </w:r>
            <w:r>
              <w:rPr>
                <w:rFonts w:hint="eastAsia"/>
                <w:color w:val="auto"/>
                <w:lang w:val="en-US" w:eastAsia="zh-CN"/>
              </w:rPr>
              <w:t>企业内</w:t>
            </w:r>
            <w:r>
              <w:rPr>
                <w:rFonts w:hint="eastAsia"/>
                <w:color w:val="auto"/>
              </w:rPr>
              <w:t>有防毒面具，</w:t>
            </w:r>
            <w:r>
              <w:rPr>
                <w:rFonts w:hint="eastAsia"/>
                <w:color w:val="auto"/>
                <w:lang w:val="en-US" w:eastAsia="zh-CN"/>
              </w:rPr>
              <w:t xml:space="preserve"> 生产车间</w:t>
            </w:r>
            <w:r>
              <w:rPr>
                <w:rFonts w:hint="eastAsia"/>
                <w:color w:val="auto"/>
              </w:rPr>
              <w:t xml:space="preserve">自然通风，有便携式有毒气体检测报警器 </w:t>
            </w:r>
            <w:r>
              <w:rPr>
                <w:rFonts w:hint="eastAsia" w:ascii="宋体" w:hAnsi="宋体" w:eastAsia="宋体" w:cs="宋体"/>
                <w:color w:val="auto"/>
                <w:szCs w:val="21"/>
                <w:lang w:eastAsia="zh-CN"/>
              </w:rPr>
              <w:t>，一旦出现异常根据报警装置可迅速、有效的采取措施。</w:t>
            </w:r>
          </w:p>
          <w:p>
            <w:pPr>
              <w:rPr>
                <w:rFonts w:hint="eastAsia" w:ascii="宋体" w:hAnsi="宋体" w:eastAsia="宋体" w:cs="宋体"/>
                <w:color w:val="auto"/>
                <w:szCs w:val="21"/>
              </w:rPr>
            </w:pPr>
            <w:r>
              <w:rPr>
                <w:rFonts w:hint="eastAsia" w:ascii="宋体" w:hAnsi="宋体" w:eastAsia="宋体" w:cs="宋体"/>
                <w:color w:val="auto"/>
                <w:szCs w:val="21"/>
                <w:lang w:val="en-US" w:eastAsia="zh-CN"/>
              </w:rPr>
              <w:t>(</w:t>
            </w:r>
            <w:r>
              <w:rPr>
                <w:rFonts w:hint="eastAsia" w:cs="宋体"/>
                <w:color w:val="auto"/>
                <w:szCs w:val="21"/>
                <w:lang w:val="en-US" w:eastAsia="zh-CN"/>
              </w:rPr>
              <w:t>2</w:t>
            </w:r>
            <w:r>
              <w:rPr>
                <w:rFonts w:hint="eastAsia" w:ascii="宋体" w:hAnsi="宋体" w:eastAsia="宋体" w:cs="宋体"/>
                <w:color w:val="auto"/>
                <w:szCs w:val="21"/>
                <w:lang w:val="en-US" w:eastAsia="zh-CN"/>
              </w:rPr>
              <w:t>)</w:t>
            </w:r>
            <w:r>
              <w:rPr>
                <w:rFonts w:hint="eastAsia" w:ascii="宋体" w:hAnsi="宋体" w:eastAsia="宋体" w:cs="宋体"/>
                <w:color w:val="auto"/>
                <w:szCs w:val="21"/>
              </w:rPr>
              <w:t>提醒周边公众紧急疏散的措施及手段较为完善。</w:t>
            </w:r>
          </w:p>
        </w:tc>
      </w:tr>
    </w:tbl>
    <w:p>
      <w:pPr>
        <w:pStyle w:val="3"/>
        <w:rPr>
          <w:rFonts w:hint="eastAsia" w:ascii="宋体" w:hAnsi="宋体" w:eastAsia="宋体" w:cs="宋体"/>
          <w:color w:val="auto"/>
        </w:rPr>
      </w:pPr>
      <w:bookmarkStart w:id="164" w:name="_Toc3063"/>
      <w:bookmarkStart w:id="165" w:name="_Toc26525"/>
      <w:r>
        <w:rPr>
          <w:rFonts w:hint="eastAsia" w:ascii="宋体" w:hAnsi="宋体" w:eastAsia="宋体" w:cs="宋体"/>
          <w:color w:val="auto"/>
        </w:rPr>
        <w:t>5.3 环境应急资源</w:t>
      </w:r>
      <w:bookmarkEnd w:id="157"/>
      <w:bookmarkEnd w:id="158"/>
      <w:bookmarkEnd w:id="159"/>
      <w:bookmarkEnd w:id="160"/>
      <w:bookmarkEnd w:id="161"/>
      <w:bookmarkEnd w:id="162"/>
      <w:bookmarkEnd w:id="163"/>
      <w:bookmarkEnd w:id="164"/>
      <w:bookmarkEnd w:id="165"/>
    </w:p>
    <w:p>
      <w:pPr>
        <w:autoSpaceDE w:val="0"/>
        <w:autoSpaceDN w:val="0"/>
        <w:adjustRightInd w:val="0"/>
        <w:spacing w:line="360" w:lineRule="auto"/>
        <w:ind w:firstLine="480" w:firstLineChars="200"/>
        <w:rPr>
          <w:rFonts w:hint="eastAsia" w:ascii="宋体" w:hAnsi="宋体" w:eastAsia="宋体" w:cs="宋体"/>
          <w:color w:val="auto"/>
          <w:kern w:val="0"/>
          <w:sz w:val="24"/>
        </w:rPr>
      </w:pPr>
      <w:bookmarkStart w:id="166" w:name="_Toc421483870"/>
      <w:bookmarkStart w:id="167" w:name="_Toc421483247"/>
      <w:bookmarkStart w:id="168" w:name="_Toc421487028"/>
      <w:bookmarkStart w:id="169" w:name="_Toc401654957"/>
      <w:bookmarkStart w:id="170" w:name="_Toc421817106"/>
      <w:bookmarkStart w:id="171" w:name="_Toc421487103"/>
      <w:r>
        <w:rPr>
          <w:rFonts w:hint="eastAsia" w:ascii="宋体" w:hAnsi="宋体" w:eastAsia="宋体" w:cs="宋体"/>
          <w:color w:val="auto"/>
          <w:kern w:val="0"/>
          <w:sz w:val="24"/>
        </w:rPr>
        <w:t>（1）</w:t>
      </w:r>
      <w:r>
        <w:rPr>
          <w:rFonts w:hint="eastAsia" w:cs="宋体"/>
          <w:color w:val="auto"/>
          <w:kern w:val="0"/>
          <w:sz w:val="24"/>
          <w:lang w:eastAsia="zh-CN"/>
        </w:rPr>
        <w:t>企业</w:t>
      </w:r>
      <w:r>
        <w:rPr>
          <w:rFonts w:hint="eastAsia" w:ascii="宋体" w:hAnsi="宋体" w:eastAsia="宋体" w:cs="宋体"/>
          <w:color w:val="auto"/>
          <w:kern w:val="0"/>
          <w:sz w:val="24"/>
        </w:rPr>
        <w:t>已经配备了必要的应急物资</w:t>
      </w:r>
      <w:r>
        <w:rPr>
          <w:rFonts w:hint="eastAsia" w:ascii="宋体" w:hAnsi="宋体" w:eastAsia="宋体" w:cs="宋体"/>
          <w:color w:val="auto"/>
          <w:kern w:val="0"/>
          <w:sz w:val="24"/>
          <w:lang w:eastAsia="zh-CN"/>
        </w:rPr>
        <w:t>，但应急物资储备不全</w:t>
      </w:r>
      <w:r>
        <w:rPr>
          <w:rFonts w:hint="eastAsia" w:ascii="宋体" w:hAnsi="宋体" w:eastAsia="宋体" w:cs="宋体"/>
          <w:color w:val="auto"/>
          <w:kern w:val="0"/>
          <w:sz w:val="24"/>
        </w:rPr>
        <w:t>。</w:t>
      </w:r>
    </w:p>
    <w:p>
      <w:pPr>
        <w:autoSpaceDE w:val="0"/>
        <w:autoSpaceDN w:val="0"/>
        <w:adjustRightIn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（2）已设置应急救援队伍，并根据不同需求设立相应组成机构：包括</w:t>
      </w:r>
      <w:r>
        <w:rPr>
          <w:rFonts w:hint="eastAsia"/>
          <w:lang w:val="en-US" w:eastAsia="zh-CN"/>
        </w:rPr>
        <w:t>警戒保卫</w:t>
      </w:r>
      <w:r>
        <w:rPr>
          <w:rFonts w:hint="eastAsia" w:ascii="宋体" w:hAnsi="宋体" w:eastAsia="宋体" w:cs="宋体"/>
          <w:color w:val="auto"/>
          <w:sz w:val="24"/>
          <w:szCs w:val="24"/>
          <w:lang w:eastAsia="zh-CN"/>
        </w:rPr>
        <w:t>组、</w:t>
      </w:r>
      <w:r>
        <w:rPr>
          <w:rFonts w:hint="eastAsia"/>
        </w:rPr>
        <w:t>抢险救援</w:t>
      </w:r>
      <w:r>
        <w:rPr>
          <w:rFonts w:hint="eastAsia" w:ascii="宋体" w:hAnsi="宋体" w:eastAsia="宋体" w:cs="宋体"/>
          <w:color w:val="auto"/>
          <w:sz w:val="24"/>
          <w:szCs w:val="24"/>
          <w:lang w:eastAsia="zh-CN"/>
        </w:rPr>
        <w:t>组、</w:t>
      </w:r>
      <w:r>
        <w:rPr>
          <w:rFonts w:hint="eastAsia"/>
          <w:lang w:val="en-US" w:eastAsia="zh-CN"/>
        </w:rPr>
        <w:t>.</w:t>
      </w:r>
      <w:r>
        <w:rPr>
          <w:rFonts w:hint="eastAsia"/>
        </w:rPr>
        <w:t>物资</w:t>
      </w:r>
      <w:r>
        <w:rPr>
          <w:rFonts w:hint="eastAsia"/>
          <w:lang w:eastAsia="zh-CN"/>
        </w:rPr>
        <w:t>供应</w:t>
      </w:r>
      <w:r>
        <w:rPr>
          <w:rFonts w:hint="eastAsia" w:ascii="宋体" w:hAnsi="宋体" w:eastAsia="宋体" w:cs="宋体"/>
          <w:color w:val="auto"/>
          <w:sz w:val="24"/>
          <w:szCs w:val="24"/>
          <w:lang w:eastAsia="zh-CN"/>
        </w:rPr>
        <w:t>组、</w:t>
      </w:r>
      <w:r>
        <w:rPr>
          <w:rFonts w:hint="eastAsia"/>
        </w:rPr>
        <w:t>医疗救护</w:t>
      </w:r>
      <w:r>
        <w:rPr>
          <w:rFonts w:hint="eastAsia" w:ascii="宋体" w:hAnsi="宋体" w:eastAsia="宋体" w:cs="宋体"/>
          <w:color w:val="auto"/>
          <w:sz w:val="24"/>
          <w:szCs w:val="24"/>
          <w:lang w:eastAsia="zh-CN"/>
        </w:rPr>
        <w:t>组</w:t>
      </w:r>
      <w:r>
        <w:rPr>
          <w:rFonts w:hint="eastAsia" w:cs="宋体"/>
          <w:color w:val="auto"/>
          <w:sz w:val="24"/>
          <w:szCs w:val="24"/>
          <w:lang w:eastAsia="zh-CN"/>
        </w:rPr>
        <w:t>、</w:t>
      </w:r>
      <w:r>
        <w:rPr>
          <w:rFonts w:hint="eastAsia"/>
          <w:lang w:val="en-US" w:eastAsia="zh-CN"/>
        </w:rPr>
        <w:t>通信</w:t>
      </w:r>
      <w:r>
        <w:rPr>
          <w:rFonts w:hint="eastAsia"/>
        </w:rPr>
        <w:t>联络组</w:t>
      </w:r>
      <w:r>
        <w:rPr>
          <w:rFonts w:hint="eastAsia"/>
          <w:lang w:eastAsia="zh-CN"/>
        </w:rPr>
        <w:t>、环境监测组</w:t>
      </w:r>
      <w:r>
        <w:rPr>
          <w:rFonts w:hint="eastAsia" w:ascii="宋体" w:hAnsi="宋体" w:eastAsia="宋体" w:cs="宋体"/>
          <w:color w:val="auto"/>
          <w:kern w:val="0"/>
          <w:sz w:val="24"/>
          <w:szCs w:val="24"/>
        </w:rPr>
        <w:t>，每个机构都有相应的负责人以及成员。</w:t>
      </w:r>
    </w:p>
    <w:p>
      <w:pPr>
        <w:autoSpaceDE w:val="0"/>
        <w:autoSpaceDN w:val="0"/>
        <w:adjustRightInd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（3）企业突发环境事件预案应纳入</w:t>
      </w:r>
      <w:r>
        <w:rPr>
          <w:rFonts w:hint="eastAsia" w:ascii="宋体" w:hAnsi="宋体" w:eastAsia="宋体" w:cs="宋体"/>
          <w:color w:val="auto"/>
          <w:kern w:val="0"/>
          <w:sz w:val="24"/>
          <w:lang w:eastAsia="zh-CN"/>
        </w:rPr>
        <w:t>环保局</w:t>
      </w:r>
      <w:r>
        <w:rPr>
          <w:rFonts w:hint="eastAsia" w:ascii="宋体" w:hAnsi="宋体" w:eastAsia="宋体" w:cs="宋体"/>
          <w:color w:val="auto"/>
          <w:kern w:val="0"/>
          <w:sz w:val="24"/>
        </w:rPr>
        <w:t>突发环境事件应急管理体系，在县环保局的指挥下开展</w:t>
      </w:r>
      <w:r>
        <w:rPr>
          <w:rFonts w:hint="eastAsia" w:ascii="宋体" w:hAnsi="宋体" w:eastAsia="宋体" w:cs="宋体"/>
          <w:color w:val="auto"/>
          <w:kern w:val="0"/>
          <w:sz w:val="24"/>
          <w:lang w:eastAsia="zh-CN"/>
        </w:rPr>
        <w:t>重大</w:t>
      </w:r>
      <w:r>
        <w:rPr>
          <w:rFonts w:hint="eastAsia" w:ascii="宋体" w:hAnsi="宋体" w:eastAsia="宋体" w:cs="宋体"/>
          <w:color w:val="auto"/>
          <w:kern w:val="0"/>
          <w:sz w:val="24"/>
        </w:rPr>
        <w:t>环境事件的应急处置和救援。发生较大环境污染事故时，立即电话上报</w:t>
      </w:r>
      <w:r>
        <w:rPr>
          <w:rFonts w:hint="eastAsia" w:ascii="宋体" w:hAnsi="宋体" w:eastAsia="宋体" w:cs="宋体"/>
          <w:color w:val="auto"/>
          <w:kern w:val="0"/>
          <w:sz w:val="24"/>
          <w:lang w:eastAsia="zh-CN"/>
        </w:rPr>
        <w:t>环保局</w:t>
      </w:r>
      <w:r>
        <w:rPr>
          <w:rFonts w:hint="eastAsia" w:ascii="宋体" w:hAnsi="宋体" w:eastAsia="宋体" w:cs="宋体"/>
          <w:color w:val="auto"/>
          <w:kern w:val="0"/>
          <w:sz w:val="24"/>
        </w:rPr>
        <w:t>，依托环保局进行污染监测、信息发布、污染处置及控制情况通报。</w:t>
      </w:r>
    </w:p>
    <w:p>
      <w:pPr>
        <w:autoSpaceDE w:val="0"/>
        <w:autoSpaceDN w:val="0"/>
        <w:adjustRightInd w:val="0"/>
        <w:spacing w:line="360" w:lineRule="auto"/>
        <w:ind w:firstLine="480" w:firstLineChars="200"/>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（4）未签订应急救援协议或互救协议</w:t>
      </w:r>
      <w:r>
        <w:rPr>
          <w:rFonts w:hint="eastAsia" w:ascii="宋体" w:hAnsi="宋体" w:eastAsia="宋体" w:cs="宋体"/>
          <w:color w:val="000000" w:themeColor="text1"/>
          <w:kern w:val="0"/>
          <w:sz w:val="24"/>
          <w:lang w:eastAsia="zh-CN"/>
          <w14:textFill>
            <w14:solidFill>
              <w14:schemeClr w14:val="tx1"/>
            </w14:solidFill>
          </w14:textFill>
        </w:rPr>
        <w:t>及应急监测协议。</w:t>
      </w:r>
    </w:p>
    <w:p>
      <w:pPr>
        <w:pStyle w:val="3"/>
        <w:rPr>
          <w:rFonts w:hint="eastAsia" w:ascii="宋体" w:hAnsi="宋体" w:eastAsia="宋体" w:cs="宋体"/>
          <w:color w:val="auto"/>
        </w:rPr>
      </w:pPr>
      <w:bookmarkStart w:id="172" w:name="_Toc12954"/>
      <w:bookmarkStart w:id="173" w:name="_Toc28698"/>
      <w:bookmarkStart w:id="174" w:name="_Toc13730"/>
      <w:r>
        <w:rPr>
          <w:rFonts w:hint="eastAsia" w:ascii="宋体" w:hAnsi="宋体" w:eastAsia="宋体" w:cs="宋体"/>
          <w:color w:val="auto"/>
        </w:rPr>
        <w:t>5.4 历史经验总结教训</w:t>
      </w:r>
      <w:bookmarkEnd w:id="166"/>
      <w:bookmarkEnd w:id="167"/>
      <w:bookmarkEnd w:id="168"/>
      <w:bookmarkEnd w:id="169"/>
      <w:bookmarkEnd w:id="170"/>
      <w:bookmarkEnd w:id="171"/>
      <w:bookmarkEnd w:id="172"/>
      <w:bookmarkEnd w:id="173"/>
      <w:bookmarkEnd w:id="174"/>
    </w:p>
    <w:p>
      <w:pPr>
        <w:autoSpaceDE w:val="0"/>
        <w:autoSpaceDN w:val="0"/>
        <w:adjustRightInd w:val="0"/>
        <w:spacing w:line="360" w:lineRule="auto"/>
        <w:ind w:firstLine="480" w:firstLineChars="200"/>
        <w:rPr>
          <w:rFonts w:hint="eastAsia" w:ascii="宋体" w:hAnsi="宋体" w:eastAsia="宋体" w:cs="宋体"/>
          <w:color w:val="auto"/>
          <w:kern w:val="0"/>
          <w:sz w:val="24"/>
        </w:rPr>
      </w:pPr>
      <w:bookmarkStart w:id="175" w:name="_Toc421817107"/>
      <w:bookmarkStart w:id="176" w:name="_Toc421487104"/>
      <w:bookmarkStart w:id="177" w:name="_Toc19600"/>
      <w:bookmarkStart w:id="178" w:name="_Toc421487029"/>
      <w:bookmarkStart w:id="179" w:name="_Toc421483871"/>
      <w:bookmarkStart w:id="180" w:name="_Toc401654958"/>
      <w:bookmarkStart w:id="181" w:name="_Toc421483248"/>
      <w:r>
        <w:rPr>
          <w:rFonts w:hint="eastAsia" w:ascii="宋体" w:hAnsi="宋体" w:eastAsia="宋体" w:cs="宋体"/>
          <w:color w:val="auto"/>
          <w:kern w:val="0"/>
          <w:sz w:val="24"/>
        </w:rPr>
        <w:t>根据</w:t>
      </w:r>
      <w:r>
        <w:rPr>
          <w:rFonts w:hint="eastAsia" w:ascii="宋体" w:hAnsi="宋体" w:eastAsia="宋体" w:cs="宋体"/>
          <w:color w:val="auto"/>
          <w:kern w:val="0"/>
          <w:sz w:val="24"/>
          <w:lang w:eastAsia="zh-CN"/>
        </w:rPr>
        <w:t>加油站</w:t>
      </w:r>
      <w:r>
        <w:rPr>
          <w:rFonts w:hint="eastAsia" w:ascii="宋体" w:hAnsi="宋体" w:eastAsia="宋体" w:cs="宋体"/>
          <w:color w:val="auto"/>
          <w:kern w:val="0"/>
          <w:sz w:val="24"/>
        </w:rPr>
        <w:t>现状，结合相关企业突发环境事件案例，从这些案例中我们还可能吸取一些经验教训，以便采取措施防止类似事件的发生。</w:t>
      </w:r>
    </w:p>
    <w:p>
      <w:pPr>
        <w:autoSpaceDE w:val="0"/>
        <w:autoSpaceDN w:val="0"/>
        <w:adjustRightInd w:val="0"/>
        <w:spacing w:line="360" w:lineRule="auto"/>
        <w:jc w:val="center"/>
        <w:rPr>
          <w:rFonts w:hint="eastAsia" w:ascii="宋体" w:hAnsi="宋体" w:eastAsia="宋体" w:cs="宋体"/>
          <w:b/>
          <w:bCs/>
          <w:color w:val="auto"/>
          <w:kern w:val="0"/>
          <w:szCs w:val="21"/>
        </w:rPr>
      </w:pPr>
      <w:r>
        <w:rPr>
          <w:rFonts w:hint="eastAsia" w:ascii="宋体" w:hAnsi="宋体" w:eastAsia="宋体" w:cs="宋体"/>
          <w:b/>
          <w:bCs/>
          <w:color w:val="auto"/>
          <w:kern w:val="0"/>
          <w:szCs w:val="21"/>
          <w:lang w:eastAsia="zh-CN"/>
        </w:rPr>
        <w:t>表</w:t>
      </w:r>
      <w:r>
        <w:rPr>
          <w:rFonts w:hint="eastAsia" w:ascii="宋体" w:hAnsi="宋体" w:eastAsia="宋体" w:cs="宋体"/>
          <w:b/>
          <w:bCs/>
          <w:color w:val="auto"/>
          <w:kern w:val="0"/>
          <w:szCs w:val="21"/>
        </w:rPr>
        <w:t>5.4-1 经验教训总结</w:t>
      </w:r>
    </w:p>
    <w:tbl>
      <w:tblPr>
        <w:tblStyle w:val="18"/>
        <w:tblW w:w="9071"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25"/>
        <w:gridCol w:w="2086"/>
        <w:gridCol w:w="626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5" w:type="dxa"/>
            <w:tcBorders>
              <w:tl2br w:val="nil"/>
              <w:tr2bl w:val="nil"/>
            </w:tcBorders>
            <w:vAlign w:val="center"/>
          </w:tcPr>
          <w:p>
            <w:p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序号</w:t>
            </w:r>
          </w:p>
        </w:tc>
        <w:tc>
          <w:tcPr>
            <w:tcW w:w="2086" w:type="dxa"/>
            <w:tcBorders>
              <w:tl2br w:val="nil"/>
              <w:tr2bl w:val="nil"/>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突发环境事件类型</w:t>
            </w:r>
          </w:p>
        </w:tc>
        <w:tc>
          <w:tcPr>
            <w:tcW w:w="6260" w:type="dxa"/>
            <w:tcBorders>
              <w:tl2br w:val="nil"/>
              <w:tr2bl w:val="nil"/>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根据经验教训本企业需加强/增加的措施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5" w:type="dxa"/>
            <w:tcBorders>
              <w:tl2br w:val="nil"/>
              <w:tr2bl w:val="nil"/>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1</w:t>
            </w:r>
          </w:p>
        </w:tc>
        <w:tc>
          <w:tcPr>
            <w:tcW w:w="2086" w:type="dxa"/>
            <w:tcBorders>
              <w:tl2br w:val="nil"/>
              <w:tr2bl w:val="nil"/>
            </w:tcBorders>
            <w:vAlign w:val="center"/>
          </w:tcPr>
          <w:p>
            <w:pPr>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泄漏事故</w:t>
            </w:r>
          </w:p>
        </w:tc>
        <w:tc>
          <w:tcPr>
            <w:tcW w:w="6260" w:type="dxa"/>
            <w:tcBorders>
              <w:tl2br w:val="nil"/>
              <w:tr2bl w:val="nil"/>
            </w:tcBorders>
            <w:vAlign w:val="center"/>
          </w:tcPr>
          <w:p>
            <w:pPr>
              <w:jc w:val="both"/>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(1)</w:t>
            </w:r>
            <w:r>
              <w:rPr>
                <w:rFonts w:hint="eastAsia" w:ascii="宋体" w:hAnsi="宋体" w:eastAsia="宋体" w:cs="宋体"/>
                <w:color w:val="auto"/>
                <w:szCs w:val="21"/>
              </w:rPr>
              <w:t>定期对储罐、管线进行</w:t>
            </w:r>
            <w:r>
              <w:rPr>
                <w:rFonts w:hint="eastAsia" w:ascii="宋体" w:hAnsi="宋体" w:eastAsia="宋体" w:cs="宋体"/>
                <w:color w:val="auto"/>
                <w:szCs w:val="21"/>
                <w:lang w:eastAsia="zh-CN"/>
              </w:rPr>
              <w:t>巡检、</w:t>
            </w:r>
            <w:r>
              <w:rPr>
                <w:rFonts w:hint="eastAsia" w:ascii="宋体" w:hAnsi="宋体" w:eastAsia="宋体" w:cs="宋体"/>
                <w:color w:val="auto"/>
                <w:szCs w:val="21"/>
              </w:rPr>
              <w:t>维护</w:t>
            </w:r>
            <w:r>
              <w:rPr>
                <w:rFonts w:hint="eastAsia" w:ascii="宋体" w:hAnsi="宋体" w:eastAsia="宋体" w:cs="宋体"/>
                <w:color w:val="auto"/>
                <w:szCs w:val="21"/>
                <w:lang w:eastAsia="zh-CN"/>
              </w:rPr>
              <w:t>。</w:t>
            </w:r>
          </w:p>
          <w:p>
            <w:pPr>
              <w:jc w:val="both"/>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(2)罐区、管线测漏报警装置由专人负责看管，并定期进行维护。</w:t>
            </w:r>
          </w:p>
          <w:p>
            <w:pPr>
              <w:jc w:val="both"/>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(3)环境应急物资由专人负责，确保应急物资储备完备并能在第一时间投入使用。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5" w:type="dxa"/>
            <w:tcBorders>
              <w:tl2br w:val="nil"/>
              <w:tr2bl w:val="nil"/>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2</w:t>
            </w:r>
          </w:p>
        </w:tc>
        <w:tc>
          <w:tcPr>
            <w:tcW w:w="2086" w:type="dxa"/>
            <w:tcBorders>
              <w:tl2br w:val="nil"/>
              <w:tr2bl w:val="nil"/>
            </w:tcBorders>
            <w:vAlign w:val="center"/>
          </w:tcPr>
          <w:p>
            <w:p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火灾、爆炸事故引发厂外环境污染</w:t>
            </w:r>
          </w:p>
        </w:tc>
        <w:tc>
          <w:tcPr>
            <w:tcW w:w="6260" w:type="dxa"/>
            <w:tcBorders>
              <w:tl2br w:val="nil"/>
              <w:tr2bl w:val="nil"/>
            </w:tcBorders>
            <w:vAlign w:val="center"/>
          </w:tcPr>
          <w:p>
            <w:pPr>
              <w:rPr>
                <w:rFonts w:hint="eastAsia" w:ascii="宋体" w:hAnsi="宋体" w:eastAsia="宋体" w:cs="宋体"/>
                <w:color w:val="auto"/>
                <w:szCs w:val="21"/>
              </w:rPr>
            </w:pPr>
            <w:r>
              <w:rPr>
                <w:rFonts w:hint="eastAsia" w:ascii="宋体" w:hAnsi="宋体" w:eastAsia="宋体" w:cs="宋体"/>
                <w:color w:val="auto"/>
                <w:szCs w:val="21"/>
                <w:lang w:val="en-US" w:eastAsia="zh-CN"/>
              </w:rPr>
              <w:t>(1)</w:t>
            </w:r>
            <w:r>
              <w:rPr>
                <w:rFonts w:hint="eastAsia" w:ascii="宋体" w:hAnsi="宋体" w:eastAsia="宋体" w:cs="宋体"/>
                <w:color w:val="auto"/>
                <w:szCs w:val="21"/>
              </w:rPr>
              <w:t>企业应建立完善的隐患排查治理制度，及时排查隐患并治理。</w:t>
            </w:r>
          </w:p>
          <w:p>
            <w:pPr>
              <w:rPr>
                <w:rFonts w:hint="eastAsia" w:ascii="宋体" w:hAnsi="宋体" w:eastAsia="宋体" w:cs="宋体"/>
                <w:color w:val="auto"/>
                <w:szCs w:val="21"/>
              </w:rPr>
            </w:pPr>
            <w:r>
              <w:rPr>
                <w:rFonts w:hint="eastAsia" w:ascii="宋体" w:hAnsi="宋体" w:eastAsia="宋体" w:cs="宋体"/>
                <w:color w:val="auto"/>
                <w:szCs w:val="21"/>
                <w:lang w:val="en-US" w:eastAsia="zh-CN"/>
              </w:rPr>
              <w:t>(2)</w:t>
            </w:r>
            <w:r>
              <w:rPr>
                <w:rFonts w:hint="eastAsia" w:ascii="宋体" w:hAnsi="宋体" w:eastAsia="宋体" w:cs="宋体"/>
                <w:color w:val="auto"/>
                <w:szCs w:val="21"/>
              </w:rPr>
              <w:t>加强安全管理，定期开展员工培训，提高员工素质、增强操作技能，提升员工的安全意识</w:t>
            </w:r>
            <w:r>
              <w:rPr>
                <w:rFonts w:hint="eastAsia" w:ascii="宋体" w:hAnsi="宋体" w:eastAsia="宋体" w:cs="宋体"/>
                <w:color w:val="auto"/>
                <w:szCs w:val="21"/>
                <w:lang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5" w:type="dxa"/>
            <w:tcBorders>
              <w:tl2br w:val="nil"/>
              <w:tr2bl w:val="nil"/>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3</w:t>
            </w:r>
          </w:p>
        </w:tc>
        <w:tc>
          <w:tcPr>
            <w:tcW w:w="2086" w:type="dxa"/>
            <w:tcBorders>
              <w:tl2br w:val="nil"/>
              <w:tr2bl w:val="nil"/>
            </w:tcBorders>
            <w:vAlign w:val="center"/>
          </w:tcPr>
          <w:p>
            <w:p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风险防控设施失灵</w:t>
            </w:r>
          </w:p>
        </w:tc>
        <w:tc>
          <w:tcPr>
            <w:tcW w:w="6260" w:type="dxa"/>
            <w:tcBorders>
              <w:tl2br w:val="nil"/>
              <w:tr2bl w:val="nil"/>
            </w:tcBorders>
            <w:vAlign w:val="center"/>
          </w:tcPr>
          <w:p>
            <w:pPr>
              <w:rPr>
                <w:rFonts w:hint="eastAsia" w:ascii="宋体" w:hAnsi="宋体" w:eastAsia="宋体" w:cs="宋体"/>
                <w:color w:val="auto"/>
                <w:szCs w:val="21"/>
              </w:rPr>
            </w:pPr>
            <w:r>
              <w:rPr>
                <w:rFonts w:hint="eastAsia" w:ascii="宋体" w:hAnsi="宋体" w:eastAsia="宋体" w:cs="宋体"/>
                <w:color w:val="auto"/>
                <w:szCs w:val="21"/>
              </w:rPr>
              <w:t>(1)改进管道等设施的阀门系统，确保事故发生后能有效关闭；</w:t>
            </w:r>
          </w:p>
          <w:p>
            <w:pPr>
              <w:rPr>
                <w:rFonts w:hint="eastAsia" w:ascii="宋体" w:hAnsi="宋体" w:eastAsia="宋体" w:cs="宋体"/>
                <w:color w:val="auto"/>
                <w:szCs w:val="21"/>
              </w:rPr>
            </w:pPr>
            <w:r>
              <w:rPr>
                <w:rFonts w:hint="eastAsia" w:ascii="宋体" w:hAnsi="宋体" w:eastAsia="宋体" w:cs="宋体"/>
                <w:color w:val="auto"/>
                <w:szCs w:val="21"/>
              </w:rPr>
              <w:t>(2)设置专人定期巡检设备，如发现隐患立即保修、整改。</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5" w:type="dxa"/>
            <w:tcBorders>
              <w:tl2br w:val="nil"/>
              <w:tr2bl w:val="nil"/>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4</w:t>
            </w:r>
          </w:p>
        </w:tc>
        <w:tc>
          <w:tcPr>
            <w:tcW w:w="2086" w:type="dxa"/>
            <w:tcBorders>
              <w:tl2br w:val="nil"/>
              <w:tr2bl w:val="nil"/>
            </w:tcBorders>
            <w:vAlign w:val="center"/>
          </w:tcPr>
          <w:p>
            <w:p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企业违法排污</w:t>
            </w:r>
          </w:p>
        </w:tc>
        <w:tc>
          <w:tcPr>
            <w:tcW w:w="6260" w:type="dxa"/>
            <w:tcBorders>
              <w:tl2br w:val="nil"/>
              <w:tr2bl w:val="nil"/>
            </w:tcBorders>
            <w:vAlign w:val="center"/>
          </w:tcPr>
          <w:p>
            <w:pPr>
              <w:ind w:left="48" w:leftChars="20"/>
              <w:rPr>
                <w:rFonts w:hint="eastAsia" w:ascii="宋体" w:hAnsi="宋体" w:eastAsia="宋体" w:cs="宋体"/>
                <w:color w:val="auto"/>
                <w:szCs w:val="21"/>
              </w:rPr>
            </w:pPr>
            <w:r>
              <w:rPr>
                <w:rFonts w:hint="eastAsia" w:ascii="宋体" w:hAnsi="宋体" w:eastAsia="宋体" w:cs="宋体"/>
                <w:color w:val="auto"/>
                <w:szCs w:val="21"/>
              </w:rPr>
              <w:t>(1)加强固体废物的贮存管理以及运输管理制度；</w:t>
            </w:r>
          </w:p>
          <w:p>
            <w:pPr>
              <w:ind w:left="48" w:leftChars="20"/>
              <w:rPr>
                <w:rFonts w:hint="eastAsia" w:ascii="宋体" w:hAnsi="宋体" w:eastAsia="宋体" w:cs="宋体"/>
                <w:color w:val="auto"/>
                <w:szCs w:val="21"/>
              </w:rPr>
            </w:pPr>
            <w:r>
              <w:rPr>
                <w:rFonts w:hint="eastAsia" w:ascii="宋体" w:hAnsi="宋体" w:eastAsia="宋体" w:cs="宋体"/>
                <w:color w:val="auto"/>
                <w:szCs w:val="21"/>
              </w:rPr>
              <w:t>(2)完善污染物排放信息公开制度，积极接受环保部门及民众监督。</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5" w:type="dxa"/>
            <w:tcBorders>
              <w:tl2br w:val="nil"/>
              <w:tr2bl w:val="nil"/>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5</w:t>
            </w:r>
          </w:p>
        </w:tc>
        <w:tc>
          <w:tcPr>
            <w:tcW w:w="2086" w:type="dxa"/>
            <w:tcBorders>
              <w:tl2br w:val="nil"/>
              <w:tr2bl w:val="nil"/>
            </w:tcBorders>
            <w:vAlign w:val="center"/>
          </w:tcPr>
          <w:p>
            <w:p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运输泄露事故</w:t>
            </w:r>
          </w:p>
        </w:tc>
        <w:tc>
          <w:tcPr>
            <w:tcW w:w="6260" w:type="dxa"/>
            <w:tcBorders>
              <w:tl2br w:val="nil"/>
              <w:tr2bl w:val="nil"/>
            </w:tcBorders>
            <w:vAlign w:val="center"/>
          </w:tcPr>
          <w:p>
            <w:pPr>
              <w:rPr>
                <w:rFonts w:hint="eastAsia" w:ascii="宋体" w:hAnsi="宋体" w:eastAsia="宋体" w:cs="宋体"/>
                <w:color w:val="auto"/>
                <w:szCs w:val="21"/>
              </w:rPr>
            </w:pPr>
            <w:r>
              <w:rPr>
                <w:rFonts w:hint="eastAsia" w:ascii="宋体" w:hAnsi="宋体" w:eastAsia="宋体" w:cs="宋体"/>
                <w:color w:val="auto"/>
                <w:szCs w:val="21"/>
              </w:rPr>
              <w:t>(1)加强运输过程中的防范管理措施，驾驶人员的宣传教育。</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25" w:type="dxa"/>
            <w:tcBorders>
              <w:tl2br w:val="nil"/>
              <w:tr2bl w:val="nil"/>
            </w:tcBorders>
            <w:vAlign w:val="center"/>
          </w:tcPr>
          <w:p>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6</w:t>
            </w:r>
          </w:p>
        </w:tc>
        <w:tc>
          <w:tcPr>
            <w:tcW w:w="2086" w:type="dxa"/>
            <w:tcBorders>
              <w:tl2br w:val="nil"/>
              <w:tr2bl w:val="nil"/>
            </w:tcBorders>
            <w:vAlign w:val="center"/>
          </w:tcPr>
          <w:p>
            <w:pPr>
              <w:ind w:left="48" w:leftChars="20"/>
              <w:jc w:val="both"/>
              <w:rPr>
                <w:rFonts w:hint="eastAsia" w:ascii="宋体" w:hAnsi="宋体" w:eastAsia="宋体" w:cs="宋体"/>
                <w:color w:val="auto"/>
                <w:szCs w:val="21"/>
              </w:rPr>
            </w:pPr>
            <w:r>
              <w:rPr>
                <w:rFonts w:hint="eastAsia" w:ascii="宋体" w:hAnsi="宋体" w:eastAsia="宋体" w:cs="宋体"/>
                <w:color w:val="auto"/>
                <w:szCs w:val="21"/>
              </w:rPr>
              <w:t>极端天气</w:t>
            </w:r>
          </w:p>
        </w:tc>
        <w:tc>
          <w:tcPr>
            <w:tcW w:w="6260" w:type="dxa"/>
            <w:tcBorders>
              <w:tl2br w:val="nil"/>
              <w:tr2bl w:val="nil"/>
            </w:tcBorders>
            <w:vAlign w:val="center"/>
          </w:tcPr>
          <w:p>
            <w:pPr>
              <w:ind w:left="42"/>
              <w:rPr>
                <w:rFonts w:hint="eastAsia" w:ascii="宋体" w:hAnsi="宋体" w:eastAsia="宋体" w:cs="宋体"/>
                <w:color w:val="auto"/>
                <w:szCs w:val="21"/>
              </w:rPr>
            </w:pPr>
            <w:r>
              <w:rPr>
                <w:rFonts w:hint="eastAsia" w:ascii="宋体" w:hAnsi="宋体" w:eastAsia="宋体" w:cs="宋体"/>
                <w:color w:val="auto"/>
                <w:szCs w:val="21"/>
              </w:rPr>
              <w:t>(1)做好极端天气的预测和调度；</w:t>
            </w:r>
          </w:p>
          <w:p>
            <w:pPr>
              <w:ind w:left="42" w:leftChars="0"/>
              <w:rPr>
                <w:rFonts w:hint="eastAsia" w:ascii="宋体" w:hAnsi="宋体" w:eastAsia="宋体" w:cs="宋体"/>
                <w:color w:val="auto"/>
                <w:szCs w:val="21"/>
              </w:rPr>
            </w:pPr>
            <w:r>
              <w:rPr>
                <w:rFonts w:hint="eastAsia" w:ascii="宋体" w:hAnsi="宋体" w:eastAsia="宋体" w:cs="宋体"/>
                <w:color w:val="auto"/>
                <w:szCs w:val="21"/>
              </w:rPr>
              <w:t>(2)做好</w:t>
            </w:r>
            <w:r>
              <w:rPr>
                <w:rFonts w:hint="eastAsia" w:ascii="宋体" w:hAnsi="宋体" w:eastAsia="宋体" w:cs="宋体"/>
                <w:color w:val="auto"/>
                <w:szCs w:val="21"/>
                <w:lang w:eastAsia="zh-CN"/>
              </w:rPr>
              <w:t>环境</w:t>
            </w:r>
            <w:r>
              <w:rPr>
                <w:rFonts w:hint="eastAsia" w:ascii="宋体" w:hAnsi="宋体" w:eastAsia="宋体" w:cs="宋体"/>
                <w:color w:val="auto"/>
                <w:szCs w:val="21"/>
              </w:rPr>
              <w:t>安全生产隐患排查、防患治理工作</w:t>
            </w:r>
            <w:r>
              <w:rPr>
                <w:rFonts w:hint="eastAsia" w:ascii="宋体" w:hAnsi="宋体" w:eastAsia="宋体" w:cs="宋体"/>
                <w:color w:val="auto"/>
                <w:szCs w:val="21"/>
                <w:lang w:eastAsia="zh-CN"/>
              </w:rPr>
              <w:t>。</w:t>
            </w:r>
          </w:p>
        </w:tc>
      </w:tr>
    </w:tbl>
    <w:p>
      <w:pPr>
        <w:pStyle w:val="3"/>
        <w:rPr>
          <w:rFonts w:hint="eastAsia" w:ascii="宋体" w:hAnsi="宋体" w:eastAsia="宋体" w:cs="宋体"/>
          <w:color w:val="auto"/>
        </w:rPr>
      </w:pPr>
      <w:bookmarkStart w:id="182" w:name="_Toc23773"/>
      <w:bookmarkStart w:id="183" w:name="_Toc25459"/>
      <w:r>
        <w:rPr>
          <w:rFonts w:hint="eastAsia" w:ascii="宋体" w:hAnsi="宋体" w:eastAsia="宋体" w:cs="宋体"/>
          <w:color w:val="auto"/>
        </w:rPr>
        <w:t>5.5 需要整改的短期、中期和长期项目内容</w:t>
      </w:r>
      <w:bookmarkEnd w:id="175"/>
      <w:bookmarkEnd w:id="176"/>
      <w:bookmarkEnd w:id="177"/>
      <w:bookmarkEnd w:id="178"/>
      <w:bookmarkEnd w:id="179"/>
      <w:bookmarkEnd w:id="180"/>
      <w:bookmarkEnd w:id="181"/>
      <w:bookmarkEnd w:id="182"/>
      <w:bookmarkEnd w:id="183"/>
    </w:p>
    <w:p>
      <w:pPr>
        <w:spacing w:line="360" w:lineRule="auto"/>
        <w:ind w:firstLine="448" w:firstLineChars="200"/>
        <w:rPr>
          <w:rFonts w:hint="eastAsia" w:ascii="宋体" w:hAnsi="宋体" w:eastAsia="宋体" w:cs="宋体"/>
          <w:color w:val="auto"/>
          <w:sz w:val="24"/>
        </w:rPr>
      </w:pPr>
      <w:r>
        <w:rPr>
          <w:rFonts w:hint="eastAsia" w:ascii="宋体" w:hAnsi="宋体" w:eastAsia="宋体" w:cs="宋体"/>
          <w:color w:val="auto"/>
          <w:spacing w:val="-8"/>
          <w:sz w:val="24"/>
          <w:szCs w:val="24"/>
        </w:rPr>
        <w:t>乔旭（九江）企业有限公司</w:t>
      </w:r>
      <w:r>
        <w:rPr>
          <w:rFonts w:hint="eastAsia" w:ascii="宋体" w:hAnsi="宋体" w:eastAsia="宋体" w:cs="宋体"/>
          <w:color w:val="auto"/>
          <w:sz w:val="24"/>
        </w:rPr>
        <w:t>针对本次排查出来的每一项差距和隐患，根据其危害性、紧迫性和治理时间的长短，提出需要完成整改的期限，详见表5.5-1。</w:t>
      </w:r>
    </w:p>
    <w:p>
      <w:pPr>
        <w:autoSpaceDE w:val="0"/>
        <w:autoSpaceDN w:val="0"/>
        <w:adjustRightInd w:val="0"/>
        <w:spacing w:line="360" w:lineRule="auto"/>
        <w:jc w:val="center"/>
        <w:rPr>
          <w:rFonts w:hint="eastAsia" w:ascii="宋体" w:hAnsi="宋体" w:eastAsia="宋体" w:cs="宋体"/>
          <w:b/>
          <w:bCs/>
          <w:color w:val="auto"/>
          <w:kern w:val="0"/>
          <w:szCs w:val="21"/>
        </w:rPr>
      </w:pPr>
      <w:r>
        <w:rPr>
          <w:rFonts w:hint="eastAsia" w:ascii="宋体" w:hAnsi="宋体" w:eastAsia="宋体" w:cs="宋体"/>
          <w:b/>
          <w:bCs/>
          <w:color w:val="auto"/>
          <w:kern w:val="0"/>
          <w:szCs w:val="21"/>
        </w:rPr>
        <w:t>表5.5-1 需要整改的短期、中期和长期项目内容</w:t>
      </w:r>
    </w:p>
    <w:tbl>
      <w:tblPr>
        <w:tblStyle w:val="18"/>
        <w:tblW w:w="9071"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003"/>
        <w:gridCol w:w="5595"/>
        <w:gridCol w:w="14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03" w:type="dxa"/>
            <w:tcBorders>
              <w:tl2br w:val="nil"/>
              <w:tr2bl w:val="nil"/>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类别</w:t>
            </w:r>
          </w:p>
        </w:tc>
        <w:tc>
          <w:tcPr>
            <w:tcW w:w="5595" w:type="dxa"/>
            <w:tcBorders>
              <w:tl2br w:val="nil"/>
              <w:tr2bl w:val="nil"/>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存在问题及需要整改的内容</w:t>
            </w:r>
          </w:p>
        </w:tc>
        <w:tc>
          <w:tcPr>
            <w:tcW w:w="1473" w:type="dxa"/>
            <w:tcBorders>
              <w:tl2br w:val="nil"/>
              <w:tr2bl w:val="nil"/>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整改期限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03" w:type="dxa"/>
            <w:vMerge w:val="restart"/>
            <w:tcBorders>
              <w:tl2br w:val="nil"/>
              <w:tr2bl w:val="nil"/>
            </w:tcBorders>
            <w:vAlign w:val="center"/>
          </w:tcPr>
          <w:p>
            <w:p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环境应急资源</w:t>
            </w:r>
          </w:p>
        </w:tc>
        <w:tc>
          <w:tcPr>
            <w:tcW w:w="5595" w:type="dxa"/>
            <w:tcBorders>
              <w:tl2br w:val="nil"/>
              <w:tr2bl w:val="nil"/>
            </w:tcBorders>
            <w:vAlign w:val="center"/>
          </w:tcPr>
          <w:p>
            <w:pPr>
              <w:rPr>
                <w:rFonts w:hint="eastAsia" w:ascii="宋体" w:hAnsi="宋体" w:eastAsia="宋体" w:cs="宋体"/>
                <w:color w:val="auto"/>
                <w:szCs w:val="21"/>
              </w:rPr>
            </w:pPr>
            <w:r>
              <w:rPr>
                <w:rFonts w:hint="eastAsia" w:ascii="宋体" w:hAnsi="宋体" w:eastAsia="宋体" w:cs="宋体"/>
                <w:color w:val="auto"/>
                <w:szCs w:val="21"/>
              </w:rPr>
              <w:t>针对应急小组成员颁布相应的任命书，进一步落实岗位责任制，特别是应急指挥领导小组指挥及成员。</w:t>
            </w:r>
          </w:p>
        </w:tc>
        <w:tc>
          <w:tcPr>
            <w:tcW w:w="1473" w:type="dxa"/>
            <w:vMerge w:val="restart"/>
            <w:tcBorders>
              <w:tl2br w:val="nil"/>
              <w:tr2bl w:val="nil"/>
            </w:tcBorders>
            <w:vAlign w:val="center"/>
          </w:tcPr>
          <w:p>
            <w:p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短期（3个月内）</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03" w:type="dxa"/>
            <w:vMerge w:val="continue"/>
            <w:tcBorders>
              <w:tl2br w:val="nil"/>
              <w:tr2bl w:val="nil"/>
            </w:tcBorders>
            <w:vAlign w:val="center"/>
          </w:tcPr>
          <w:p>
            <w:pPr>
              <w:jc w:val="center"/>
              <w:rPr>
                <w:rFonts w:hint="eastAsia" w:ascii="宋体" w:hAnsi="宋体" w:eastAsia="宋体" w:cs="宋体"/>
                <w:color w:val="auto"/>
                <w:szCs w:val="21"/>
              </w:rPr>
            </w:pPr>
          </w:p>
        </w:tc>
        <w:tc>
          <w:tcPr>
            <w:tcW w:w="5595" w:type="dxa"/>
            <w:tcBorders>
              <w:tl2br w:val="nil"/>
              <w:tr2bl w:val="nil"/>
            </w:tcBorders>
            <w:vAlign w:val="center"/>
          </w:tcPr>
          <w:p>
            <w:pPr>
              <w:rPr>
                <w:rFonts w:hint="eastAsia" w:ascii="宋体" w:hAnsi="宋体" w:eastAsia="宋体" w:cs="宋体"/>
                <w:color w:val="auto"/>
                <w:szCs w:val="21"/>
              </w:rPr>
            </w:pPr>
            <w:r>
              <w:rPr>
                <w:rFonts w:hint="eastAsia" w:ascii="宋体" w:hAnsi="宋体" w:eastAsia="宋体" w:cs="宋体"/>
                <w:color w:val="auto"/>
                <w:szCs w:val="21"/>
                <w:lang w:eastAsia="zh-CN"/>
              </w:rPr>
              <w:t>应急物资储备不全</w:t>
            </w:r>
            <w:r>
              <w:rPr>
                <w:rFonts w:hint="eastAsia" w:ascii="宋体" w:hAnsi="宋体" w:eastAsia="宋体" w:cs="宋体"/>
                <w:color w:val="auto"/>
                <w:szCs w:val="21"/>
              </w:rPr>
              <w:t>。</w:t>
            </w:r>
          </w:p>
        </w:tc>
        <w:tc>
          <w:tcPr>
            <w:tcW w:w="1473" w:type="dxa"/>
            <w:vMerge w:val="continue"/>
            <w:tcBorders>
              <w:tl2br w:val="nil"/>
              <w:tr2bl w:val="nil"/>
            </w:tcBorders>
            <w:vAlign w:val="center"/>
          </w:tcPr>
          <w:p>
            <w:pPr>
              <w:jc w:val="center"/>
              <w:rPr>
                <w:rFonts w:hint="eastAsia" w:ascii="宋体" w:hAnsi="宋体" w:eastAsia="宋体" w:cs="宋体"/>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03" w:type="dxa"/>
            <w:vMerge w:val="continue"/>
            <w:tcBorders>
              <w:tl2br w:val="nil"/>
              <w:tr2bl w:val="nil"/>
            </w:tcBorders>
            <w:vAlign w:val="center"/>
          </w:tcPr>
          <w:p>
            <w:pPr>
              <w:jc w:val="center"/>
              <w:rPr>
                <w:rFonts w:hint="eastAsia" w:ascii="宋体" w:hAnsi="宋体" w:eastAsia="宋体" w:cs="宋体"/>
                <w:color w:val="auto"/>
                <w:szCs w:val="21"/>
              </w:rPr>
            </w:pPr>
          </w:p>
        </w:tc>
        <w:tc>
          <w:tcPr>
            <w:tcW w:w="5595" w:type="dxa"/>
            <w:tcBorders>
              <w:tl2br w:val="nil"/>
              <w:tr2bl w:val="nil"/>
            </w:tcBorders>
            <w:vAlign w:val="center"/>
          </w:tcPr>
          <w:p>
            <w:pPr>
              <w:rPr>
                <w:rFonts w:hint="eastAsia" w:ascii="宋体" w:hAnsi="宋体" w:eastAsia="宋体" w:cs="宋体"/>
                <w:color w:val="auto"/>
                <w:szCs w:val="21"/>
                <w:lang w:eastAsia="zh-CN"/>
              </w:rPr>
            </w:pPr>
            <w:r>
              <w:rPr>
                <w:rFonts w:hint="eastAsia" w:ascii="宋体" w:hAnsi="宋体" w:eastAsia="宋体" w:cs="宋体"/>
                <w:color w:val="000000" w:themeColor="text1"/>
                <w:szCs w:val="21"/>
                <w:lang w:eastAsia="zh-CN"/>
                <w14:textFill>
                  <w14:solidFill>
                    <w14:schemeClr w14:val="tx1"/>
                  </w14:solidFill>
                </w14:textFill>
              </w:rPr>
              <w:t>自行监测能力不完善，未与资质监测单位签订常规及应急监测协议。</w:t>
            </w:r>
          </w:p>
        </w:tc>
        <w:tc>
          <w:tcPr>
            <w:tcW w:w="1473" w:type="dxa"/>
            <w:vMerge w:val="continue"/>
            <w:tcBorders>
              <w:tl2br w:val="nil"/>
              <w:tr2bl w:val="nil"/>
            </w:tcBorders>
            <w:vAlign w:val="center"/>
          </w:tcPr>
          <w:p>
            <w:pPr>
              <w:jc w:val="center"/>
              <w:rPr>
                <w:rFonts w:hint="eastAsia" w:ascii="宋体" w:hAnsi="宋体" w:eastAsia="宋体" w:cs="宋体"/>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03" w:type="dxa"/>
            <w:vMerge w:val="continue"/>
            <w:tcBorders>
              <w:tl2br w:val="nil"/>
              <w:tr2bl w:val="nil"/>
            </w:tcBorders>
            <w:vAlign w:val="center"/>
          </w:tcPr>
          <w:p>
            <w:pPr>
              <w:jc w:val="center"/>
              <w:rPr>
                <w:rFonts w:hint="eastAsia" w:ascii="宋体" w:hAnsi="宋体" w:eastAsia="宋体" w:cs="宋体"/>
                <w:color w:val="auto"/>
                <w:szCs w:val="21"/>
              </w:rPr>
            </w:pPr>
          </w:p>
        </w:tc>
        <w:tc>
          <w:tcPr>
            <w:tcW w:w="5595" w:type="dxa"/>
            <w:tcBorders>
              <w:tl2br w:val="nil"/>
              <w:tr2bl w:val="nil"/>
            </w:tcBorders>
            <w:vAlign w:val="center"/>
          </w:tcPr>
          <w:p>
            <w:pPr>
              <w:rPr>
                <w:rFonts w:hint="eastAsia" w:ascii="宋体" w:hAnsi="宋体" w:eastAsia="宋体" w:cs="宋体"/>
                <w:color w:val="auto"/>
                <w:szCs w:val="21"/>
                <w:lang w:eastAsia="zh-CN"/>
              </w:rPr>
            </w:pPr>
            <w:r>
              <w:rPr>
                <w:rFonts w:hint="eastAsia" w:ascii="宋体" w:hAnsi="宋体" w:eastAsia="宋体" w:cs="宋体"/>
                <w:color w:val="auto"/>
                <w:szCs w:val="21"/>
                <w:lang w:eastAsia="zh-CN"/>
              </w:rPr>
              <w:t>厂界内未张贴应急疏散路线图。</w:t>
            </w:r>
          </w:p>
        </w:tc>
        <w:tc>
          <w:tcPr>
            <w:tcW w:w="1473" w:type="dxa"/>
            <w:vMerge w:val="continue"/>
            <w:tcBorders>
              <w:tl2br w:val="nil"/>
              <w:tr2bl w:val="nil"/>
            </w:tcBorders>
            <w:vAlign w:val="center"/>
          </w:tcPr>
          <w:p>
            <w:pPr>
              <w:jc w:val="center"/>
              <w:rPr>
                <w:rFonts w:hint="eastAsia" w:ascii="宋体" w:hAnsi="宋体" w:eastAsia="宋体" w:cs="宋体"/>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03" w:type="dxa"/>
            <w:vMerge w:val="continue"/>
            <w:tcBorders>
              <w:tl2br w:val="nil"/>
              <w:tr2bl w:val="nil"/>
            </w:tcBorders>
            <w:vAlign w:val="center"/>
          </w:tcPr>
          <w:p>
            <w:pPr>
              <w:jc w:val="center"/>
              <w:rPr>
                <w:rFonts w:hint="eastAsia" w:ascii="宋体" w:hAnsi="宋体" w:eastAsia="宋体" w:cs="宋体"/>
                <w:color w:val="auto"/>
                <w:szCs w:val="21"/>
              </w:rPr>
            </w:pPr>
          </w:p>
        </w:tc>
        <w:tc>
          <w:tcPr>
            <w:tcW w:w="5595" w:type="dxa"/>
            <w:tcBorders>
              <w:tl2br w:val="nil"/>
              <w:tr2bl w:val="nil"/>
            </w:tcBorders>
            <w:vAlign w:val="center"/>
          </w:tcPr>
          <w:p>
            <w:pPr>
              <w:rPr>
                <w:rFonts w:hint="eastAsia" w:ascii="宋体" w:hAnsi="宋体" w:eastAsia="宋体" w:cs="宋体"/>
                <w:color w:val="FF0000"/>
                <w:szCs w:val="21"/>
                <w:lang w:eastAsia="zh-CN"/>
              </w:rPr>
            </w:pPr>
            <w:r>
              <w:rPr>
                <w:rFonts w:hint="eastAsia" w:ascii="宋体" w:hAnsi="宋体" w:eastAsia="宋体" w:cs="宋体"/>
                <w:color w:val="auto"/>
                <w:szCs w:val="21"/>
              </w:rPr>
              <w:t>未签订突发环境事件应急互救/救援协议。</w:t>
            </w:r>
          </w:p>
        </w:tc>
        <w:tc>
          <w:tcPr>
            <w:tcW w:w="1473" w:type="dxa"/>
            <w:vMerge w:val="continue"/>
            <w:tcBorders>
              <w:tl2br w:val="nil"/>
              <w:tr2bl w:val="nil"/>
            </w:tcBorders>
            <w:vAlign w:val="center"/>
          </w:tcPr>
          <w:p>
            <w:pPr>
              <w:jc w:val="center"/>
              <w:rPr>
                <w:rFonts w:hint="eastAsia" w:ascii="宋体" w:hAnsi="宋体" w:eastAsia="宋体" w:cs="宋体"/>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03" w:type="dxa"/>
            <w:tcBorders>
              <w:tl2br w:val="nil"/>
              <w:tr2bl w:val="nil"/>
            </w:tcBorders>
            <w:vAlign w:val="center"/>
          </w:tcPr>
          <w:p>
            <w:p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环境风险防控与</w:t>
            </w:r>
          </w:p>
          <w:p>
            <w:p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应急措施</w:t>
            </w:r>
          </w:p>
        </w:tc>
        <w:tc>
          <w:tcPr>
            <w:tcW w:w="5595" w:type="dxa"/>
            <w:tcBorders>
              <w:tl2br w:val="nil"/>
              <w:tr2bl w:val="nil"/>
            </w:tcBorders>
            <w:vAlign w:val="center"/>
          </w:tcPr>
          <w:p>
            <w:pPr>
              <w:rPr>
                <w:rFonts w:hint="eastAsia" w:ascii="宋体" w:hAnsi="宋体" w:eastAsia="宋体" w:cs="宋体"/>
                <w:color w:val="auto"/>
                <w:szCs w:val="21"/>
              </w:rPr>
            </w:pPr>
            <w:r>
              <w:rPr>
                <w:rFonts w:hint="eastAsia" w:ascii="宋体" w:hAnsi="宋体" w:eastAsia="宋体" w:cs="宋体"/>
                <w:color w:val="auto"/>
                <w:szCs w:val="21"/>
              </w:rPr>
              <w:t>建立健全环境应急管理体系，进一步落实环境风险防控重点岗位责任人，落实环境风险设施定期巡检和维护责任制度。</w:t>
            </w:r>
          </w:p>
        </w:tc>
        <w:tc>
          <w:tcPr>
            <w:tcW w:w="1473" w:type="dxa"/>
            <w:tcBorders>
              <w:tl2br w:val="nil"/>
              <w:tr2bl w:val="nil"/>
            </w:tcBorders>
            <w:vAlign w:val="center"/>
          </w:tcPr>
          <w:p>
            <w:p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中期（3-6个月）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03" w:type="dxa"/>
            <w:vMerge w:val="restart"/>
            <w:tcBorders>
              <w:tl2br w:val="nil"/>
              <w:tr2bl w:val="nil"/>
            </w:tcBorders>
            <w:vAlign w:val="center"/>
          </w:tcPr>
          <w:p>
            <w:p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环境风险管理制度</w:t>
            </w:r>
          </w:p>
        </w:tc>
        <w:tc>
          <w:tcPr>
            <w:tcW w:w="5595" w:type="dxa"/>
            <w:tcBorders>
              <w:tl2br w:val="nil"/>
              <w:tr2bl w:val="nil"/>
            </w:tcBorders>
            <w:vAlign w:val="center"/>
          </w:tcPr>
          <w:p>
            <w:pPr>
              <w:rPr>
                <w:rFonts w:hint="eastAsia" w:ascii="宋体" w:hAnsi="宋体" w:eastAsia="宋体" w:cs="宋体"/>
                <w:color w:val="auto"/>
                <w:szCs w:val="21"/>
              </w:rPr>
            </w:pPr>
            <w:r>
              <w:rPr>
                <w:rFonts w:hint="eastAsia" w:ascii="宋体" w:hAnsi="宋体" w:eastAsia="宋体" w:cs="宋体"/>
                <w:color w:val="auto"/>
                <w:szCs w:val="21"/>
              </w:rPr>
              <w:t>定期开展环境风险和环境应急管理宣传和培训活动，定期进行突发环境事件应急演练并归档。</w:t>
            </w:r>
          </w:p>
        </w:tc>
        <w:tc>
          <w:tcPr>
            <w:tcW w:w="1473" w:type="dxa"/>
            <w:vMerge w:val="restart"/>
            <w:tcBorders>
              <w:tl2br w:val="nil"/>
              <w:tr2bl w:val="nil"/>
            </w:tcBorders>
            <w:vAlign w:val="center"/>
          </w:tcPr>
          <w:p>
            <w:p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长期(6个月以上)</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03" w:type="dxa"/>
            <w:vMerge w:val="continue"/>
            <w:tcBorders>
              <w:tl2br w:val="nil"/>
              <w:tr2bl w:val="nil"/>
            </w:tcBorders>
            <w:vAlign w:val="center"/>
          </w:tcPr>
          <w:p>
            <w:pPr>
              <w:jc w:val="center"/>
              <w:rPr>
                <w:rFonts w:hint="eastAsia" w:ascii="宋体" w:hAnsi="宋体" w:eastAsia="宋体" w:cs="宋体"/>
                <w:color w:val="auto"/>
                <w:szCs w:val="21"/>
              </w:rPr>
            </w:pPr>
          </w:p>
        </w:tc>
        <w:tc>
          <w:tcPr>
            <w:tcW w:w="5595" w:type="dxa"/>
            <w:tcBorders>
              <w:tl2br w:val="nil"/>
              <w:tr2bl w:val="nil"/>
            </w:tcBorders>
            <w:vAlign w:val="center"/>
          </w:tcPr>
          <w:p>
            <w:pPr>
              <w:rPr>
                <w:rFonts w:hint="eastAsia" w:ascii="宋体" w:hAnsi="宋体" w:eastAsia="宋体" w:cs="宋体"/>
                <w:color w:val="auto"/>
                <w:szCs w:val="21"/>
                <w:lang w:eastAsia="zh-CN"/>
              </w:rPr>
            </w:pPr>
            <w:r>
              <w:rPr>
                <w:rFonts w:hint="eastAsia" w:ascii="宋体" w:hAnsi="宋体" w:eastAsia="宋体" w:cs="宋体"/>
                <w:color w:val="auto"/>
                <w:szCs w:val="21"/>
              </w:rPr>
              <w:t>落实并完善隐患排查制度。</w:t>
            </w:r>
          </w:p>
        </w:tc>
        <w:tc>
          <w:tcPr>
            <w:tcW w:w="1473" w:type="dxa"/>
            <w:vMerge w:val="continue"/>
            <w:tcBorders>
              <w:tl2br w:val="nil"/>
              <w:tr2bl w:val="nil"/>
            </w:tcBorders>
            <w:vAlign w:val="center"/>
          </w:tcPr>
          <w:p>
            <w:pPr>
              <w:rPr>
                <w:rFonts w:hint="eastAsia" w:ascii="宋体" w:hAnsi="宋体" w:eastAsia="宋体" w:cs="宋体"/>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03" w:type="dxa"/>
            <w:vMerge w:val="continue"/>
            <w:tcBorders>
              <w:tl2br w:val="nil"/>
              <w:tr2bl w:val="nil"/>
            </w:tcBorders>
            <w:vAlign w:val="center"/>
          </w:tcPr>
          <w:p>
            <w:pPr>
              <w:jc w:val="center"/>
              <w:rPr>
                <w:rFonts w:hint="eastAsia" w:ascii="宋体" w:hAnsi="宋体" w:eastAsia="宋体" w:cs="宋体"/>
                <w:color w:val="auto"/>
                <w:szCs w:val="21"/>
              </w:rPr>
            </w:pPr>
          </w:p>
        </w:tc>
        <w:tc>
          <w:tcPr>
            <w:tcW w:w="5595" w:type="dxa"/>
            <w:tcBorders>
              <w:tl2br w:val="nil"/>
              <w:tr2bl w:val="nil"/>
            </w:tcBorders>
            <w:vAlign w:val="center"/>
          </w:tcPr>
          <w:p>
            <w:pPr>
              <w:rPr>
                <w:rFonts w:hint="eastAsia" w:ascii="宋体" w:hAnsi="宋体" w:eastAsia="宋体" w:cs="宋体"/>
                <w:color w:val="auto"/>
                <w:szCs w:val="21"/>
              </w:rPr>
            </w:pPr>
            <w:r>
              <w:rPr>
                <w:rFonts w:hint="eastAsia" w:ascii="宋体" w:hAnsi="宋体" w:eastAsia="宋体" w:cs="宋体"/>
                <w:color w:val="auto"/>
                <w:szCs w:val="21"/>
              </w:rPr>
              <w:t>定期开展安全动员大会和定期组织员工进行专题培训。</w:t>
            </w:r>
          </w:p>
        </w:tc>
        <w:tc>
          <w:tcPr>
            <w:tcW w:w="1473" w:type="dxa"/>
            <w:vMerge w:val="continue"/>
            <w:tcBorders>
              <w:tl2br w:val="nil"/>
              <w:tr2bl w:val="nil"/>
            </w:tcBorders>
            <w:vAlign w:val="center"/>
          </w:tcPr>
          <w:p>
            <w:pPr>
              <w:jc w:val="center"/>
              <w:rPr>
                <w:rFonts w:hint="eastAsia" w:ascii="宋体" w:hAnsi="宋体" w:eastAsia="宋体" w:cs="宋体"/>
                <w:color w:val="auto"/>
                <w:szCs w:val="21"/>
              </w:rPr>
            </w:pPr>
          </w:p>
        </w:tc>
      </w:tr>
    </w:tbl>
    <w:p>
      <w:pPr>
        <w:pStyle w:val="2"/>
        <w:rPr>
          <w:rFonts w:hint="eastAsia" w:ascii="宋体" w:hAnsi="宋体" w:eastAsia="宋体" w:cs="宋体"/>
          <w:color w:val="auto"/>
        </w:rPr>
      </w:pPr>
      <w:r>
        <w:rPr>
          <w:rFonts w:hint="eastAsia" w:ascii="宋体" w:hAnsi="宋体" w:eastAsia="宋体" w:cs="宋体"/>
          <w:color w:val="FF0000"/>
        </w:rPr>
        <w:br w:type="page"/>
      </w:r>
      <w:bookmarkStart w:id="184" w:name="_Toc25445"/>
      <w:bookmarkStart w:id="185" w:name="_Toc5754"/>
      <w:bookmarkStart w:id="186" w:name="_Toc30572"/>
      <w:r>
        <w:rPr>
          <w:rFonts w:hint="eastAsia" w:ascii="宋体" w:hAnsi="宋体" w:eastAsia="宋体" w:cs="宋体"/>
          <w:color w:val="auto"/>
        </w:rPr>
        <w:t xml:space="preserve">6 </w:t>
      </w:r>
      <w:r>
        <w:rPr>
          <w:rFonts w:hint="eastAsia" w:ascii="宋体" w:hAnsi="宋体" w:cs="宋体"/>
          <w:color w:val="auto"/>
          <w:lang w:eastAsia="zh-CN"/>
        </w:rPr>
        <w:t>、</w:t>
      </w:r>
      <w:r>
        <w:rPr>
          <w:rFonts w:hint="eastAsia" w:ascii="宋体" w:hAnsi="宋体" w:eastAsia="宋体" w:cs="宋体"/>
          <w:color w:val="auto"/>
        </w:rPr>
        <w:t>完善环境风险防控和应急措施的实施计划</w:t>
      </w:r>
      <w:bookmarkEnd w:id="184"/>
      <w:bookmarkEnd w:id="185"/>
      <w:bookmarkEnd w:id="186"/>
    </w:p>
    <w:p>
      <w:pPr>
        <w:autoSpaceDE w:val="0"/>
        <w:autoSpaceDN w:val="0"/>
        <w:adjustRightInd w:val="0"/>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根据以上对企业现有环境风险防控与应急措施的完备性、可靠性和有效性的分析论证，我们找出了其中的差距和问题，并提出了需要整改的项目内容以整改的期限，针对需要整改的项目内容，分别制定了完善环境风险防控措施和应急措施的实施计划，并将计划完成情况登记建档备查。</w:t>
      </w:r>
      <w:r>
        <w:rPr>
          <w:rFonts w:hint="eastAsia" w:ascii="宋体" w:hAnsi="宋体" w:eastAsia="宋体" w:cs="宋体"/>
          <w:color w:val="auto"/>
          <w:sz w:val="24"/>
        </w:rPr>
        <w:t>对照表5.5-1企业需要整改的短期、中期和长期项目内容，分别制定企业短期整改项目加强风险防控措施和应急管理的目标、责任人及完成时限。</w:t>
      </w:r>
      <w:r>
        <w:rPr>
          <w:rFonts w:hint="eastAsia" w:ascii="宋体" w:hAnsi="宋体" w:eastAsia="宋体" w:cs="宋体"/>
          <w:color w:val="auto"/>
          <w:kern w:val="0"/>
          <w:sz w:val="24"/>
        </w:rPr>
        <w:t>详细内容见表6.1-1。</w:t>
      </w:r>
    </w:p>
    <w:p>
      <w:pPr>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对于外部因素（环境风险受体的距离和防护等问题）致使企业不能排除或完善的情况，企业应及时向</w:t>
      </w:r>
      <w:r>
        <w:rPr>
          <w:rFonts w:hint="eastAsia" w:ascii="宋体" w:hAnsi="宋体" w:eastAsia="宋体" w:cs="宋体"/>
          <w:color w:val="auto"/>
          <w:kern w:val="0"/>
          <w:sz w:val="24"/>
          <w:lang w:eastAsia="zh-CN"/>
        </w:rPr>
        <w:t>环保局</w:t>
      </w:r>
      <w:r>
        <w:rPr>
          <w:rFonts w:hint="eastAsia" w:ascii="宋体" w:hAnsi="宋体" w:eastAsia="宋体" w:cs="宋体"/>
          <w:color w:val="auto"/>
          <w:kern w:val="0"/>
          <w:sz w:val="24"/>
        </w:rPr>
        <w:t>等有关部门报告，并配合采取措施消隐患。</w:t>
      </w:r>
    </w:p>
    <w:p>
      <w:pPr>
        <w:autoSpaceDE w:val="0"/>
        <w:autoSpaceDN w:val="0"/>
        <w:adjustRightInd w:val="0"/>
        <w:spacing w:line="360" w:lineRule="auto"/>
        <w:jc w:val="center"/>
        <w:rPr>
          <w:rFonts w:hint="eastAsia" w:ascii="宋体" w:hAnsi="宋体" w:eastAsia="宋体" w:cs="宋体"/>
          <w:b/>
          <w:bCs/>
          <w:color w:val="auto"/>
          <w:kern w:val="0"/>
          <w:szCs w:val="21"/>
        </w:rPr>
      </w:pPr>
      <w:r>
        <w:rPr>
          <w:rFonts w:hint="eastAsia" w:ascii="宋体" w:hAnsi="宋体" w:eastAsia="宋体" w:cs="宋体"/>
          <w:b/>
          <w:bCs/>
          <w:color w:val="auto"/>
          <w:kern w:val="0"/>
          <w:szCs w:val="21"/>
        </w:rPr>
        <w:t>表6.1-1 环境风险防控与应急措施整改目标及实施计划</w:t>
      </w:r>
    </w:p>
    <w:tbl>
      <w:tblPr>
        <w:tblStyle w:val="18"/>
        <w:tblW w:w="9071"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103"/>
        <w:gridCol w:w="2700"/>
        <w:gridCol w:w="2340"/>
        <w:gridCol w:w="1440"/>
        <w:gridCol w:w="148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03" w:type="dxa"/>
            <w:tcBorders>
              <w:tl2br w:val="nil"/>
              <w:tr2bl w:val="nil"/>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类型</w:t>
            </w:r>
          </w:p>
        </w:tc>
        <w:tc>
          <w:tcPr>
            <w:tcW w:w="2700" w:type="dxa"/>
            <w:tcBorders>
              <w:tl2br w:val="nil"/>
              <w:tr2bl w:val="nil"/>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存在问题</w:t>
            </w:r>
          </w:p>
        </w:tc>
        <w:tc>
          <w:tcPr>
            <w:tcW w:w="2340" w:type="dxa"/>
            <w:tcBorders>
              <w:tl2br w:val="nil"/>
              <w:tr2bl w:val="nil"/>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整改目标</w:t>
            </w:r>
          </w:p>
        </w:tc>
        <w:tc>
          <w:tcPr>
            <w:tcW w:w="1440" w:type="dxa"/>
            <w:tcBorders>
              <w:tl2br w:val="nil"/>
              <w:tr2bl w:val="nil"/>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完成时限</w:t>
            </w:r>
          </w:p>
        </w:tc>
        <w:tc>
          <w:tcPr>
            <w:tcW w:w="1488" w:type="dxa"/>
            <w:tcBorders>
              <w:tl2br w:val="nil"/>
              <w:tr2bl w:val="nil"/>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责任人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03" w:type="dxa"/>
            <w:vMerge w:val="restart"/>
            <w:tcBorders>
              <w:tl2br w:val="nil"/>
              <w:tr2bl w:val="nil"/>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环境应急资源</w:t>
            </w:r>
          </w:p>
        </w:tc>
        <w:tc>
          <w:tcPr>
            <w:tcW w:w="2700" w:type="dxa"/>
            <w:tcBorders>
              <w:tl2br w:val="nil"/>
              <w:tr2bl w:val="nil"/>
            </w:tcBorders>
            <w:vAlign w:val="center"/>
          </w:tcPr>
          <w:p>
            <w:pPr>
              <w:rPr>
                <w:rFonts w:hint="eastAsia" w:ascii="宋体" w:hAnsi="宋体" w:eastAsia="宋体" w:cs="宋体"/>
                <w:color w:val="auto"/>
                <w:szCs w:val="21"/>
              </w:rPr>
            </w:pPr>
            <w:r>
              <w:rPr>
                <w:rFonts w:hint="eastAsia" w:ascii="宋体" w:hAnsi="宋体" w:eastAsia="宋体" w:cs="宋体"/>
                <w:color w:val="auto"/>
                <w:szCs w:val="21"/>
              </w:rPr>
              <w:t>针对应急小组成员颁布相应的任命书，进一步落实岗位责任制，特别是应急指挥领导小组指挥及成员。</w:t>
            </w:r>
          </w:p>
        </w:tc>
        <w:tc>
          <w:tcPr>
            <w:tcW w:w="2340" w:type="dxa"/>
            <w:tcBorders>
              <w:tl2br w:val="nil"/>
              <w:tr2bl w:val="nil"/>
            </w:tcBorders>
            <w:vAlign w:val="center"/>
          </w:tcPr>
          <w:p>
            <w:pPr>
              <w:rPr>
                <w:rFonts w:hint="eastAsia" w:ascii="宋体" w:hAnsi="宋体" w:eastAsia="宋体" w:cs="宋体"/>
                <w:color w:val="auto"/>
                <w:szCs w:val="21"/>
              </w:rPr>
            </w:pPr>
            <w:r>
              <w:rPr>
                <w:rFonts w:hint="eastAsia" w:ascii="宋体" w:hAnsi="宋体" w:eastAsia="宋体" w:cs="宋体"/>
                <w:color w:val="auto"/>
                <w:szCs w:val="21"/>
              </w:rPr>
              <w:t>针对应急小组成员颁布相应的任命书，进一步落实岗位责任制，特别是应急指挥领导小组指挥及成员。</w:t>
            </w:r>
          </w:p>
        </w:tc>
        <w:tc>
          <w:tcPr>
            <w:tcW w:w="1440" w:type="dxa"/>
            <w:vMerge w:val="restart"/>
            <w:tcBorders>
              <w:tl2br w:val="nil"/>
              <w:tr2bl w:val="nil"/>
            </w:tcBorders>
            <w:vAlign w:val="center"/>
          </w:tcPr>
          <w:p>
            <w:p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短期</w:t>
            </w:r>
          </w:p>
          <w:p>
            <w:p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（3个月内）</w:t>
            </w:r>
          </w:p>
        </w:tc>
        <w:tc>
          <w:tcPr>
            <w:tcW w:w="1488" w:type="dxa"/>
            <w:vMerge w:val="restart"/>
            <w:tcBorders>
              <w:tl2br w:val="nil"/>
              <w:tr2bl w:val="nil"/>
            </w:tcBorders>
            <w:vAlign w:val="center"/>
          </w:tcPr>
          <w:p>
            <w:pPr>
              <w:jc w:val="center"/>
              <w:rPr>
                <w:rFonts w:hint="eastAsia" w:ascii="宋体" w:hAnsi="宋体" w:eastAsia="宋体" w:cs="宋体"/>
                <w:color w:val="FF0000"/>
                <w:szCs w:val="21"/>
              </w:rPr>
            </w:pPr>
            <w:r>
              <w:rPr>
                <w:rFonts w:hint="eastAsia" w:cs="宋体"/>
                <w:color w:val="auto"/>
                <w:szCs w:val="21"/>
                <w:lang w:eastAsia="zh-CN"/>
              </w:rPr>
              <w:t>周勇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03" w:type="dxa"/>
            <w:vMerge w:val="continue"/>
            <w:tcBorders>
              <w:tl2br w:val="nil"/>
              <w:tr2bl w:val="nil"/>
            </w:tcBorders>
            <w:vAlign w:val="center"/>
          </w:tcPr>
          <w:p>
            <w:pPr>
              <w:jc w:val="center"/>
              <w:rPr>
                <w:rFonts w:hint="eastAsia" w:ascii="宋体" w:hAnsi="宋体" w:eastAsia="宋体" w:cs="宋体"/>
                <w:color w:val="auto"/>
                <w:szCs w:val="21"/>
              </w:rPr>
            </w:pPr>
          </w:p>
        </w:tc>
        <w:tc>
          <w:tcPr>
            <w:tcW w:w="2700" w:type="dxa"/>
            <w:tcBorders>
              <w:tl2br w:val="nil"/>
              <w:tr2bl w:val="nil"/>
            </w:tcBorders>
            <w:vAlign w:val="center"/>
          </w:tcPr>
          <w:p>
            <w:pPr>
              <w:rPr>
                <w:rFonts w:hint="eastAsia" w:ascii="宋体" w:hAnsi="宋体" w:eastAsia="宋体" w:cs="宋体"/>
                <w:color w:val="auto"/>
                <w:szCs w:val="21"/>
              </w:rPr>
            </w:pPr>
            <w:r>
              <w:rPr>
                <w:rFonts w:hint="eastAsia" w:ascii="宋体" w:hAnsi="宋体" w:eastAsia="宋体" w:cs="宋体"/>
                <w:color w:val="auto"/>
                <w:szCs w:val="21"/>
                <w:lang w:eastAsia="zh-CN"/>
              </w:rPr>
              <w:t>应急物资储备不全</w:t>
            </w:r>
            <w:r>
              <w:rPr>
                <w:rFonts w:hint="eastAsia" w:ascii="宋体" w:hAnsi="宋体" w:eastAsia="宋体" w:cs="宋体"/>
                <w:color w:val="auto"/>
                <w:szCs w:val="21"/>
              </w:rPr>
              <w:t>。</w:t>
            </w:r>
          </w:p>
        </w:tc>
        <w:tc>
          <w:tcPr>
            <w:tcW w:w="2340" w:type="dxa"/>
            <w:tcBorders>
              <w:tl2br w:val="nil"/>
              <w:tr2bl w:val="nil"/>
            </w:tcBorders>
            <w:vAlign w:val="center"/>
          </w:tcPr>
          <w:p>
            <w:pPr>
              <w:rPr>
                <w:rFonts w:hint="eastAsia" w:ascii="宋体" w:hAnsi="宋体" w:eastAsia="宋体" w:cs="宋体"/>
                <w:color w:val="auto"/>
                <w:szCs w:val="21"/>
              </w:rPr>
            </w:pPr>
            <w:r>
              <w:rPr>
                <w:rFonts w:hint="eastAsia" w:ascii="宋体" w:hAnsi="宋体" w:eastAsia="宋体" w:cs="宋体"/>
                <w:color w:val="auto"/>
                <w:szCs w:val="21"/>
                <w:lang w:eastAsia="zh-CN"/>
              </w:rPr>
              <w:t>根据应急资源调查报告补充应急物资。</w:t>
            </w:r>
          </w:p>
        </w:tc>
        <w:tc>
          <w:tcPr>
            <w:tcW w:w="1440" w:type="dxa"/>
            <w:vMerge w:val="continue"/>
            <w:tcBorders>
              <w:tl2br w:val="nil"/>
              <w:tr2bl w:val="nil"/>
            </w:tcBorders>
            <w:vAlign w:val="center"/>
          </w:tcPr>
          <w:p>
            <w:pPr>
              <w:jc w:val="center"/>
              <w:rPr>
                <w:rFonts w:hint="eastAsia" w:ascii="宋体" w:hAnsi="宋体" w:eastAsia="宋体" w:cs="宋体"/>
                <w:color w:val="auto"/>
                <w:szCs w:val="21"/>
              </w:rPr>
            </w:pPr>
          </w:p>
        </w:tc>
        <w:tc>
          <w:tcPr>
            <w:tcW w:w="1488" w:type="dxa"/>
            <w:vMerge w:val="continue"/>
            <w:tcBorders>
              <w:tl2br w:val="nil"/>
              <w:tr2bl w:val="nil"/>
            </w:tcBorders>
            <w:vAlign w:val="center"/>
          </w:tcPr>
          <w:p>
            <w:pPr>
              <w:jc w:val="center"/>
              <w:rPr>
                <w:rFonts w:hint="eastAsia" w:ascii="宋体" w:hAnsi="宋体" w:eastAsia="宋体" w:cs="宋体"/>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03" w:type="dxa"/>
            <w:vMerge w:val="continue"/>
            <w:tcBorders>
              <w:tl2br w:val="nil"/>
              <w:tr2bl w:val="nil"/>
            </w:tcBorders>
            <w:vAlign w:val="center"/>
          </w:tcPr>
          <w:p>
            <w:pPr>
              <w:jc w:val="center"/>
              <w:rPr>
                <w:rFonts w:hint="eastAsia" w:ascii="宋体" w:hAnsi="宋体" w:eastAsia="宋体" w:cs="宋体"/>
                <w:color w:val="auto"/>
                <w:szCs w:val="21"/>
              </w:rPr>
            </w:pPr>
          </w:p>
        </w:tc>
        <w:tc>
          <w:tcPr>
            <w:tcW w:w="2700" w:type="dxa"/>
            <w:tcBorders>
              <w:tl2br w:val="nil"/>
              <w:tr2bl w:val="nil"/>
            </w:tcBorders>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自行监测能力不完善，未与资质监测单位签订常规及应急监测协议。</w:t>
            </w:r>
          </w:p>
        </w:tc>
        <w:tc>
          <w:tcPr>
            <w:tcW w:w="2340" w:type="dxa"/>
            <w:tcBorders>
              <w:tl2br w:val="nil"/>
              <w:tr2bl w:val="nil"/>
            </w:tcBorders>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完善自行监测能力，与资质监测单位签订常规及应急监测协议。</w:t>
            </w:r>
          </w:p>
        </w:tc>
        <w:tc>
          <w:tcPr>
            <w:tcW w:w="1440" w:type="dxa"/>
            <w:vMerge w:val="continue"/>
            <w:tcBorders>
              <w:tl2br w:val="nil"/>
              <w:tr2bl w:val="nil"/>
            </w:tcBorders>
            <w:vAlign w:val="center"/>
          </w:tcPr>
          <w:p>
            <w:pPr>
              <w:jc w:val="center"/>
              <w:rPr>
                <w:rFonts w:hint="eastAsia" w:ascii="宋体" w:hAnsi="宋体" w:eastAsia="宋体" w:cs="宋体"/>
                <w:color w:val="auto"/>
                <w:szCs w:val="21"/>
              </w:rPr>
            </w:pPr>
          </w:p>
        </w:tc>
        <w:tc>
          <w:tcPr>
            <w:tcW w:w="1488" w:type="dxa"/>
            <w:vMerge w:val="continue"/>
            <w:tcBorders>
              <w:tl2br w:val="nil"/>
              <w:tr2bl w:val="nil"/>
            </w:tcBorders>
            <w:vAlign w:val="center"/>
          </w:tcPr>
          <w:p>
            <w:pPr>
              <w:jc w:val="center"/>
              <w:rPr>
                <w:rFonts w:hint="eastAsia" w:ascii="宋体" w:hAnsi="宋体" w:eastAsia="宋体" w:cs="宋体"/>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03" w:type="dxa"/>
            <w:vMerge w:val="continue"/>
            <w:tcBorders>
              <w:tl2br w:val="nil"/>
              <w:tr2bl w:val="nil"/>
            </w:tcBorders>
            <w:vAlign w:val="center"/>
          </w:tcPr>
          <w:p>
            <w:pPr>
              <w:jc w:val="center"/>
              <w:rPr>
                <w:rFonts w:hint="eastAsia" w:ascii="宋体" w:hAnsi="宋体" w:eastAsia="宋体" w:cs="宋体"/>
                <w:color w:val="auto"/>
                <w:szCs w:val="21"/>
              </w:rPr>
            </w:pPr>
          </w:p>
        </w:tc>
        <w:tc>
          <w:tcPr>
            <w:tcW w:w="2700" w:type="dxa"/>
            <w:tcBorders>
              <w:tl2br w:val="nil"/>
              <w:tr2bl w:val="nil"/>
            </w:tcBorders>
            <w:vAlign w:val="center"/>
          </w:tcPr>
          <w:p>
            <w:pPr>
              <w:rPr>
                <w:rFonts w:hint="eastAsia" w:ascii="宋体" w:hAnsi="宋体" w:eastAsia="宋体" w:cs="宋体"/>
                <w:color w:val="FF0000"/>
                <w:szCs w:val="21"/>
              </w:rPr>
            </w:pPr>
            <w:r>
              <w:rPr>
                <w:rFonts w:hint="eastAsia" w:ascii="宋体" w:hAnsi="宋体" w:eastAsia="宋体" w:cs="宋体"/>
                <w:color w:val="auto"/>
                <w:szCs w:val="21"/>
                <w:lang w:eastAsia="zh-CN"/>
              </w:rPr>
              <w:t>厂界内未张贴应急疏散路线图。</w:t>
            </w:r>
          </w:p>
        </w:tc>
        <w:tc>
          <w:tcPr>
            <w:tcW w:w="2340" w:type="dxa"/>
            <w:tcBorders>
              <w:tl2br w:val="nil"/>
              <w:tr2bl w:val="nil"/>
            </w:tcBorders>
            <w:vAlign w:val="center"/>
          </w:tcPr>
          <w:p>
            <w:pPr>
              <w:rPr>
                <w:rFonts w:hint="eastAsia" w:ascii="宋体" w:hAnsi="宋体" w:eastAsia="宋体" w:cs="宋体"/>
                <w:color w:val="FF0000"/>
                <w:szCs w:val="21"/>
                <w:lang w:eastAsia="zh-CN"/>
              </w:rPr>
            </w:pPr>
            <w:r>
              <w:rPr>
                <w:rFonts w:hint="eastAsia" w:ascii="宋体" w:hAnsi="宋体" w:eastAsia="宋体" w:cs="宋体"/>
                <w:color w:val="auto"/>
                <w:szCs w:val="21"/>
                <w:lang w:eastAsia="zh-CN"/>
              </w:rPr>
              <w:t>张贴应急疏散路线图。</w:t>
            </w:r>
          </w:p>
        </w:tc>
        <w:tc>
          <w:tcPr>
            <w:tcW w:w="1440" w:type="dxa"/>
            <w:vMerge w:val="continue"/>
            <w:tcBorders>
              <w:tl2br w:val="nil"/>
              <w:tr2bl w:val="nil"/>
            </w:tcBorders>
            <w:vAlign w:val="center"/>
          </w:tcPr>
          <w:p>
            <w:pPr>
              <w:jc w:val="center"/>
              <w:rPr>
                <w:rFonts w:hint="eastAsia" w:ascii="宋体" w:hAnsi="宋体" w:eastAsia="宋体" w:cs="宋体"/>
                <w:color w:val="auto"/>
                <w:szCs w:val="21"/>
              </w:rPr>
            </w:pPr>
          </w:p>
        </w:tc>
        <w:tc>
          <w:tcPr>
            <w:tcW w:w="1488" w:type="dxa"/>
            <w:vMerge w:val="continue"/>
            <w:tcBorders>
              <w:tl2br w:val="nil"/>
              <w:tr2bl w:val="nil"/>
            </w:tcBorders>
            <w:vAlign w:val="center"/>
          </w:tcPr>
          <w:p>
            <w:pPr>
              <w:jc w:val="center"/>
              <w:rPr>
                <w:rFonts w:hint="eastAsia" w:ascii="宋体" w:hAnsi="宋体" w:eastAsia="宋体" w:cs="宋体"/>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03" w:type="dxa"/>
            <w:vMerge w:val="continue"/>
            <w:tcBorders>
              <w:tl2br w:val="nil"/>
              <w:tr2bl w:val="nil"/>
            </w:tcBorders>
            <w:vAlign w:val="center"/>
          </w:tcPr>
          <w:p>
            <w:pPr>
              <w:jc w:val="center"/>
              <w:rPr>
                <w:rFonts w:hint="eastAsia" w:ascii="宋体" w:hAnsi="宋体" w:eastAsia="宋体" w:cs="宋体"/>
                <w:color w:val="auto"/>
                <w:szCs w:val="21"/>
              </w:rPr>
            </w:pPr>
          </w:p>
        </w:tc>
        <w:tc>
          <w:tcPr>
            <w:tcW w:w="2700" w:type="dxa"/>
            <w:tcBorders>
              <w:tl2br w:val="nil"/>
              <w:tr2bl w:val="nil"/>
            </w:tcBorders>
            <w:vAlign w:val="center"/>
          </w:tcPr>
          <w:p>
            <w:pP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未签订突发环境事件应急互救/救援协议。</w:t>
            </w:r>
          </w:p>
        </w:tc>
        <w:tc>
          <w:tcPr>
            <w:tcW w:w="2340" w:type="dxa"/>
            <w:tcBorders>
              <w:tl2br w:val="nil"/>
              <w:tr2bl w:val="nil"/>
            </w:tcBorders>
            <w:vAlign w:val="center"/>
          </w:tcPr>
          <w:p>
            <w:pP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与周边单位</w:t>
            </w:r>
            <w:r>
              <w:rPr>
                <w:rFonts w:hint="eastAsia" w:ascii="宋体" w:hAnsi="宋体" w:eastAsia="宋体" w:cs="宋体"/>
                <w:color w:val="000000" w:themeColor="text1"/>
                <w:szCs w:val="21"/>
                <w14:textFill>
                  <w14:solidFill>
                    <w14:schemeClr w14:val="tx1"/>
                  </w14:solidFill>
                </w14:textFill>
              </w:rPr>
              <w:t>签订突发环境事件应急互救/救援协议。</w:t>
            </w:r>
          </w:p>
        </w:tc>
        <w:tc>
          <w:tcPr>
            <w:tcW w:w="1440" w:type="dxa"/>
            <w:vMerge w:val="continue"/>
            <w:tcBorders>
              <w:tl2br w:val="nil"/>
              <w:tr2bl w:val="nil"/>
            </w:tcBorders>
            <w:vAlign w:val="center"/>
          </w:tcPr>
          <w:p>
            <w:pPr>
              <w:jc w:val="center"/>
              <w:rPr>
                <w:rFonts w:hint="eastAsia" w:ascii="宋体" w:hAnsi="宋体" w:eastAsia="宋体" w:cs="宋体"/>
                <w:color w:val="auto"/>
                <w:szCs w:val="21"/>
              </w:rPr>
            </w:pPr>
          </w:p>
        </w:tc>
        <w:tc>
          <w:tcPr>
            <w:tcW w:w="1488" w:type="dxa"/>
            <w:vMerge w:val="continue"/>
            <w:tcBorders>
              <w:tl2br w:val="nil"/>
              <w:tr2bl w:val="nil"/>
            </w:tcBorders>
            <w:vAlign w:val="center"/>
          </w:tcPr>
          <w:p>
            <w:pPr>
              <w:jc w:val="center"/>
              <w:rPr>
                <w:rFonts w:hint="eastAsia" w:ascii="宋体" w:hAnsi="宋体" w:eastAsia="宋体" w:cs="宋体"/>
                <w:color w:val="FF000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03" w:type="dxa"/>
            <w:tcBorders>
              <w:tl2br w:val="nil"/>
              <w:tr2bl w:val="nil"/>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环境风险防控与应急措施</w:t>
            </w:r>
          </w:p>
        </w:tc>
        <w:tc>
          <w:tcPr>
            <w:tcW w:w="2700" w:type="dxa"/>
            <w:tcBorders>
              <w:tl2br w:val="nil"/>
              <w:tr2bl w:val="nil"/>
            </w:tcBorders>
            <w:vAlign w:val="center"/>
          </w:tcPr>
          <w:p>
            <w:pPr>
              <w:rPr>
                <w:rFonts w:hint="eastAsia" w:ascii="宋体" w:hAnsi="宋体" w:eastAsia="宋体" w:cs="宋体"/>
                <w:color w:val="auto"/>
                <w:szCs w:val="21"/>
              </w:rPr>
            </w:pPr>
            <w:r>
              <w:rPr>
                <w:rFonts w:hint="eastAsia" w:ascii="宋体" w:hAnsi="宋体" w:eastAsia="宋体" w:cs="宋体"/>
                <w:color w:val="auto"/>
                <w:szCs w:val="21"/>
              </w:rPr>
              <w:t>建立健全环境应急管理体系，进一步落实环境风险防控重点岗位责任人，落实环境风险设施定期巡检和维护责任制度。</w:t>
            </w:r>
          </w:p>
        </w:tc>
        <w:tc>
          <w:tcPr>
            <w:tcW w:w="2340" w:type="dxa"/>
            <w:tcBorders>
              <w:tl2br w:val="nil"/>
              <w:tr2bl w:val="nil"/>
            </w:tcBorders>
            <w:vAlign w:val="center"/>
          </w:tcPr>
          <w:p>
            <w:pPr>
              <w:rPr>
                <w:rFonts w:hint="eastAsia" w:ascii="宋体" w:hAnsi="宋体" w:eastAsia="宋体" w:cs="宋体"/>
                <w:color w:val="auto"/>
                <w:szCs w:val="21"/>
              </w:rPr>
            </w:pPr>
            <w:r>
              <w:rPr>
                <w:rFonts w:hint="eastAsia" w:ascii="宋体" w:hAnsi="宋体" w:eastAsia="宋体" w:cs="宋体"/>
                <w:color w:val="auto"/>
                <w:szCs w:val="21"/>
              </w:rPr>
              <w:t>建立健全环境应急管理体系，进一步落实环境风险防控重点岗位责任人，落实环境风险设施定期巡检和维护责任制度。</w:t>
            </w:r>
          </w:p>
        </w:tc>
        <w:tc>
          <w:tcPr>
            <w:tcW w:w="1440" w:type="dxa"/>
            <w:tcBorders>
              <w:tl2br w:val="nil"/>
              <w:tr2bl w:val="nil"/>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中期</w:t>
            </w:r>
          </w:p>
          <w:p>
            <w:pPr>
              <w:jc w:val="center"/>
              <w:rPr>
                <w:rFonts w:hint="eastAsia" w:ascii="宋体" w:hAnsi="宋体" w:eastAsia="宋体" w:cs="宋体"/>
                <w:color w:val="auto"/>
                <w:szCs w:val="21"/>
              </w:rPr>
            </w:pPr>
            <w:r>
              <w:rPr>
                <w:rFonts w:hint="eastAsia" w:ascii="宋体" w:hAnsi="宋体" w:eastAsia="宋体" w:cs="宋体"/>
                <w:color w:val="auto"/>
                <w:szCs w:val="21"/>
              </w:rPr>
              <w:t>（3-6个月）</w:t>
            </w:r>
          </w:p>
        </w:tc>
        <w:tc>
          <w:tcPr>
            <w:tcW w:w="1488" w:type="dxa"/>
            <w:tcBorders>
              <w:tl2br w:val="nil"/>
              <w:tr2bl w:val="nil"/>
            </w:tcBorders>
            <w:vAlign w:val="center"/>
          </w:tcPr>
          <w:p>
            <w:pPr>
              <w:jc w:val="center"/>
              <w:rPr>
                <w:rFonts w:hint="eastAsia" w:ascii="宋体" w:hAnsi="宋体" w:eastAsia="宋体" w:cs="宋体"/>
                <w:color w:val="auto"/>
                <w:szCs w:val="21"/>
              </w:rPr>
            </w:pPr>
            <w:r>
              <w:rPr>
                <w:rFonts w:hint="eastAsia" w:cs="宋体"/>
                <w:color w:val="auto"/>
                <w:szCs w:val="21"/>
                <w:lang w:eastAsia="zh-CN"/>
              </w:rPr>
              <w:t>周勇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03" w:type="dxa"/>
            <w:vMerge w:val="restart"/>
            <w:tcBorders>
              <w:tl2br w:val="nil"/>
              <w:tr2bl w:val="nil"/>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环境风险管理制度</w:t>
            </w:r>
          </w:p>
        </w:tc>
        <w:tc>
          <w:tcPr>
            <w:tcW w:w="2700" w:type="dxa"/>
            <w:tcBorders>
              <w:tl2br w:val="nil"/>
              <w:tr2bl w:val="nil"/>
            </w:tcBorders>
            <w:vAlign w:val="center"/>
          </w:tcPr>
          <w:p>
            <w:pPr>
              <w:rPr>
                <w:rFonts w:hint="eastAsia" w:ascii="宋体" w:hAnsi="宋体" w:eastAsia="宋体" w:cs="宋体"/>
                <w:color w:val="auto"/>
                <w:szCs w:val="21"/>
              </w:rPr>
            </w:pPr>
            <w:r>
              <w:rPr>
                <w:rFonts w:hint="eastAsia" w:ascii="宋体" w:hAnsi="宋体" w:eastAsia="宋体" w:cs="宋体"/>
                <w:color w:val="auto"/>
                <w:szCs w:val="21"/>
              </w:rPr>
              <w:t>定期开展环境风险和环境应急管理宣传和培训活动，定期进行突发环境事件应急演练并归档。</w:t>
            </w:r>
          </w:p>
        </w:tc>
        <w:tc>
          <w:tcPr>
            <w:tcW w:w="2340" w:type="dxa"/>
            <w:tcBorders>
              <w:tl2br w:val="nil"/>
              <w:tr2bl w:val="nil"/>
            </w:tcBorders>
            <w:vAlign w:val="center"/>
          </w:tcPr>
          <w:p>
            <w:pPr>
              <w:rPr>
                <w:rFonts w:hint="eastAsia" w:ascii="宋体" w:hAnsi="宋体" w:eastAsia="宋体" w:cs="宋体"/>
                <w:color w:val="auto"/>
                <w:szCs w:val="21"/>
              </w:rPr>
            </w:pPr>
            <w:r>
              <w:rPr>
                <w:rFonts w:hint="eastAsia" w:ascii="宋体" w:hAnsi="宋体" w:eastAsia="宋体" w:cs="宋体"/>
                <w:color w:val="auto"/>
                <w:szCs w:val="21"/>
              </w:rPr>
              <w:t>定期开展环境风险和环境应急管理宣传和培训活动，定期进行突发环境事件应急演练并归档。</w:t>
            </w:r>
          </w:p>
        </w:tc>
        <w:tc>
          <w:tcPr>
            <w:tcW w:w="1440" w:type="dxa"/>
            <w:vMerge w:val="restart"/>
            <w:tcBorders>
              <w:tl2br w:val="nil"/>
              <w:tr2bl w:val="nil"/>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定期、长期</w:t>
            </w:r>
          </w:p>
          <w:p>
            <w:pPr>
              <w:jc w:val="center"/>
              <w:rPr>
                <w:rFonts w:hint="eastAsia" w:ascii="宋体" w:hAnsi="宋体" w:eastAsia="宋体" w:cs="宋体"/>
                <w:color w:val="auto"/>
                <w:szCs w:val="21"/>
              </w:rPr>
            </w:pPr>
            <w:r>
              <w:rPr>
                <w:rFonts w:hint="eastAsia" w:ascii="宋体" w:hAnsi="宋体" w:eastAsia="宋体" w:cs="宋体"/>
                <w:color w:val="auto"/>
                <w:szCs w:val="21"/>
              </w:rPr>
              <w:t>(6个月以上)</w:t>
            </w:r>
          </w:p>
        </w:tc>
        <w:tc>
          <w:tcPr>
            <w:tcW w:w="1488" w:type="dxa"/>
            <w:vMerge w:val="restart"/>
            <w:tcBorders>
              <w:tl2br w:val="nil"/>
              <w:tr2bl w:val="nil"/>
            </w:tcBorders>
            <w:vAlign w:val="center"/>
          </w:tcPr>
          <w:p>
            <w:pPr>
              <w:jc w:val="center"/>
              <w:rPr>
                <w:rFonts w:hint="eastAsia" w:ascii="宋体" w:hAnsi="宋体" w:eastAsia="宋体" w:cs="宋体"/>
                <w:color w:val="FF0000"/>
                <w:kern w:val="0"/>
                <w:szCs w:val="21"/>
              </w:rPr>
            </w:pPr>
            <w:r>
              <w:rPr>
                <w:rFonts w:hint="eastAsia" w:cs="宋体"/>
                <w:color w:val="auto"/>
                <w:szCs w:val="21"/>
                <w:lang w:eastAsia="zh-CN"/>
              </w:rPr>
              <w:t>周勇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03" w:type="dxa"/>
            <w:vMerge w:val="continue"/>
            <w:tcBorders>
              <w:tl2br w:val="nil"/>
              <w:tr2bl w:val="nil"/>
            </w:tcBorders>
            <w:vAlign w:val="center"/>
          </w:tcPr>
          <w:p>
            <w:pPr>
              <w:jc w:val="center"/>
              <w:rPr>
                <w:rFonts w:hint="eastAsia" w:ascii="宋体" w:hAnsi="宋体" w:eastAsia="宋体" w:cs="宋体"/>
                <w:color w:val="auto"/>
                <w:szCs w:val="21"/>
              </w:rPr>
            </w:pPr>
          </w:p>
        </w:tc>
        <w:tc>
          <w:tcPr>
            <w:tcW w:w="2700" w:type="dxa"/>
            <w:tcBorders>
              <w:tl2br w:val="nil"/>
              <w:tr2bl w:val="nil"/>
            </w:tcBorders>
            <w:vAlign w:val="center"/>
          </w:tcPr>
          <w:p>
            <w:pPr>
              <w:rPr>
                <w:rFonts w:hint="eastAsia" w:ascii="宋体" w:hAnsi="宋体" w:eastAsia="宋体" w:cs="宋体"/>
                <w:color w:val="auto"/>
                <w:szCs w:val="21"/>
              </w:rPr>
            </w:pPr>
            <w:r>
              <w:rPr>
                <w:rFonts w:hint="eastAsia" w:ascii="宋体" w:hAnsi="宋体" w:eastAsia="宋体" w:cs="宋体"/>
                <w:color w:val="auto"/>
                <w:szCs w:val="21"/>
              </w:rPr>
              <w:t>落实并完善</w:t>
            </w:r>
            <w:r>
              <w:rPr>
                <w:rFonts w:hint="eastAsia" w:ascii="宋体" w:hAnsi="宋体" w:eastAsia="宋体" w:cs="宋体"/>
                <w:color w:val="auto"/>
                <w:szCs w:val="21"/>
                <w:lang w:eastAsia="zh-CN"/>
              </w:rPr>
              <w:t>环境安全</w:t>
            </w:r>
            <w:r>
              <w:rPr>
                <w:rFonts w:hint="eastAsia" w:ascii="宋体" w:hAnsi="宋体" w:eastAsia="宋体" w:cs="宋体"/>
                <w:color w:val="auto"/>
                <w:szCs w:val="21"/>
              </w:rPr>
              <w:t>隐患排查制度。</w:t>
            </w:r>
          </w:p>
        </w:tc>
        <w:tc>
          <w:tcPr>
            <w:tcW w:w="2340" w:type="dxa"/>
            <w:tcBorders>
              <w:tl2br w:val="nil"/>
              <w:tr2bl w:val="nil"/>
            </w:tcBorders>
            <w:vAlign w:val="center"/>
          </w:tcPr>
          <w:p>
            <w:pPr>
              <w:rPr>
                <w:rFonts w:hint="eastAsia" w:ascii="宋体" w:hAnsi="宋体" w:eastAsia="宋体" w:cs="宋体"/>
                <w:color w:val="auto"/>
                <w:szCs w:val="21"/>
              </w:rPr>
            </w:pPr>
            <w:r>
              <w:rPr>
                <w:rFonts w:hint="eastAsia" w:ascii="宋体" w:hAnsi="宋体" w:eastAsia="宋体" w:cs="宋体"/>
                <w:color w:val="auto"/>
                <w:szCs w:val="21"/>
              </w:rPr>
              <w:t>落实并完善</w:t>
            </w:r>
            <w:r>
              <w:rPr>
                <w:rFonts w:hint="eastAsia" w:ascii="宋体" w:hAnsi="宋体" w:eastAsia="宋体" w:cs="宋体"/>
                <w:color w:val="auto"/>
                <w:szCs w:val="21"/>
                <w:lang w:eastAsia="zh-CN"/>
              </w:rPr>
              <w:t>环境安全</w:t>
            </w:r>
            <w:r>
              <w:rPr>
                <w:rFonts w:hint="eastAsia" w:ascii="宋体" w:hAnsi="宋体" w:eastAsia="宋体" w:cs="宋体"/>
                <w:color w:val="auto"/>
                <w:szCs w:val="21"/>
              </w:rPr>
              <w:t>隐患排查制度。</w:t>
            </w:r>
          </w:p>
        </w:tc>
        <w:tc>
          <w:tcPr>
            <w:tcW w:w="1440" w:type="dxa"/>
            <w:vMerge w:val="continue"/>
            <w:tcBorders>
              <w:tl2br w:val="nil"/>
              <w:tr2bl w:val="nil"/>
            </w:tcBorders>
            <w:vAlign w:val="center"/>
          </w:tcPr>
          <w:p>
            <w:pPr>
              <w:jc w:val="center"/>
              <w:rPr>
                <w:rFonts w:hint="eastAsia" w:ascii="宋体" w:hAnsi="宋体" w:eastAsia="宋体" w:cs="宋体"/>
                <w:color w:val="auto"/>
                <w:szCs w:val="21"/>
              </w:rPr>
            </w:pPr>
          </w:p>
        </w:tc>
        <w:tc>
          <w:tcPr>
            <w:tcW w:w="1488" w:type="dxa"/>
            <w:vMerge w:val="continue"/>
            <w:tcBorders>
              <w:tl2br w:val="nil"/>
              <w:tr2bl w:val="nil"/>
            </w:tcBorders>
            <w:vAlign w:val="center"/>
          </w:tcPr>
          <w:p>
            <w:pPr>
              <w:jc w:val="center"/>
              <w:rPr>
                <w:rFonts w:hint="eastAsia" w:ascii="宋体" w:hAnsi="宋体" w:eastAsia="宋体" w:cs="宋体"/>
                <w:color w:val="auto"/>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03" w:type="dxa"/>
            <w:vMerge w:val="continue"/>
            <w:tcBorders>
              <w:tl2br w:val="nil"/>
              <w:tr2bl w:val="nil"/>
            </w:tcBorders>
            <w:vAlign w:val="center"/>
          </w:tcPr>
          <w:p>
            <w:pPr>
              <w:jc w:val="center"/>
              <w:rPr>
                <w:rFonts w:hint="eastAsia" w:ascii="宋体" w:hAnsi="宋体" w:eastAsia="宋体" w:cs="宋体"/>
                <w:color w:val="auto"/>
                <w:szCs w:val="21"/>
              </w:rPr>
            </w:pPr>
          </w:p>
        </w:tc>
        <w:tc>
          <w:tcPr>
            <w:tcW w:w="2700" w:type="dxa"/>
            <w:tcBorders>
              <w:tl2br w:val="nil"/>
              <w:tr2bl w:val="nil"/>
            </w:tcBorders>
            <w:vAlign w:val="center"/>
          </w:tcPr>
          <w:p>
            <w:pPr>
              <w:rPr>
                <w:rFonts w:hint="eastAsia" w:ascii="宋体" w:hAnsi="宋体" w:eastAsia="宋体" w:cs="宋体"/>
                <w:color w:val="auto"/>
                <w:szCs w:val="21"/>
              </w:rPr>
            </w:pPr>
            <w:r>
              <w:rPr>
                <w:rFonts w:hint="eastAsia" w:ascii="宋体" w:hAnsi="宋体" w:eastAsia="宋体" w:cs="宋体"/>
                <w:color w:val="auto"/>
                <w:szCs w:val="21"/>
              </w:rPr>
              <w:t>定期开展</w:t>
            </w:r>
            <w:r>
              <w:rPr>
                <w:rFonts w:hint="eastAsia" w:ascii="宋体" w:hAnsi="宋体" w:eastAsia="宋体" w:cs="宋体"/>
                <w:color w:val="auto"/>
                <w:szCs w:val="21"/>
                <w:lang w:eastAsia="zh-CN"/>
              </w:rPr>
              <w:t>环境</w:t>
            </w:r>
            <w:r>
              <w:rPr>
                <w:rFonts w:hint="eastAsia" w:ascii="宋体" w:hAnsi="宋体" w:eastAsia="宋体" w:cs="宋体"/>
                <w:color w:val="auto"/>
                <w:szCs w:val="21"/>
              </w:rPr>
              <w:t>安全动员大会和定期组织员工进行专题培训。</w:t>
            </w:r>
          </w:p>
        </w:tc>
        <w:tc>
          <w:tcPr>
            <w:tcW w:w="2340" w:type="dxa"/>
            <w:tcBorders>
              <w:tl2br w:val="nil"/>
              <w:tr2bl w:val="nil"/>
            </w:tcBorders>
            <w:vAlign w:val="center"/>
          </w:tcPr>
          <w:p>
            <w:pPr>
              <w:rPr>
                <w:rFonts w:hint="eastAsia" w:ascii="宋体" w:hAnsi="宋体" w:eastAsia="宋体" w:cs="宋体"/>
                <w:color w:val="auto"/>
                <w:szCs w:val="21"/>
              </w:rPr>
            </w:pPr>
            <w:r>
              <w:rPr>
                <w:rFonts w:hint="eastAsia" w:ascii="宋体" w:hAnsi="宋体" w:eastAsia="宋体" w:cs="宋体"/>
                <w:color w:val="auto"/>
                <w:szCs w:val="21"/>
              </w:rPr>
              <w:t>定期开展</w:t>
            </w:r>
            <w:r>
              <w:rPr>
                <w:rFonts w:hint="eastAsia" w:ascii="宋体" w:hAnsi="宋体" w:eastAsia="宋体" w:cs="宋体"/>
                <w:color w:val="auto"/>
                <w:szCs w:val="21"/>
                <w:lang w:eastAsia="zh-CN"/>
              </w:rPr>
              <w:t>环境安全</w:t>
            </w:r>
            <w:r>
              <w:rPr>
                <w:rFonts w:hint="eastAsia" w:ascii="宋体" w:hAnsi="宋体" w:eastAsia="宋体" w:cs="宋体"/>
                <w:color w:val="auto"/>
                <w:szCs w:val="21"/>
              </w:rPr>
              <w:t>动员大会和定期组织员工进行专题培训。</w:t>
            </w:r>
          </w:p>
        </w:tc>
        <w:tc>
          <w:tcPr>
            <w:tcW w:w="1440" w:type="dxa"/>
            <w:vMerge w:val="continue"/>
            <w:tcBorders>
              <w:tl2br w:val="nil"/>
              <w:tr2bl w:val="nil"/>
            </w:tcBorders>
            <w:vAlign w:val="center"/>
          </w:tcPr>
          <w:p>
            <w:pPr>
              <w:jc w:val="center"/>
              <w:rPr>
                <w:rFonts w:hint="eastAsia" w:ascii="宋体" w:hAnsi="宋体" w:eastAsia="宋体" w:cs="宋体"/>
                <w:color w:val="auto"/>
                <w:szCs w:val="21"/>
              </w:rPr>
            </w:pPr>
          </w:p>
        </w:tc>
        <w:tc>
          <w:tcPr>
            <w:tcW w:w="1488" w:type="dxa"/>
            <w:vMerge w:val="continue"/>
            <w:tcBorders>
              <w:tl2br w:val="nil"/>
              <w:tr2bl w:val="nil"/>
            </w:tcBorders>
            <w:vAlign w:val="center"/>
          </w:tcPr>
          <w:p>
            <w:pPr>
              <w:jc w:val="center"/>
              <w:rPr>
                <w:rFonts w:hint="eastAsia" w:ascii="宋体" w:hAnsi="宋体" w:eastAsia="宋体" w:cs="宋体"/>
                <w:color w:val="auto"/>
                <w:szCs w:val="21"/>
              </w:rPr>
            </w:pPr>
          </w:p>
        </w:tc>
      </w:tr>
    </w:tbl>
    <w:p>
      <w:pPr>
        <w:rPr>
          <w:rFonts w:hint="eastAsia" w:ascii="宋体" w:hAnsi="宋体" w:eastAsia="宋体" w:cs="宋体"/>
          <w:lang w:eastAsia="zh-CN"/>
        </w:rPr>
      </w:pPr>
    </w:p>
    <w:p>
      <w:pPr>
        <w:rPr>
          <w:rFonts w:hint="eastAsia" w:ascii="宋体" w:hAnsi="宋体" w:eastAsia="宋体" w:cs="宋体"/>
          <w:lang w:eastAsia="zh-CN"/>
        </w:rPr>
      </w:pPr>
    </w:p>
    <w:p>
      <w:pPr>
        <w:rPr>
          <w:rFonts w:hint="eastAsia" w:ascii="宋体" w:hAnsi="宋体" w:eastAsia="宋体" w:cs="宋体"/>
          <w:lang w:eastAsia="zh-CN"/>
        </w:rPr>
      </w:pPr>
    </w:p>
    <w:p>
      <w:pPr>
        <w:rPr>
          <w:rFonts w:hint="eastAsia" w:ascii="宋体" w:hAnsi="宋体" w:eastAsia="宋体" w:cs="宋体"/>
          <w:lang w:eastAsia="zh-CN"/>
        </w:rPr>
      </w:pPr>
    </w:p>
    <w:p>
      <w:pPr>
        <w:rPr>
          <w:rFonts w:hint="eastAsia" w:ascii="宋体" w:hAnsi="宋体" w:eastAsia="宋体" w:cs="宋体"/>
          <w:lang w:eastAsia="zh-CN"/>
        </w:rPr>
      </w:pPr>
    </w:p>
    <w:p>
      <w:pPr>
        <w:rPr>
          <w:rFonts w:hint="eastAsia" w:ascii="宋体" w:hAnsi="宋体" w:eastAsia="宋体" w:cs="宋体"/>
          <w:lang w:eastAsia="zh-CN"/>
        </w:rPr>
      </w:pPr>
    </w:p>
    <w:p>
      <w:pPr>
        <w:rPr>
          <w:rFonts w:hint="eastAsia" w:ascii="宋体" w:hAnsi="宋体" w:eastAsia="宋体" w:cs="宋体"/>
          <w:lang w:eastAsia="zh-CN"/>
        </w:rPr>
      </w:pPr>
    </w:p>
    <w:p>
      <w:pPr>
        <w:rPr>
          <w:rFonts w:hint="eastAsia" w:ascii="宋体" w:hAnsi="宋体" w:eastAsia="宋体" w:cs="宋体"/>
          <w:lang w:eastAsia="zh-CN"/>
        </w:rPr>
      </w:pPr>
    </w:p>
    <w:p>
      <w:pPr>
        <w:rPr>
          <w:rFonts w:hint="eastAsia" w:ascii="宋体" w:hAnsi="宋体" w:eastAsia="宋体" w:cs="宋体"/>
          <w:lang w:eastAsia="zh-CN"/>
        </w:rPr>
      </w:pPr>
    </w:p>
    <w:p>
      <w:pPr>
        <w:rPr>
          <w:rFonts w:hint="eastAsia" w:ascii="宋体" w:hAnsi="宋体" w:eastAsia="宋体" w:cs="宋体"/>
          <w:lang w:eastAsia="zh-CN"/>
        </w:rPr>
      </w:pPr>
    </w:p>
    <w:p>
      <w:pPr>
        <w:pStyle w:val="2"/>
        <w:ind w:left="0" w:leftChars="0" w:firstLine="0" w:firstLineChars="0"/>
        <w:rPr>
          <w:rFonts w:hint="eastAsia"/>
        </w:rPr>
      </w:pPr>
      <w:bookmarkStart w:id="187" w:name="_Toc16429"/>
      <w:r>
        <w:rPr>
          <w:rFonts w:hint="eastAsia"/>
          <w:lang w:val="en-US" w:eastAsia="zh-CN"/>
        </w:rPr>
        <w:t>7、</w:t>
      </w:r>
      <w:r>
        <w:rPr>
          <w:rFonts w:hint="eastAsia"/>
        </w:rPr>
        <w:t>企业突发环境事件风险等级</w:t>
      </w:r>
      <w:bookmarkEnd w:id="187"/>
    </w:p>
    <w:p>
      <w:pPr>
        <w:pStyle w:val="3"/>
        <w:ind w:left="0" w:leftChars="0" w:firstLine="602" w:firstLineChars="200"/>
        <w:rPr>
          <w:rFonts w:hint="eastAsia" w:eastAsia="宋体"/>
          <w:lang w:eastAsia="zh-CN"/>
        </w:rPr>
      </w:pPr>
      <w:bookmarkStart w:id="188" w:name="_Toc271"/>
      <w:r>
        <w:rPr>
          <w:rFonts w:hint="eastAsia"/>
          <w:lang w:val="en-US" w:eastAsia="zh-CN"/>
        </w:rPr>
        <w:t>7.1</w:t>
      </w:r>
      <w:r>
        <w:rPr>
          <w:rFonts w:hint="eastAsia"/>
          <w:lang w:eastAsia="zh-CN"/>
        </w:rPr>
        <w:t>分级程序</w:t>
      </w:r>
      <w:bookmarkEnd w:id="188"/>
    </w:p>
    <w:p>
      <w:pPr>
        <w:rPr>
          <w:rFonts w:hint="eastAsia"/>
        </w:rPr>
      </w:pPr>
      <w:r>
        <w:rPr>
          <w:rFonts w:hint="eastAsia"/>
        </w:rPr>
        <w:t>根据企业生产、使用、存储和释放的突发环境事件风险物质数量与其临界量的比值（Q），</w:t>
      </w:r>
    </w:p>
    <w:p>
      <w:pPr>
        <w:ind w:left="0" w:leftChars="0" w:firstLine="0" w:firstLineChars="0"/>
        <w:rPr>
          <w:rFonts w:hint="eastAsia"/>
        </w:rPr>
      </w:pPr>
      <w:r>
        <w:rPr>
          <w:rFonts w:hint="eastAsia"/>
        </w:rPr>
        <w:t>评估生产工艺过程与环境风险控制水平（M）以及环境风险受体敏感程度（E）的评估分析</w:t>
      </w:r>
    </w:p>
    <w:p>
      <w:pPr>
        <w:rPr>
          <w:rFonts w:hint="eastAsia"/>
        </w:rPr>
      </w:pPr>
      <w:r>
        <w:rPr>
          <w:rFonts w:hint="eastAsia"/>
        </w:rPr>
        <w:t>结果，分别评估企业突发大气环境事件风险和突发水环境事件风险，将企业突发大气或水环境事件风险等级划分为一般环境风险、较大环境风险和重大环境风险三级，分别用蓝色、黄色和红色标识。同时涉及突发大气和水环境事件风险的企业，以等级高者确定企业突发环境事件风险等级。企业下设位置毗邻的多个独立厂区，可按厂区分别评估风险等级，以等级高者确定企业突发环境事件风险等级并进行表征，也可分别表征为企业（某厂区）突发环境事件风险等级。企业下设位置距离较远的多个独立厂区，分别评估确定各厂区风险等级，表征为企业（某厂区）突发环境事件风险等级。企业突发环境事件风险分级程序见图</w:t>
      </w:r>
      <w:r>
        <w:rPr>
          <w:rFonts w:hint="eastAsia"/>
          <w:lang w:val="en-US" w:eastAsia="zh-CN"/>
        </w:rPr>
        <w:t>7-</w:t>
      </w:r>
      <w:r>
        <w:rPr>
          <w:rFonts w:hint="eastAsia"/>
        </w:rPr>
        <w:t>1。</w:t>
      </w:r>
    </w:p>
    <w:p>
      <w:pPr>
        <w:rPr>
          <w:rFonts w:hint="eastAsia" w:eastAsia="宋体"/>
          <w:lang w:val="en-US" w:eastAsia="zh-CN"/>
        </w:rPr>
      </w:pPr>
      <w:r>
        <w:rPr>
          <w:rFonts w:hint="eastAsia"/>
          <w:lang w:eastAsia="zh-CN"/>
        </w:rPr>
        <w:t>图</w:t>
      </w:r>
      <w:r>
        <w:rPr>
          <w:rFonts w:hint="eastAsia"/>
          <w:lang w:val="en-US" w:eastAsia="zh-CN"/>
        </w:rPr>
        <w:t>7-1 企业突发环境事件风险分级流程示意图</w:t>
      </w:r>
    </w:p>
    <w:p>
      <w:pPr>
        <w:rPr>
          <w:rFonts w:hint="eastAsia"/>
        </w:rPr>
      </w:pPr>
      <w:r>
        <w:rPr>
          <w:rFonts w:hint="eastAsia" w:eastAsia="宋体"/>
          <w:lang w:eastAsia="zh-CN"/>
        </w:rPr>
        <w:drawing>
          <wp:inline distT="0" distB="0" distL="114300" distR="114300">
            <wp:extent cx="5086985" cy="3610610"/>
            <wp:effectExtent l="0" t="0" r="18415" b="8890"/>
            <wp:docPr id="5" name="图片 5" descr="15313824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531382497(1)"/>
                    <pic:cNvPicPr>
                      <a:picLocks noChangeAspect="1"/>
                    </pic:cNvPicPr>
                  </pic:nvPicPr>
                  <pic:blipFill>
                    <a:blip r:embed="rId13"/>
                    <a:stretch>
                      <a:fillRect/>
                    </a:stretch>
                  </pic:blipFill>
                  <pic:spPr>
                    <a:xfrm>
                      <a:off x="0" y="0"/>
                      <a:ext cx="5086985" cy="3610610"/>
                    </a:xfrm>
                    <a:prstGeom prst="rect">
                      <a:avLst/>
                    </a:prstGeom>
                  </pic:spPr>
                </pic:pic>
              </a:graphicData>
            </a:graphic>
          </wp:inline>
        </w:drawing>
      </w:r>
    </w:p>
    <w:p>
      <w:pPr>
        <w:pStyle w:val="3"/>
        <w:rPr>
          <w:rFonts w:hint="eastAsia" w:eastAsia="宋体"/>
          <w:lang w:val="en-US" w:eastAsia="zh-CN"/>
        </w:rPr>
      </w:pPr>
      <w:bookmarkStart w:id="189" w:name="_Toc32681"/>
      <w:r>
        <w:rPr>
          <w:rFonts w:hint="eastAsia"/>
          <w:lang w:val="en-US" w:eastAsia="zh-CN"/>
        </w:rPr>
        <w:t>7.2</w:t>
      </w:r>
      <w:r>
        <w:rPr>
          <w:rFonts w:hint="eastAsia"/>
        </w:rPr>
        <w:t>突发大气环境事件风险分级</w:t>
      </w:r>
      <w:bookmarkEnd w:id="189"/>
    </w:p>
    <w:p>
      <w:pPr>
        <w:pStyle w:val="4"/>
        <w:rPr>
          <w:rFonts w:hint="eastAsia"/>
        </w:rPr>
      </w:pPr>
      <w:bookmarkStart w:id="190" w:name="_Toc18440"/>
      <w:r>
        <w:rPr>
          <w:rFonts w:hint="eastAsia"/>
          <w:lang w:val="en-US" w:eastAsia="zh-CN"/>
        </w:rPr>
        <w:t>7.2.1</w:t>
      </w:r>
      <w:r>
        <w:rPr>
          <w:rFonts w:hint="eastAsia"/>
        </w:rPr>
        <w:t xml:space="preserve"> 计算涉气风险物质数量与临界量比值（Q）</w:t>
      </w:r>
      <w:bookmarkEnd w:id="190"/>
    </w:p>
    <w:p>
      <w:pPr>
        <w:ind w:firstLine="960" w:firstLineChars="400"/>
        <w:rPr>
          <w:rFonts w:hint="eastAsia"/>
        </w:rPr>
      </w:pPr>
      <w:r>
        <w:rPr>
          <w:rFonts w:hint="eastAsia"/>
        </w:rPr>
        <w:t>涉气风险物质包括附录 A 中的第一、第二、第三、第四、第六部分全部风险物质以及第八部分中除 NH 3 -N 浓度≥2000mg/L 的废液、COD Cr 浓度≥10000mg/L 的有机废液之外的气态和可挥发造成突发大气环境事件的固态、液态风险物质。</w:t>
      </w:r>
    </w:p>
    <w:p>
      <w:pPr>
        <w:ind w:firstLine="960" w:firstLineChars="400"/>
        <w:rPr>
          <w:rFonts w:hint="eastAsia"/>
        </w:rPr>
      </w:pPr>
      <w:r>
        <w:rPr>
          <w:rFonts w:hint="eastAsia"/>
        </w:rPr>
        <w:t>判断企业生产原料、产品、中间产品、副产品、催化剂、辅助生产物料、燃料、“三废”污染物等是否涉及大气环境风险物质（混合或稀释的风险物质按其组分比例折算成纯物质），计算涉气风险物质在厂界内的存在量（如存在量呈动态变化，则按年度内最大存在量计算）与其在附录 A 中临界量的比值 Q：</w:t>
      </w:r>
    </w:p>
    <w:p>
      <w:pPr>
        <w:rPr>
          <w:rFonts w:hint="eastAsia"/>
        </w:rPr>
      </w:pPr>
      <w:r>
        <w:rPr>
          <w:rFonts w:hint="eastAsia"/>
        </w:rPr>
        <w:t>（1）当企业只涉及一种风险物质时，该物质的数量与其临界量比值，即为 Q。</w:t>
      </w:r>
    </w:p>
    <w:p>
      <w:pPr>
        <w:rPr>
          <w:rFonts w:hint="eastAsia"/>
        </w:rPr>
      </w:pPr>
      <w:r>
        <w:rPr>
          <w:rFonts w:hint="eastAsia"/>
        </w:rPr>
        <w:t>（2）当企业存在多种风险物质时，则按式（1）计算：</w:t>
      </w:r>
    </w:p>
    <w:p>
      <w:pPr>
        <w:rPr>
          <w:rFonts w:hint="eastAsia"/>
        </w:rPr>
      </w:pPr>
      <w:r>
        <w:rPr>
          <w:rFonts w:hint="eastAsia"/>
        </w:rPr>
        <w:drawing>
          <wp:inline distT="0" distB="0" distL="114300" distR="114300">
            <wp:extent cx="1943100" cy="477520"/>
            <wp:effectExtent l="0" t="0" r="0" b="17780"/>
            <wp:docPr id="9" name="图片 9" descr="15313829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531382938(1)"/>
                    <pic:cNvPicPr>
                      <a:picLocks noChangeAspect="1"/>
                    </pic:cNvPicPr>
                  </pic:nvPicPr>
                  <pic:blipFill>
                    <a:blip r:embed="rId15"/>
                    <a:stretch>
                      <a:fillRect/>
                    </a:stretch>
                  </pic:blipFill>
                  <pic:spPr>
                    <a:xfrm>
                      <a:off x="0" y="0"/>
                      <a:ext cx="1943100" cy="477520"/>
                    </a:xfrm>
                    <a:prstGeom prst="rect">
                      <a:avLst/>
                    </a:prstGeom>
                  </pic:spPr>
                </pic:pic>
              </a:graphicData>
            </a:graphic>
          </wp:inline>
        </w:drawing>
      </w:r>
      <w:r>
        <w:rPr>
          <w:rFonts w:hint="eastAsia"/>
        </w:rPr>
        <w:t>（1）</w:t>
      </w:r>
    </w:p>
    <w:p>
      <w:pPr>
        <w:rPr>
          <w:rFonts w:hint="eastAsia"/>
        </w:rPr>
      </w:pPr>
      <w:r>
        <w:rPr>
          <w:rFonts w:hint="eastAsia"/>
        </w:rPr>
        <w:t>式中：w 1 , w 2 , ..., w n ——每种风险物质的存在量，t；</w:t>
      </w:r>
    </w:p>
    <w:p>
      <w:pPr>
        <w:rPr>
          <w:rFonts w:hint="eastAsia"/>
        </w:rPr>
      </w:pPr>
      <w:r>
        <w:rPr>
          <w:rFonts w:hint="eastAsia"/>
        </w:rPr>
        <w:t>W 1 , W 2 , ..., W n ——每种风险物质的临界量，t。</w:t>
      </w:r>
    </w:p>
    <w:p>
      <w:pPr>
        <w:rPr>
          <w:rFonts w:hint="eastAsia"/>
        </w:rPr>
      </w:pPr>
      <w:r>
        <w:rPr>
          <w:rFonts w:hint="eastAsia"/>
        </w:rPr>
        <w:t>按照数值大小，将 Q 划分为 4 个水平：</w:t>
      </w:r>
    </w:p>
    <w:p>
      <w:pPr>
        <w:rPr>
          <w:rFonts w:hint="eastAsia"/>
        </w:rPr>
      </w:pPr>
      <w:r>
        <w:rPr>
          <w:rFonts w:hint="eastAsia"/>
        </w:rPr>
        <w:t>（1）Q＜1，以 Q0 表示，企业直接评为一般环境风险等级；</w:t>
      </w:r>
    </w:p>
    <w:p>
      <w:pPr>
        <w:rPr>
          <w:rFonts w:hint="eastAsia"/>
        </w:rPr>
      </w:pPr>
      <w:r>
        <w:rPr>
          <w:rFonts w:hint="eastAsia"/>
        </w:rPr>
        <w:t>（2）1≤Q＜10，以 Q1 表示；</w:t>
      </w:r>
    </w:p>
    <w:p>
      <w:pPr>
        <w:rPr>
          <w:rFonts w:hint="eastAsia"/>
        </w:rPr>
      </w:pPr>
      <w:r>
        <w:rPr>
          <w:rFonts w:hint="eastAsia"/>
        </w:rPr>
        <w:t>（3）10≤Q＜100，以 Q2 表示；</w:t>
      </w:r>
    </w:p>
    <w:p>
      <w:pPr>
        <w:rPr>
          <w:rFonts w:hint="eastAsia"/>
        </w:rPr>
      </w:pPr>
      <w:r>
        <w:rPr>
          <w:rFonts w:hint="eastAsia"/>
        </w:rPr>
        <w:t>（4）Q≥100，以 Q3 表示。</w:t>
      </w:r>
    </w:p>
    <w:p>
      <w:pPr>
        <w:pStyle w:val="4"/>
        <w:rPr>
          <w:rFonts w:hint="eastAsia"/>
        </w:rPr>
      </w:pPr>
      <w:bookmarkStart w:id="191" w:name="_Toc19093"/>
      <w:r>
        <w:rPr>
          <w:rFonts w:hint="eastAsia"/>
          <w:lang w:val="en-US" w:eastAsia="zh-CN"/>
        </w:rPr>
        <w:t>7</w:t>
      </w:r>
      <w:r>
        <w:rPr>
          <w:rFonts w:hint="eastAsia"/>
        </w:rPr>
        <w:t>.2</w:t>
      </w:r>
      <w:r>
        <w:rPr>
          <w:rFonts w:hint="eastAsia"/>
          <w:lang w:val="en-US" w:eastAsia="zh-CN"/>
        </w:rPr>
        <w:t>.2</w:t>
      </w:r>
      <w:r>
        <w:rPr>
          <w:rFonts w:hint="eastAsia"/>
        </w:rPr>
        <w:t>生产工艺过程与大气环境风险控制水平（M）评估</w:t>
      </w:r>
      <w:bookmarkEnd w:id="191"/>
    </w:p>
    <w:p>
      <w:pPr>
        <w:ind w:firstLine="960" w:firstLineChars="400"/>
        <w:rPr>
          <w:rFonts w:hint="eastAsia"/>
        </w:rPr>
      </w:pPr>
      <w:r>
        <w:rPr>
          <w:rFonts w:hint="eastAsia"/>
        </w:rPr>
        <w:t>采用评分法对企业生产工艺过程、大气环境风险防控措施及突发大气环境事件发生情况进行评估，将各项指标分值累加，确定企业生产工艺过程与大气环境风险控制水平（M）。</w:t>
      </w:r>
    </w:p>
    <w:p>
      <w:pPr>
        <w:pStyle w:val="4"/>
        <w:rPr>
          <w:rFonts w:hint="eastAsia"/>
        </w:rPr>
      </w:pPr>
      <w:bookmarkStart w:id="192" w:name="_Toc30557"/>
      <w:r>
        <w:rPr>
          <w:rFonts w:hint="eastAsia"/>
          <w:lang w:val="en-US" w:eastAsia="zh-CN"/>
        </w:rPr>
        <w:t>7</w:t>
      </w:r>
      <w:r>
        <w:rPr>
          <w:rFonts w:hint="eastAsia"/>
        </w:rPr>
        <w:t>.2.</w:t>
      </w:r>
      <w:r>
        <w:rPr>
          <w:rFonts w:hint="eastAsia"/>
          <w:lang w:val="en-US" w:eastAsia="zh-CN"/>
        </w:rPr>
        <w:t>3</w:t>
      </w:r>
      <w:r>
        <w:rPr>
          <w:rFonts w:hint="eastAsia"/>
        </w:rPr>
        <w:t xml:space="preserve"> 生产工艺过程含有风险工艺和设备情况</w:t>
      </w:r>
      <w:bookmarkEnd w:id="192"/>
    </w:p>
    <w:p>
      <w:pPr>
        <w:ind w:firstLine="960" w:firstLineChars="400"/>
        <w:rPr>
          <w:rFonts w:hint="eastAsia"/>
        </w:rPr>
      </w:pPr>
      <w:r>
        <w:rPr>
          <w:rFonts w:hint="eastAsia"/>
        </w:rPr>
        <w:t>对企业生产工艺过程含有风险工艺和设备情况的评估按照工艺单元进行，具有多套工艺单元的企业，对每套工艺单元分别评分并求和，该指标分值最高为30分。</w:t>
      </w:r>
    </w:p>
    <w:p>
      <w:pPr>
        <w:ind w:left="0" w:leftChars="0" w:firstLine="0" w:firstLineChars="0"/>
        <w:rPr>
          <w:rFonts w:hint="eastAsia"/>
        </w:rPr>
      </w:pPr>
      <w:r>
        <w:rPr>
          <w:rFonts w:hint="eastAsia"/>
        </w:rPr>
        <w:drawing>
          <wp:inline distT="0" distB="0" distL="114300" distR="114300">
            <wp:extent cx="6045835" cy="2726055"/>
            <wp:effectExtent l="0" t="0" r="12065" b="17145"/>
            <wp:docPr id="13" name="图片 13" descr="15313835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531383525(1)"/>
                    <pic:cNvPicPr>
                      <a:picLocks noChangeAspect="1"/>
                    </pic:cNvPicPr>
                  </pic:nvPicPr>
                  <pic:blipFill>
                    <a:blip r:embed="rId16"/>
                    <a:stretch>
                      <a:fillRect/>
                    </a:stretch>
                  </pic:blipFill>
                  <pic:spPr>
                    <a:xfrm>
                      <a:off x="0" y="0"/>
                      <a:ext cx="6045835" cy="2726055"/>
                    </a:xfrm>
                    <a:prstGeom prst="rect">
                      <a:avLst/>
                    </a:prstGeom>
                  </pic:spPr>
                </pic:pic>
              </a:graphicData>
            </a:graphic>
          </wp:inline>
        </w:drawing>
      </w:r>
    </w:p>
    <w:p>
      <w:pPr>
        <w:ind w:firstLine="960" w:firstLineChars="400"/>
        <w:rPr>
          <w:rFonts w:hint="eastAsia" w:eastAsia="宋体"/>
          <w:lang w:eastAsia="zh-CN"/>
        </w:rPr>
        <w:sectPr>
          <w:footerReference r:id="rId7" w:type="even"/>
          <w:pgSz w:w="11910" w:h="16840"/>
          <w:pgMar w:top="1060" w:right="1180" w:bottom="1400" w:left="1200" w:header="0" w:footer="1201" w:gutter="0"/>
          <w:pgNumType w:fmt="decimal"/>
          <w:cols w:equalWidth="0" w:num="1">
            <w:col w:w="9530"/>
          </w:cols>
        </w:sectPr>
      </w:pPr>
    </w:p>
    <w:p>
      <w:pPr>
        <w:pStyle w:val="4"/>
        <w:rPr>
          <w:rFonts w:hint="eastAsia"/>
        </w:rPr>
      </w:pPr>
      <w:bookmarkStart w:id="193" w:name="_Toc15722"/>
      <w:r>
        <w:rPr>
          <w:rFonts w:hint="eastAsia"/>
          <w:lang w:val="en-US" w:eastAsia="zh-CN"/>
        </w:rPr>
        <w:t>7</w:t>
      </w:r>
      <w:r>
        <w:rPr>
          <w:rFonts w:hint="eastAsia"/>
        </w:rPr>
        <w:t>.2.</w:t>
      </w:r>
      <w:r>
        <w:rPr>
          <w:rFonts w:hint="eastAsia"/>
          <w:lang w:val="en-US" w:eastAsia="zh-CN"/>
        </w:rPr>
        <w:t>4</w:t>
      </w:r>
      <w:r>
        <w:rPr>
          <w:rFonts w:hint="eastAsia"/>
        </w:rPr>
        <w:t xml:space="preserve"> 大气环境风险防控措施及突发大气环境事件发生情况</w:t>
      </w:r>
      <w:bookmarkEnd w:id="193"/>
    </w:p>
    <w:p>
      <w:pPr>
        <w:pStyle w:val="6"/>
        <w:spacing w:before="35" w:line="348" w:lineRule="auto"/>
        <w:ind w:left="218" w:right="233" w:firstLine="559"/>
        <w:rPr>
          <w:rFonts w:hint="eastAsia" w:ascii="宋体" w:hAnsi="宋体" w:eastAsia="宋体" w:cs="宋体"/>
          <w:spacing w:val="-9"/>
          <w:sz w:val="24"/>
          <w:szCs w:val="24"/>
        </w:rPr>
      </w:pPr>
      <w:r>
        <w:rPr>
          <w:rFonts w:hint="eastAsia" w:ascii="宋体" w:hAnsi="宋体" w:eastAsia="宋体" w:cs="宋体"/>
          <w:spacing w:val="-9"/>
          <w:sz w:val="24"/>
          <w:szCs w:val="24"/>
        </w:rPr>
        <w:t>企业大气环境风险防控措施及突发大气环境事件发生情况评估指标见表</w:t>
      </w:r>
      <w:r>
        <w:rPr>
          <w:rFonts w:hint="eastAsia" w:ascii="宋体" w:hAnsi="宋体" w:eastAsia="宋体" w:cs="宋体"/>
          <w:spacing w:val="-9"/>
          <w:sz w:val="24"/>
          <w:szCs w:val="24"/>
          <w:lang w:val="en-US" w:eastAsia="zh-CN"/>
        </w:rPr>
        <w:t>2</w:t>
      </w:r>
      <w:r>
        <w:rPr>
          <w:rFonts w:hint="eastAsia" w:ascii="宋体" w:hAnsi="宋体" w:eastAsia="宋体" w:cs="宋体"/>
          <w:spacing w:val="-9"/>
          <w:sz w:val="24"/>
          <w:szCs w:val="24"/>
        </w:rPr>
        <w:t>。对各项评估指标分别评分、计算总和，各项指标分值合计最高为70分。</w:t>
      </w:r>
    </w:p>
    <w:p>
      <w:pPr>
        <w:pStyle w:val="6"/>
        <w:spacing w:before="35" w:line="348" w:lineRule="auto"/>
        <w:ind w:left="0" w:leftChars="0" w:right="233" w:firstLine="0" w:firstLineChars="0"/>
        <w:rPr>
          <w:rFonts w:hint="eastAsia" w:ascii="宋体" w:hAnsi="宋体" w:eastAsia="宋体" w:cs="宋体"/>
          <w:spacing w:val="-9"/>
          <w:sz w:val="24"/>
          <w:szCs w:val="24"/>
          <w:lang w:eastAsia="zh-CN"/>
        </w:rPr>
      </w:pPr>
      <w:r>
        <w:rPr>
          <w:rFonts w:hint="eastAsia" w:ascii="宋体" w:hAnsi="宋体" w:eastAsia="宋体" w:cs="宋体"/>
          <w:spacing w:val="-9"/>
          <w:sz w:val="24"/>
          <w:szCs w:val="24"/>
          <w:lang w:eastAsia="zh-CN"/>
        </w:rPr>
        <w:drawing>
          <wp:inline distT="0" distB="0" distL="114300" distR="114300">
            <wp:extent cx="6051550" cy="3158490"/>
            <wp:effectExtent l="0" t="0" r="6350" b="3810"/>
            <wp:docPr id="11" name="图片 11" descr="15313834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531383464(1)"/>
                    <pic:cNvPicPr>
                      <a:picLocks noChangeAspect="1"/>
                    </pic:cNvPicPr>
                  </pic:nvPicPr>
                  <pic:blipFill>
                    <a:blip r:embed="rId17"/>
                    <a:stretch>
                      <a:fillRect/>
                    </a:stretch>
                  </pic:blipFill>
                  <pic:spPr>
                    <a:xfrm>
                      <a:off x="0" y="0"/>
                      <a:ext cx="6051550" cy="3158490"/>
                    </a:xfrm>
                    <a:prstGeom prst="rect">
                      <a:avLst/>
                    </a:prstGeom>
                  </pic:spPr>
                </pic:pic>
              </a:graphicData>
            </a:graphic>
          </wp:inline>
        </w:drawing>
      </w:r>
    </w:p>
    <w:p>
      <w:pPr>
        <w:pStyle w:val="4"/>
        <w:rPr>
          <w:rFonts w:hint="eastAsia" w:ascii="宋体" w:hAnsi="宋体" w:eastAsia="宋体" w:cs="宋体"/>
          <w:sz w:val="24"/>
          <w:szCs w:val="24"/>
          <w:lang w:eastAsia="zh-CN"/>
        </w:rPr>
      </w:pPr>
      <w:bookmarkStart w:id="194" w:name="_Toc2310"/>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.2.</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企业生产工艺过程与大气环境风险控制水平</w:t>
      </w:r>
      <w:bookmarkEnd w:id="194"/>
    </w:p>
    <w:p>
      <w:pPr>
        <w:pStyle w:val="6"/>
        <w:spacing w:before="35" w:line="348" w:lineRule="auto"/>
        <w:ind w:left="0" w:leftChars="0" w:right="233" w:firstLine="0" w:firstLineChars="0"/>
        <w:rPr>
          <w:rFonts w:hint="eastAsia" w:ascii="宋体" w:hAnsi="宋体" w:eastAsia="宋体" w:cs="宋体"/>
          <w:spacing w:val="-9"/>
          <w:sz w:val="24"/>
          <w:szCs w:val="24"/>
          <w:lang w:eastAsia="zh-CN"/>
        </w:rPr>
      </w:pPr>
      <w:r>
        <w:rPr>
          <w:rFonts w:hint="eastAsia" w:ascii="宋体" w:hAnsi="宋体" w:eastAsia="宋体" w:cs="宋体"/>
          <w:spacing w:val="-9"/>
          <w:sz w:val="24"/>
          <w:szCs w:val="24"/>
          <w:lang w:eastAsia="zh-CN"/>
        </w:rPr>
        <w:t>将企业生产工艺过程、大气环境风险防控措施及突发大气环境事件发生情况各项指标评</w:t>
      </w:r>
    </w:p>
    <w:p>
      <w:pPr>
        <w:pStyle w:val="6"/>
        <w:spacing w:before="35" w:line="348" w:lineRule="auto"/>
        <w:ind w:left="0" w:leftChars="0" w:right="233" w:firstLine="0" w:firstLineChars="0"/>
        <w:rPr>
          <w:rFonts w:hint="eastAsia" w:ascii="宋体" w:hAnsi="宋体" w:eastAsia="宋体" w:cs="宋体"/>
          <w:spacing w:val="-9"/>
          <w:sz w:val="24"/>
          <w:szCs w:val="24"/>
          <w:lang w:eastAsia="zh-CN"/>
        </w:rPr>
      </w:pPr>
      <w:r>
        <w:rPr>
          <w:rFonts w:hint="eastAsia" w:ascii="宋体" w:hAnsi="宋体" w:eastAsia="宋体" w:cs="宋体"/>
          <w:spacing w:val="-9"/>
          <w:sz w:val="24"/>
          <w:szCs w:val="24"/>
          <w:lang w:eastAsia="zh-CN"/>
        </w:rPr>
        <w:t>估分值累加，得出生产工艺过程与大气环境风险控制水平值，按照表3划分为4个类型。</w:t>
      </w:r>
    </w:p>
    <w:p>
      <w:pPr>
        <w:pStyle w:val="6"/>
        <w:spacing w:before="35" w:line="348" w:lineRule="auto"/>
        <w:ind w:left="444" w:leftChars="0" w:right="233" w:hanging="444" w:hangingChars="200"/>
        <w:rPr>
          <w:rFonts w:hint="eastAsia" w:ascii="宋体" w:hAnsi="宋体" w:eastAsia="宋体" w:cs="宋体"/>
          <w:spacing w:val="-9"/>
          <w:sz w:val="24"/>
          <w:szCs w:val="24"/>
        </w:rPr>
      </w:pPr>
      <w:r>
        <w:rPr>
          <w:rFonts w:hint="eastAsia" w:ascii="宋体" w:hAnsi="宋体" w:eastAsia="宋体" w:cs="宋体"/>
          <w:spacing w:val="-9"/>
          <w:sz w:val="24"/>
          <w:szCs w:val="24"/>
          <w:lang w:eastAsia="zh-CN"/>
        </w:rPr>
        <w:drawing>
          <wp:inline distT="0" distB="0" distL="114300" distR="114300">
            <wp:extent cx="6044565" cy="1678305"/>
            <wp:effectExtent l="0" t="0" r="13335" b="17145"/>
            <wp:docPr id="12" name="图片 12" descr="15313835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531383504(1)"/>
                    <pic:cNvPicPr>
                      <a:picLocks noChangeAspect="1"/>
                    </pic:cNvPicPr>
                  </pic:nvPicPr>
                  <pic:blipFill>
                    <a:blip r:embed="rId18"/>
                    <a:stretch>
                      <a:fillRect/>
                    </a:stretch>
                  </pic:blipFill>
                  <pic:spPr>
                    <a:xfrm>
                      <a:off x="0" y="0"/>
                      <a:ext cx="6044565" cy="1678305"/>
                    </a:xfrm>
                    <a:prstGeom prst="rect">
                      <a:avLst/>
                    </a:prstGeom>
                  </pic:spPr>
                </pic:pic>
              </a:graphicData>
            </a:graphic>
          </wp:inline>
        </w:drawing>
      </w:r>
      <w:r>
        <w:rPr>
          <w:rStyle w:val="27"/>
          <w:rFonts w:hint="eastAsia"/>
          <w:lang w:val="en-US" w:eastAsia="zh-CN"/>
        </w:rPr>
        <w:t>7.2.6</w:t>
      </w:r>
      <w:r>
        <w:rPr>
          <w:rStyle w:val="27"/>
          <w:rFonts w:hint="eastAsia"/>
        </w:rPr>
        <w:t xml:space="preserve"> 大气环境风险受体敏感程度（E）评估</w:t>
      </w:r>
    </w:p>
    <w:p>
      <w:pPr>
        <w:rPr>
          <w:rFonts w:hint="eastAsia" w:ascii="宋体" w:hAnsi="宋体" w:eastAsia="宋体" w:cs="宋体"/>
          <w:sz w:val="24"/>
          <w:szCs w:val="24"/>
        </w:rPr>
      </w:pPr>
      <w:r>
        <w:rPr>
          <w:rFonts w:hint="eastAsia" w:ascii="宋体" w:hAnsi="宋体" w:eastAsia="宋体" w:cs="宋体"/>
          <w:sz w:val="24"/>
          <w:szCs w:val="24"/>
        </w:rPr>
        <w:t>大气环境风险受体敏感程度类型按照企业周边人口数进行划分。按照企业周边 5 公里或500 米范围内人口数将大气环境风险受体敏感程度划分为类型 1、类型 2 和类型 3 三种类型，分别以 E1、E2 和 E3 表示，见表 4。</w:t>
      </w:r>
    </w:p>
    <w:p>
      <w:pPr>
        <w:rPr>
          <w:rFonts w:hint="eastAsia" w:ascii="宋体" w:hAnsi="宋体" w:eastAsia="宋体" w:cs="宋体"/>
          <w:sz w:val="24"/>
          <w:szCs w:val="24"/>
        </w:rPr>
      </w:pPr>
      <w:r>
        <w:rPr>
          <w:rFonts w:hint="eastAsia" w:ascii="宋体" w:hAnsi="宋体" w:eastAsia="宋体" w:cs="宋体"/>
          <w:sz w:val="24"/>
          <w:szCs w:val="24"/>
        </w:rPr>
        <w:t>大气环境风险受体敏感程度按类型 1、类型 2 和类型 3 顺序依次降低。若企业周边存在多种敏感程度类型的大气环境风险受体，则按敏感程度高者确定企业大气环境风险受体敏感程度类型。</w: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pacing w:val="-9"/>
          <w:sz w:val="24"/>
          <w:szCs w:val="24"/>
        </w:rPr>
      </w:pPr>
      <w:r>
        <w:rPr>
          <w:rFonts w:hint="eastAsia" w:ascii="宋体" w:hAnsi="宋体" w:eastAsia="宋体" w:cs="宋体"/>
          <w:sz w:val="24"/>
          <w:szCs w:val="24"/>
        </w:rPr>
        <w:t>表 4 大气环境风险受体敏感程度类型划分</w:t>
      </w:r>
    </w:p>
    <w:tbl>
      <w:tblPr>
        <w:tblStyle w:val="18"/>
        <w:tblW w:w="97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9"/>
        <w:gridCol w:w="8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9" w:type="dxa"/>
          </w:tcPr>
          <w:p>
            <w:pPr>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 xml:space="preserve">敏感程度类型 </w:t>
            </w:r>
          </w:p>
        </w:tc>
        <w:tc>
          <w:tcPr>
            <w:tcW w:w="8047" w:type="dxa"/>
          </w:tcPr>
          <w:p>
            <w:pPr>
              <w:rPr>
                <w:rFonts w:hint="eastAsia" w:ascii="宋体" w:hAnsi="宋体" w:eastAsia="宋体" w:cs="宋体"/>
                <w:sz w:val="24"/>
                <w:szCs w:val="24"/>
              </w:rPr>
            </w:pPr>
            <w:r>
              <w:rPr>
                <w:rFonts w:hint="eastAsia" w:ascii="宋体" w:hAnsi="宋体" w:eastAsia="宋体" w:cs="宋体"/>
                <w:sz w:val="24"/>
                <w:szCs w:val="24"/>
              </w:rPr>
              <w:t>大气环境风险受体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9" w:type="dxa"/>
          </w:tcPr>
          <w:p>
            <w:pPr>
              <w:ind w:left="0" w:leftChars="0" w:firstLine="0" w:firstLineChars="0"/>
              <w:rPr>
                <w:rFonts w:hint="eastAsia" w:ascii="宋体" w:hAnsi="宋体" w:eastAsia="宋体" w:cs="宋体"/>
                <w:sz w:val="24"/>
                <w:szCs w:val="24"/>
                <w:lang w:eastAsia="zh-CN"/>
              </w:rPr>
            </w:pPr>
            <w:r>
              <w:rPr>
                <w:rFonts w:hint="eastAsia" w:ascii="宋体" w:hAnsi="宋体" w:eastAsia="宋体" w:cs="宋体"/>
                <w:sz w:val="24"/>
                <w:szCs w:val="24"/>
              </w:rPr>
              <w:t>类型1</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E1</w:t>
            </w:r>
            <w:r>
              <w:rPr>
                <w:rFonts w:hint="eastAsia" w:ascii="宋体" w:hAnsi="宋体" w:eastAsia="宋体" w:cs="宋体"/>
                <w:sz w:val="24"/>
                <w:szCs w:val="24"/>
                <w:lang w:eastAsia="zh-CN"/>
              </w:rPr>
              <w:t>）</w:t>
            </w:r>
          </w:p>
        </w:tc>
        <w:tc>
          <w:tcPr>
            <w:tcW w:w="8047" w:type="dxa"/>
          </w:tcPr>
          <w:p>
            <w:pPr>
              <w:rPr>
                <w:rFonts w:hint="eastAsia" w:ascii="宋体" w:hAnsi="宋体" w:eastAsia="宋体" w:cs="宋体"/>
                <w:sz w:val="24"/>
                <w:szCs w:val="24"/>
              </w:rPr>
            </w:pPr>
            <w:r>
              <w:rPr>
                <w:rFonts w:hint="eastAsia" w:ascii="宋体" w:hAnsi="宋体" w:eastAsia="宋体" w:cs="宋体"/>
                <w:sz w:val="24"/>
                <w:szCs w:val="24"/>
              </w:rPr>
              <w:t>企业周边5公里范围内居住区、医疗卫生机构、文化教育机构、科研单位、行政机关、企事业单位、商场、公园等人口总数5万人以上，或企业周边500米范围内人口总数1000人以上，或企业周边5公里涉及军事禁区、军事管理区、国家相关保密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9" w:type="dxa"/>
          </w:tcPr>
          <w:p>
            <w:pPr>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类型2（E2）</w:t>
            </w:r>
          </w:p>
        </w:tc>
        <w:tc>
          <w:tcPr>
            <w:tcW w:w="8047" w:type="dxa"/>
          </w:tcPr>
          <w:p>
            <w:pPr>
              <w:rPr>
                <w:rFonts w:hint="eastAsia" w:ascii="宋体" w:hAnsi="宋体" w:eastAsia="宋体" w:cs="宋体"/>
                <w:sz w:val="24"/>
                <w:szCs w:val="24"/>
              </w:rPr>
            </w:pPr>
            <w:r>
              <w:rPr>
                <w:rFonts w:hint="eastAsia" w:ascii="宋体" w:hAnsi="宋体" w:eastAsia="宋体" w:cs="宋体"/>
                <w:sz w:val="24"/>
                <w:szCs w:val="24"/>
              </w:rPr>
              <w:t>企业周边5公里范围内居住区、医疗卫生机构、文化教育机构、科研单位、行政机关、企事业单位、商场、公园等人口总数1万人以上、5万人以下，或企业周边500米范围内人口总数500人以上、1000人以下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9" w:type="dxa"/>
          </w:tcPr>
          <w:p>
            <w:pPr>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类型3（E3）</w:t>
            </w:r>
          </w:p>
        </w:tc>
        <w:tc>
          <w:tcPr>
            <w:tcW w:w="8047" w:type="dxa"/>
          </w:tcPr>
          <w:p>
            <w:pPr>
              <w:rPr>
                <w:rFonts w:hint="eastAsia" w:ascii="宋体" w:hAnsi="宋体" w:eastAsia="宋体" w:cs="宋体"/>
                <w:sz w:val="24"/>
                <w:szCs w:val="24"/>
              </w:rPr>
            </w:pPr>
            <w:r>
              <w:rPr>
                <w:rFonts w:hint="eastAsia" w:ascii="宋体" w:hAnsi="宋体" w:eastAsia="宋体" w:cs="宋体"/>
                <w:sz w:val="24"/>
                <w:szCs w:val="24"/>
              </w:rPr>
              <w:t>企业周边5公里范围内居住区、医疗卫生机构、文化教育机构、科研单位、行政机关、企事业单位、商场、公园等人口总数1万人以下，且企业周边500米范围内人口总数500人以下</w:t>
            </w:r>
          </w:p>
        </w:tc>
      </w:tr>
    </w:tbl>
    <w:p>
      <w:pPr>
        <w:pStyle w:val="4"/>
        <w:rPr>
          <w:rFonts w:hint="eastAsia" w:ascii="宋体" w:hAnsi="宋体" w:eastAsia="宋体" w:cs="宋体"/>
          <w:sz w:val="24"/>
          <w:szCs w:val="24"/>
        </w:rPr>
      </w:pPr>
      <w:bookmarkStart w:id="195" w:name="_Toc1048"/>
      <w:r>
        <w:rPr>
          <w:rFonts w:hint="eastAsia" w:ascii="宋体" w:hAnsi="宋体" w:eastAsia="宋体" w:cs="宋体"/>
          <w:sz w:val="24"/>
          <w:szCs w:val="24"/>
          <w:lang w:val="en-US" w:eastAsia="zh-CN"/>
        </w:rPr>
        <w:t>7.2.7</w:t>
      </w:r>
      <w:r>
        <w:rPr>
          <w:rFonts w:hint="eastAsia" w:ascii="宋体" w:hAnsi="宋体" w:eastAsia="宋体" w:cs="宋体"/>
          <w:sz w:val="24"/>
          <w:szCs w:val="24"/>
        </w:rPr>
        <w:t>突发大气环境事件风险等级确定</w:t>
      </w:r>
      <w:bookmarkEnd w:id="195"/>
    </w:p>
    <w:p>
      <w:pPr>
        <w:pStyle w:val="6"/>
        <w:spacing w:before="35" w:line="348" w:lineRule="auto"/>
        <w:ind w:left="218" w:right="233" w:firstLine="559"/>
        <w:rPr>
          <w:rFonts w:hint="eastAsia" w:ascii="宋体" w:hAnsi="宋体" w:eastAsia="宋体" w:cs="宋体"/>
          <w:spacing w:val="-9"/>
          <w:sz w:val="24"/>
          <w:szCs w:val="24"/>
        </w:rPr>
      </w:pPr>
      <w:r>
        <w:rPr>
          <w:rFonts w:hint="eastAsia" w:ascii="宋体" w:hAnsi="宋体" w:eastAsia="宋体" w:cs="宋体"/>
          <w:spacing w:val="-9"/>
          <w:sz w:val="24"/>
          <w:szCs w:val="24"/>
        </w:rPr>
        <w:t>根据企业周边大气环境风险受体敏感程度（E）、涉气风险物质数量与临界量比值（Q）和生产工艺过程与大气环境风险控制水平（M），按照表5确定企业突发大气环境事件风险等级。</w:t>
      </w:r>
    </w:p>
    <w:p>
      <w:pPr>
        <w:pStyle w:val="6"/>
        <w:spacing w:before="35" w:line="348" w:lineRule="auto"/>
        <w:ind w:left="0" w:leftChars="0" w:right="233" w:firstLine="0" w:firstLineChars="0"/>
        <w:rPr>
          <w:rFonts w:hint="eastAsia" w:eastAsia="宋体"/>
          <w:spacing w:val="-9"/>
          <w:lang w:eastAsia="zh-CN"/>
        </w:rPr>
      </w:pPr>
      <w:r>
        <w:rPr>
          <w:rFonts w:hint="eastAsia" w:eastAsia="宋体"/>
          <w:spacing w:val="-9"/>
          <w:lang w:eastAsia="zh-CN"/>
        </w:rPr>
        <w:drawing>
          <wp:inline distT="0" distB="0" distL="114300" distR="114300">
            <wp:extent cx="6049010" cy="3308350"/>
            <wp:effectExtent l="0" t="0" r="8890" b="6350"/>
            <wp:docPr id="16" name="图片 16" descr="1531383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1531383952"/>
                    <pic:cNvPicPr>
                      <a:picLocks noChangeAspect="1"/>
                    </pic:cNvPicPr>
                  </pic:nvPicPr>
                  <pic:blipFill>
                    <a:blip r:embed="rId19"/>
                    <a:stretch>
                      <a:fillRect/>
                    </a:stretch>
                  </pic:blipFill>
                  <pic:spPr>
                    <a:xfrm>
                      <a:off x="0" y="0"/>
                      <a:ext cx="6049010" cy="3308350"/>
                    </a:xfrm>
                    <a:prstGeom prst="rect">
                      <a:avLst/>
                    </a:prstGeom>
                  </pic:spPr>
                </pic:pic>
              </a:graphicData>
            </a:graphic>
          </wp:inline>
        </w:drawing>
      </w:r>
    </w:p>
    <w:p>
      <w:pPr>
        <w:pStyle w:val="4"/>
      </w:pPr>
      <w:bookmarkStart w:id="196" w:name="_Toc5029"/>
      <w:r>
        <w:rPr>
          <w:rFonts w:hint="eastAsia"/>
          <w:lang w:val="en-US" w:eastAsia="zh-CN"/>
        </w:rPr>
        <w:t>7.2.8</w:t>
      </w:r>
      <w:r>
        <w:t>大气环境事件风险表征</w:t>
      </w:r>
      <w:bookmarkEnd w:id="196"/>
    </w:p>
    <w:p>
      <w:pPr>
        <w:numPr>
          <w:ilvl w:val="0"/>
          <w:numId w:val="3"/>
        </w:numPr>
        <w:rPr>
          <w:rFonts w:hint="eastAsia"/>
          <w:spacing w:val="-20"/>
          <w:w w:val="100"/>
          <w:lang w:val="en-US" w:eastAsia="zh-CN"/>
        </w:rPr>
      </w:pPr>
      <w:r>
        <w:rPr>
          <w:rFonts w:hint="eastAsia"/>
          <w:lang w:eastAsia="zh-CN"/>
        </w:rPr>
        <w:t>企业只涉及一种风险物质是硫氢化钠，企业日常最大储存量为</w:t>
      </w:r>
      <w:r>
        <w:rPr>
          <w:rFonts w:hint="eastAsia"/>
          <w:lang w:val="en-US" w:eastAsia="zh-CN"/>
        </w:rPr>
        <w:t>900T</w:t>
      </w:r>
      <w:r>
        <w:rPr>
          <w:rFonts w:hint="eastAsia" w:ascii="宋体" w:hAnsi="宋体" w:eastAsia="宋体" w:cs="宋体"/>
          <w:color w:val="auto"/>
          <w:sz w:val="24"/>
          <w:szCs w:val="24"/>
        </w:rPr>
        <w:t>含22%的硫氢化钠</w:t>
      </w:r>
      <w:r>
        <w:rPr>
          <w:rFonts w:hint="eastAsia" w:cs="宋体"/>
          <w:color w:val="auto"/>
          <w:sz w:val="24"/>
          <w:szCs w:val="24"/>
          <w:lang w:eastAsia="zh-CN"/>
        </w:rPr>
        <w:t>废液，所以</w:t>
      </w:r>
      <w:r>
        <w:rPr>
          <w:rFonts w:hint="eastAsia"/>
          <w:lang w:eastAsia="zh-CN"/>
        </w:rPr>
        <w:t>它的存在量为</w:t>
      </w:r>
      <w:r>
        <w:rPr>
          <w:rFonts w:hint="eastAsia"/>
          <w:lang w:val="en-US" w:eastAsia="zh-CN"/>
        </w:rPr>
        <w:t>198t</w:t>
      </w:r>
      <w:r>
        <w:rPr>
          <w:spacing w:val="-20"/>
          <w:w w:val="100"/>
        </w:rPr>
        <w:t>，</w:t>
      </w:r>
      <w:r>
        <w:rPr>
          <w:rFonts w:hint="eastAsia"/>
          <w:spacing w:val="-20"/>
          <w:w w:val="100"/>
          <w:lang w:val="en-US" w:eastAsia="zh-CN"/>
        </w:rPr>
        <w:t>Q值为79.2，评为Q2.</w:t>
      </w:r>
    </w:p>
    <w:p>
      <w:pPr>
        <w:numPr>
          <w:ilvl w:val="0"/>
          <w:numId w:val="3"/>
        </w:numPr>
        <w:ind w:left="0" w:leftChars="0" w:firstLine="480" w:firstLineChars="200"/>
      </w:pPr>
      <w:r>
        <w:rPr>
          <w:rFonts w:hint="eastAsia"/>
          <w:lang w:eastAsia="zh-CN"/>
        </w:rPr>
        <w:t>生</w:t>
      </w:r>
      <w:r>
        <w:t>产工艺过程中</w:t>
      </w:r>
      <w:r>
        <w:rPr>
          <w:rFonts w:hint="eastAsia"/>
          <w:lang w:eastAsia="zh-CN"/>
        </w:rPr>
        <w:t>不含有高温高压工艺</w:t>
      </w:r>
      <w:r>
        <w:t xml:space="preserve">， </w:t>
      </w:r>
      <w:r>
        <w:rPr>
          <w:rFonts w:hint="eastAsia"/>
          <w:lang w:eastAsia="zh-CN"/>
        </w:rPr>
        <w:t>正常生产情况下，硫化氢的产生浓度远低于</w:t>
      </w:r>
      <w:r>
        <w:rPr>
          <w:rFonts w:hint="eastAsia"/>
        </w:rPr>
        <w:t>中国（TJ36-79）车间空气中有害物质的最高容许浓度：10mg/m</w:t>
      </w:r>
      <w:r>
        <w:rPr>
          <w:rFonts w:hint="eastAsia" w:ascii="Arial" w:hAnsi="Arial" w:eastAsia="宋体" w:cs="Arial"/>
          <w:b w:val="0"/>
          <w:i w:val="0"/>
          <w:caps w:val="0"/>
          <w:color w:val="333333"/>
          <w:spacing w:val="0"/>
          <w:sz w:val="21"/>
          <w:szCs w:val="21"/>
          <w:shd w:val="clear" w:fill="FFFFFF"/>
        </w:rPr>
        <w:t>³</w:t>
      </w:r>
      <w:r>
        <w:rPr>
          <w:rFonts w:hint="eastAsia" w:ascii="Arial" w:hAnsi="Arial" w:cs="Arial"/>
          <w:b w:val="0"/>
          <w:i w:val="0"/>
          <w:caps w:val="0"/>
          <w:color w:val="333333"/>
          <w:spacing w:val="0"/>
          <w:sz w:val="21"/>
          <w:szCs w:val="21"/>
          <w:shd w:val="clear" w:fill="FFFFFF"/>
          <w:lang w:eastAsia="zh-CN"/>
        </w:rPr>
        <w:t>，</w:t>
      </w:r>
      <w:r>
        <w:rPr>
          <w:rFonts w:hint="eastAsia"/>
          <w:lang w:eastAsia="zh-CN"/>
        </w:rPr>
        <w:t>事故情况下</w:t>
      </w:r>
      <w:r>
        <w:t>，</w:t>
      </w:r>
      <w:r>
        <w:rPr>
          <w:rFonts w:hint="eastAsia"/>
          <w:lang w:eastAsia="zh-CN"/>
        </w:rPr>
        <w:t>硫化氢也极少产生，故不设置有害气体泄漏监控预警系统，</w:t>
      </w:r>
      <w:r>
        <w:t xml:space="preserve">卫生防护距离满足要求，且近三年内未发生大气环境事件，故M 值为 </w:t>
      </w:r>
      <w:r>
        <w:rPr>
          <w:rFonts w:hint="eastAsia"/>
          <w:lang w:val="en-US" w:eastAsia="zh-CN"/>
        </w:rPr>
        <w:t>0</w:t>
      </w:r>
      <w:r>
        <w:t>，评为 M</w:t>
      </w:r>
      <w:r>
        <w:rPr>
          <w:rFonts w:hint="eastAsia"/>
          <w:lang w:val="en-US" w:eastAsia="zh-CN"/>
        </w:rPr>
        <w:t>1</w:t>
      </w:r>
      <w:r>
        <w:t>。</w:t>
      </w:r>
    </w:p>
    <w:p>
      <w:pPr>
        <w:rPr>
          <w:rFonts w:hint="eastAsia" w:eastAsia="宋体"/>
          <w:lang w:val="en-US" w:eastAsia="zh-CN"/>
        </w:rPr>
      </w:pPr>
      <w:r>
        <w:rPr>
          <w:rFonts w:hint="eastAsia"/>
          <w:lang w:eastAsia="zh-CN"/>
        </w:rPr>
        <w:t>（</w:t>
      </w:r>
      <w:r>
        <w:rPr>
          <w:rFonts w:hint="eastAsia"/>
          <w:lang w:val="en-US" w:eastAsia="zh-CN"/>
        </w:rPr>
        <w:t>3）</w:t>
      </w:r>
      <w:r>
        <w:rPr>
          <w:rFonts w:hint="eastAsia" w:ascii="宋体" w:hAnsi="宋体" w:eastAsia="宋体" w:cs="宋体"/>
          <w:sz w:val="24"/>
          <w:szCs w:val="24"/>
        </w:rPr>
        <w:t>企业周边5公里范围内居住区、医疗卫生机构、文化教育机构、科研单位、行政机关、企事业单位、商场、公园等人口总数5万人以上，或企业周边500米范围内人口总数1000人以上，或企业周边5公里涉及军事禁区、军事管理区、国家相关保密区域</w:t>
      </w:r>
      <w:r>
        <w:t>，故环境风险受体敏感程度为E</w:t>
      </w:r>
      <w:r>
        <w:rPr>
          <w:rFonts w:hint="eastAsia"/>
          <w:lang w:val="en-US" w:eastAsia="zh-CN"/>
        </w:rPr>
        <w:t>1。</w:t>
      </w:r>
    </w:p>
    <w:p>
      <w:pPr>
        <w:numPr>
          <w:ilvl w:val="0"/>
          <w:numId w:val="0"/>
        </w:numPr>
        <w:ind w:right="0" w:rightChars="0" w:firstLine="480" w:firstLineChars="200"/>
      </w:pPr>
      <w:r>
        <w:rPr>
          <w:rFonts w:hint="eastAsia"/>
          <w:lang w:eastAsia="zh-CN"/>
        </w:rPr>
        <w:t>（</w:t>
      </w:r>
      <w:r>
        <w:rPr>
          <w:rFonts w:hint="eastAsia"/>
          <w:lang w:val="en-US" w:eastAsia="zh-CN"/>
        </w:rPr>
        <w:t>4</w:t>
      </w:r>
      <w:r>
        <w:rPr>
          <w:rFonts w:hint="eastAsia"/>
          <w:lang w:eastAsia="zh-CN"/>
        </w:rPr>
        <w:t>）</w:t>
      </w:r>
      <w:r>
        <w:t>结合上述评估，</w:t>
      </w:r>
      <w:r>
        <w:rPr>
          <w:rFonts w:hint="eastAsia"/>
          <w:lang w:eastAsia="zh-CN"/>
        </w:rPr>
        <w:t>乔旭（九江）企业有限公司</w:t>
      </w:r>
      <w:r>
        <w:t>突发大气环境事件风险等级为</w:t>
      </w:r>
      <w:r>
        <w:rPr>
          <w:rFonts w:hint="eastAsia"/>
          <w:lang w:eastAsia="zh-CN"/>
        </w:rPr>
        <w:t>较大</w:t>
      </w:r>
      <w:r>
        <w:t>（表征为Q</w:t>
      </w:r>
      <w:r>
        <w:rPr>
          <w:rFonts w:hint="eastAsia"/>
          <w:lang w:val="en-US" w:eastAsia="zh-CN"/>
        </w:rPr>
        <w:t>2</w:t>
      </w:r>
      <w:r>
        <w:t>-M</w:t>
      </w:r>
      <w:r>
        <w:rPr>
          <w:rFonts w:hint="eastAsia"/>
          <w:lang w:val="en-US" w:eastAsia="zh-CN"/>
        </w:rPr>
        <w:t>1</w:t>
      </w:r>
      <w:r>
        <w:t>-E</w:t>
      </w:r>
      <w:r>
        <w:rPr>
          <w:rFonts w:hint="eastAsia"/>
          <w:lang w:val="en-US" w:eastAsia="zh-CN"/>
        </w:rPr>
        <w:t>1</w:t>
      </w:r>
      <w:r>
        <w:t>）。</w:t>
      </w:r>
    </w:p>
    <w:p>
      <w:pPr>
        <w:pStyle w:val="3"/>
        <w:ind w:left="0" w:leftChars="0" w:firstLine="0" w:firstLineChars="0"/>
        <w:rPr>
          <w:rFonts w:hint="eastAsia"/>
        </w:rPr>
      </w:pPr>
      <w:bookmarkStart w:id="197" w:name="_Toc21346"/>
      <w:r>
        <w:rPr>
          <w:rFonts w:hint="eastAsia"/>
          <w:lang w:val="en-US" w:eastAsia="zh-CN"/>
        </w:rPr>
        <w:t>7.3</w:t>
      </w:r>
      <w:r>
        <w:rPr>
          <w:rFonts w:hint="eastAsia"/>
        </w:rPr>
        <w:t>突发水环境事件风险分级</w:t>
      </w:r>
      <w:bookmarkEnd w:id="197"/>
    </w:p>
    <w:p>
      <w:pPr>
        <w:pStyle w:val="4"/>
        <w:rPr>
          <w:rFonts w:hint="eastAsia"/>
        </w:rPr>
      </w:pPr>
      <w:bookmarkStart w:id="198" w:name="_Toc14065"/>
      <w:r>
        <w:rPr>
          <w:rFonts w:hint="eastAsia"/>
        </w:rPr>
        <w:t>7.</w:t>
      </w:r>
      <w:r>
        <w:rPr>
          <w:rFonts w:hint="eastAsia"/>
          <w:lang w:val="en-US" w:eastAsia="zh-CN"/>
        </w:rPr>
        <w:t>3.</w:t>
      </w:r>
      <w:r>
        <w:rPr>
          <w:rFonts w:hint="eastAsia"/>
        </w:rPr>
        <w:t>1 计算涉水风险物质数量与临界量比值（Q）</w:t>
      </w:r>
      <w:bookmarkEnd w:id="198"/>
    </w:p>
    <w:p>
      <w:pPr>
        <w:rPr>
          <w:rFonts w:hint="eastAsia"/>
        </w:rPr>
      </w:pPr>
      <w:r>
        <w:rPr>
          <w:rFonts w:hint="eastAsia"/>
        </w:rPr>
        <w:t>涉水风险物质包括附录A中的第三、第四、第五、第六、第七和第八部分全部风险物质，</w:t>
      </w:r>
    </w:p>
    <w:p>
      <w:pPr>
        <w:ind w:left="0" w:leftChars="0" w:firstLine="0" w:firstLineChars="0"/>
        <w:rPr>
          <w:rFonts w:hint="eastAsia"/>
        </w:rPr>
      </w:pPr>
      <w:r>
        <w:rPr>
          <w:rFonts w:hint="eastAsia"/>
        </w:rPr>
        <w:t>以及第一、第二部分中溶于水和遇水发生反应的风险物质，具体包括：溶于水的硒化氢、甲</w:t>
      </w:r>
    </w:p>
    <w:p>
      <w:pPr>
        <w:ind w:left="0" w:leftChars="0" w:firstLine="0" w:firstLineChars="0"/>
        <w:rPr>
          <w:rFonts w:hint="eastAsia"/>
        </w:rPr>
      </w:pPr>
      <w:r>
        <w:rPr>
          <w:rFonts w:hint="eastAsia"/>
        </w:rPr>
        <w:t>醛、乙二腈、二氧化氯、氯化氢、氨、环氧乙烷、甲胺、丁烷、二甲胺、一氧化二氯，砷化</w:t>
      </w:r>
    </w:p>
    <w:p>
      <w:pPr>
        <w:ind w:left="0" w:leftChars="0" w:firstLine="0" w:firstLineChars="0"/>
        <w:rPr>
          <w:rFonts w:hint="eastAsia"/>
        </w:rPr>
      </w:pPr>
      <w:r>
        <w:rPr>
          <w:rFonts w:hint="eastAsia"/>
        </w:rPr>
        <w:t>氢、二氧化氮、三甲胺、二氧化硫、三氟化硼、硅烷、溴化氢、氯化氰、乙胺、二甲醚，以</w:t>
      </w:r>
    </w:p>
    <w:p>
      <w:pPr>
        <w:ind w:left="0" w:leftChars="0" w:firstLine="0" w:firstLineChars="0"/>
        <w:rPr>
          <w:rFonts w:hint="eastAsia"/>
        </w:rPr>
      </w:pPr>
      <w:r>
        <w:rPr>
          <w:rFonts w:hint="eastAsia"/>
        </w:rPr>
        <w:t>及遇水发生反应的乙烯酮、氟、四氟化硫、三氟溴乙烯。判断企业生产原料、产品、中间产品、副产品、催化剂、辅助生产物料、“三废”污染物等是否涉及水环境风险物质，计算涉水风险物质（混合或稀释的风险物质按其组分比例折算成纯物质）与其临界量的比值 Q，计算方法同</w:t>
      </w:r>
      <w:r>
        <w:rPr>
          <w:rFonts w:hint="eastAsia"/>
          <w:lang w:val="en-US" w:eastAsia="zh-CN"/>
        </w:rPr>
        <w:t>7.2.1</w:t>
      </w:r>
      <w:r>
        <w:rPr>
          <w:rFonts w:hint="eastAsia"/>
        </w:rPr>
        <w:t xml:space="preserve"> 部分。</w:t>
      </w:r>
    </w:p>
    <w:p>
      <w:pPr>
        <w:pStyle w:val="4"/>
        <w:rPr>
          <w:rFonts w:hint="eastAsia"/>
        </w:rPr>
      </w:pPr>
      <w:bookmarkStart w:id="199" w:name="_Toc6685"/>
      <w:r>
        <w:rPr>
          <w:rFonts w:hint="eastAsia"/>
        </w:rPr>
        <w:t>7.</w:t>
      </w:r>
      <w:r>
        <w:rPr>
          <w:rFonts w:hint="eastAsia"/>
          <w:lang w:val="en-US" w:eastAsia="zh-CN"/>
        </w:rPr>
        <w:t>3.2</w:t>
      </w:r>
      <w:r>
        <w:rPr>
          <w:rFonts w:hint="eastAsia"/>
        </w:rPr>
        <w:t xml:space="preserve"> 生产工艺过程与水环境风险控制水平（M）评估</w:t>
      </w:r>
      <w:bookmarkEnd w:id="199"/>
    </w:p>
    <w:p>
      <w:pPr>
        <w:ind w:left="0" w:leftChars="0" w:firstLine="480" w:firstLineChars="200"/>
        <w:rPr>
          <w:rFonts w:hint="eastAsia"/>
        </w:rPr>
      </w:pPr>
      <w:r>
        <w:rPr>
          <w:rFonts w:hint="eastAsia"/>
        </w:rPr>
        <w:t>采用评分法对企业生产工艺过程、水环境风险防控措施及突发水环境事件发生情况进行评估，将各项分值累加，确定企业生产工艺过程与水环境风险控制水平（M）。</w:t>
      </w:r>
    </w:p>
    <w:p>
      <w:pPr>
        <w:rPr>
          <w:rFonts w:hint="eastAsia"/>
        </w:rPr>
      </w:pPr>
      <w:r>
        <w:rPr>
          <w:rFonts w:hint="eastAsia"/>
        </w:rPr>
        <w:t>7.</w:t>
      </w:r>
      <w:r>
        <w:rPr>
          <w:rFonts w:hint="eastAsia"/>
          <w:lang w:val="en-US" w:eastAsia="zh-CN"/>
        </w:rPr>
        <w:t>3.3</w:t>
      </w:r>
      <w:r>
        <w:rPr>
          <w:rFonts w:hint="eastAsia"/>
        </w:rPr>
        <w:t xml:space="preserve"> 生产工艺过程含有风险工艺和设备情况</w:t>
      </w:r>
    </w:p>
    <w:p>
      <w:pPr>
        <w:rPr>
          <w:rFonts w:hint="eastAsia"/>
        </w:rPr>
      </w:pPr>
      <w:r>
        <w:rPr>
          <w:rFonts w:hint="eastAsia"/>
        </w:rPr>
        <w:t>同</w:t>
      </w:r>
      <w:r>
        <w:rPr>
          <w:rFonts w:hint="eastAsia"/>
          <w:lang w:val="en-US" w:eastAsia="zh-CN"/>
        </w:rPr>
        <w:t>7.2.3</w:t>
      </w:r>
      <w:r>
        <w:rPr>
          <w:rFonts w:hint="eastAsia"/>
        </w:rPr>
        <w:t>部分。</w:t>
      </w:r>
    </w:p>
    <w:p>
      <w:pPr>
        <w:pStyle w:val="4"/>
        <w:rPr>
          <w:rFonts w:hint="eastAsia"/>
        </w:rPr>
      </w:pPr>
      <w:bookmarkStart w:id="200" w:name="_Toc9344"/>
      <w:r>
        <w:rPr>
          <w:rFonts w:hint="eastAsia"/>
        </w:rPr>
        <w:t>7.</w:t>
      </w:r>
      <w:r>
        <w:rPr>
          <w:rFonts w:hint="eastAsia"/>
          <w:lang w:val="en-US" w:eastAsia="zh-CN"/>
        </w:rPr>
        <w:t>3.4</w:t>
      </w:r>
      <w:r>
        <w:rPr>
          <w:rFonts w:hint="eastAsia"/>
        </w:rPr>
        <w:t xml:space="preserve"> 水环境风险防控措施及突发水环境事件发生情况</w:t>
      </w:r>
      <w:bookmarkEnd w:id="200"/>
    </w:p>
    <w:p>
      <w:pPr>
        <w:rPr>
          <w:rFonts w:hint="eastAsia"/>
        </w:rPr>
      </w:pPr>
      <w:r>
        <w:rPr>
          <w:rFonts w:hint="eastAsia"/>
        </w:rPr>
        <w:t>企业水环境风险防控措施及突发水环境事件发生情况评估指标见表6。对各项评估指标分别评分、计算总和，各项指标分值合计最高为70分。</w:t>
      </w:r>
    </w:p>
    <w:p>
      <w:pPr>
        <w:rPr>
          <w:rFonts w:hint="eastAsia"/>
        </w:rPr>
      </w:pPr>
      <w:r>
        <w:rPr>
          <w:rFonts w:hint="eastAsia"/>
        </w:rPr>
        <w:t>表 6 企业水环境风险防控措施及突发水环境事件发生情况评估</w:t>
      </w:r>
    </w:p>
    <w:p>
      <w:pPr>
        <w:rPr>
          <w:rFonts w:hint="eastAsia"/>
        </w:rPr>
      </w:pPr>
    </w:p>
    <w:p>
      <w:pPr>
        <w:rPr>
          <w:rFonts w:hint="eastAsia"/>
        </w:rPr>
      </w:pPr>
    </w:p>
    <w:p>
      <w:pPr>
        <w:ind w:left="0" w:leftChars="0" w:firstLine="0" w:firstLineChars="0"/>
        <w:rPr>
          <w:rFonts w:hint="eastAsia"/>
        </w:rPr>
      </w:pPr>
    </w:p>
    <w:p>
      <w:pPr>
        <w:ind w:left="0" w:leftChars="0" w:right="0" w:rightChars="0" w:firstLine="0" w:firstLineChars="0"/>
        <w:rPr>
          <w:rFonts w:hint="eastAsia"/>
        </w:rPr>
        <w:sectPr>
          <w:pgSz w:w="11910" w:h="16840"/>
          <w:pgMar w:top="1060" w:right="1180" w:bottom="1400" w:left="1202" w:header="0" w:footer="0" w:gutter="0"/>
          <w:pgNumType w:fmt="decimal"/>
          <w:cols w:equalWidth="0" w:num="1">
            <w:col w:w="9530"/>
          </w:cols>
          <w:rtlGutter w:val="0"/>
          <w:docGrid w:linePitch="0" w:charSpace="0"/>
        </w:sectPr>
      </w:pPr>
    </w:p>
    <w:tbl>
      <w:tblPr>
        <w:tblStyle w:val="18"/>
        <w:tblW w:w="151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1"/>
        <w:gridCol w:w="12870"/>
        <w:gridCol w:w="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61" w:type="dxa"/>
          </w:tcPr>
          <w:p>
            <w:pPr>
              <w:ind w:left="0" w:leftChars="0" w:right="0" w:rightChars="0" w:firstLine="0" w:firstLineChars="0"/>
              <w:rPr>
                <w:rFonts w:hint="eastAsia"/>
                <w:vertAlign w:val="baseline"/>
              </w:rPr>
            </w:pPr>
            <w:r>
              <w:rPr>
                <w:rFonts w:hint="eastAsia"/>
              </w:rPr>
              <w:t>评估指标</w:t>
            </w:r>
          </w:p>
        </w:tc>
        <w:tc>
          <w:tcPr>
            <w:tcW w:w="12870" w:type="dxa"/>
          </w:tcPr>
          <w:p>
            <w:pPr>
              <w:ind w:left="0" w:leftChars="0" w:right="0" w:rightChars="0" w:firstLine="480" w:firstLineChars="200"/>
              <w:rPr>
                <w:rFonts w:hint="eastAsia"/>
                <w:vertAlign w:val="baseline"/>
              </w:rPr>
            </w:pPr>
            <w:r>
              <w:rPr>
                <w:rFonts w:hint="eastAsia"/>
              </w:rPr>
              <w:t xml:space="preserve"> 评估依据 </w:t>
            </w:r>
          </w:p>
        </w:tc>
        <w:tc>
          <w:tcPr>
            <w:tcW w:w="840" w:type="dxa"/>
          </w:tcPr>
          <w:p>
            <w:pPr>
              <w:ind w:left="0" w:leftChars="0" w:right="0" w:rightChars="0" w:firstLine="0" w:firstLineChars="0"/>
              <w:rPr>
                <w:rFonts w:hint="eastAsia"/>
                <w:vertAlign w:val="baseline"/>
              </w:rPr>
            </w:pPr>
            <w:r>
              <w:rPr>
                <w:rFonts w:hint="eastAsia"/>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2" w:hRule="atLeast"/>
        </w:trPr>
        <w:tc>
          <w:tcPr>
            <w:tcW w:w="1461" w:type="dxa"/>
            <w:vMerge w:val="restart"/>
          </w:tcPr>
          <w:p>
            <w:pPr>
              <w:ind w:left="0" w:leftChars="0" w:firstLine="0" w:firstLineChars="0"/>
              <w:rPr>
                <w:rFonts w:hint="eastAsia"/>
                <w:vertAlign w:val="baseline"/>
              </w:rPr>
            </w:pPr>
            <w:r>
              <w:rPr>
                <w:rFonts w:hint="eastAsia"/>
                <w:vertAlign w:val="baseline"/>
              </w:rPr>
              <w:t>截流措施</w:t>
            </w:r>
          </w:p>
        </w:tc>
        <w:tc>
          <w:tcPr>
            <w:tcW w:w="12870" w:type="dxa"/>
          </w:tcPr>
          <w:p>
            <w:pPr>
              <w:ind w:left="0" w:leftChars="0" w:firstLine="0" w:firstLineChars="0"/>
              <w:rPr>
                <w:rFonts w:hint="eastAsia"/>
                <w:vertAlign w:val="baseline"/>
              </w:rPr>
            </w:pPr>
            <w:r>
              <w:rPr>
                <w:rFonts w:hint="eastAsia"/>
                <w:vertAlign w:val="baseline"/>
                <w:lang w:eastAsia="zh-CN"/>
              </w:rPr>
              <w:t>（</w:t>
            </w:r>
            <w:r>
              <w:rPr>
                <w:rFonts w:hint="eastAsia"/>
                <w:vertAlign w:val="baseline"/>
              </w:rPr>
              <w:t>1）环境风险单元设防渗漏、防腐蚀、防淋溶、防流失措施；且</w:t>
            </w:r>
          </w:p>
          <w:p>
            <w:pPr>
              <w:ind w:left="0" w:leftChars="0" w:firstLine="0" w:firstLineChars="0"/>
              <w:rPr>
                <w:rFonts w:hint="eastAsia"/>
                <w:vertAlign w:val="baseline"/>
              </w:rPr>
            </w:pPr>
            <w:r>
              <w:rPr>
                <w:rFonts w:hint="eastAsia"/>
                <w:vertAlign w:val="baseline"/>
              </w:rPr>
              <w:t>（2）装置围堰与罐区防火堤（围堰）外设排水切换阀，正常情况下通向雨水系统的阀门关闭，通向事故存液池、应急事故水池、清净废水排放缓冲池或污水处理系统的阀门打开；且</w:t>
            </w:r>
          </w:p>
          <w:p>
            <w:pPr>
              <w:ind w:left="0" w:leftChars="0" w:firstLine="0" w:firstLineChars="0"/>
              <w:rPr>
                <w:rFonts w:hint="eastAsia"/>
                <w:vertAlign w:val="baseline"/>
              </w:rPr>
            </w:pPr>
            <w:r>
              <w:rPr>
                <w:rFonts w:hint="eastAsia"/>
                <w:vertAlign w:val="baseline"/>
              </w:rPr>
              <w:t>（3）前述措施日常管理及维护良好，有专人负责阀门切换或设置自动切换设施，保证初期雨水、泄漏物和受污染的消防水排入污水系统</w:t>
            </w:r>
          </w:p>
        </w:tc>
        <w:tc>
          <w:tcPr>
            <w:tcW w:w="840" w:type="dxa"/>
          </w:tcPr>
          <w:p>
            <w:pPr>
              <w:rPr>
                <w:rFonts w:hint="eastAsia" w:eastAsia="宋体"/>
                <w:vertAlign w:val="baseline"/>
                <w:lang w:val="en-US" w:eastAsia="zh-CN"/>
              </w:rPr>
            </w:pPr>
            <w:r>
              <w:rPr>
                <w:rFonts w:hint="eastAsia"/>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461" w:type="dxa"/>
            <w:vMerge w:val="continue"/>
          </w:tcPr>
          <w:p/>
        </w:tc>
        <w:tc>
          <w:tcPr>
            <w:tcW w:w="12870" w:type="dxa"/>
          </w:tcPr>
          <w:p>
            <w:pPr>
              <w:ind w:left="0" w:leftChars="0" w:firstLine="0" w:firstLineChars="0"/>
              <w:rPr>
                <w:rFonts w:hint="eastAsia"/>
                <w:vertAlign w:val="baseline"/>
              </w:rPr>
            </w:pPr>
            <w:r>
              <w:rPr>
                <w:rFonts w:hint="eastAsia"/>
                <w:vertAlign w:val="baseline"/>
              </w:rPr>
              <w:t>有任意一个环境风险单元（包括可能发生液体泄漏或产生液体泄漏物的危险废物贮存场所）的截流措施不符合上述任意一条要求的</w:t>
            </w:r>
          </w:p>
        </w:tc>
        <w:tc>
          <w:tcPr>
            <w:tcW w:w="840" w:type="dxa"/>
          </w:tcPr>
          <w:p>
            <w:pPr>
              <w:rPr>
                <w:rFonts w:hint="eastAsia" w:eastAsia="宋体"/>
                <w:vertAlign w:val="baseline"/>
                <w:lang w:val="en-US" w:eastAsia="zh-CN"/>
              </w:rPr>
            </w:pPr>
            <w:r>
              <w:rPr>
                <w:rFonts w:hint="eastAsia"/>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4" w:hRule="atLeast"/>
        </w:trPr>
        <w:tc>
          <w:tcPr>
            <w:tcW w:w="1461" w:type="dxa"/>
            <w:vMerge w:val="restart"/>
          </w:tcPr>
          <w:p>
            <w:pPr>
              <w:ind w:left="0" w:leftChars="0" w:firstLine="0" w:firstLineChars="0"/>
              <w:rPr>
                <w:rFonts w:hint="eastAsia"/>
                <w:vertAlign w:val="baseline"/>
              </w:rPr>
            </w:pPr>
            <w:r>
              <w:rPr>
                <w:rFonts w:hint="eastAsia"/>
                <w:vertAlign w:val="baseline"/>
              </w:rPr>
              <w:t>事故废水收集措施</w:t>
            </w:r>
          </w:p>
        </w:tc>
        <w:tc>
          <w:tcPr>
            <w:tcW w:w="12870" w:type="dxa"/>
          </w:tcPr>
          <w:p>
            <w:pPr>
              <w:ind w:left="0" w:leftChars="0" w:firstLine="0" w:firstLineChars="0"/>
              <w:rPr>
                <w:rFonts w:hint="eastAsia"/>
                <w:vertAlign w:val="baseline"/>
              </w:rPr>
            </w:pPr>
            <w:r>
              <w:rPr>
                <w:rFonts w:hint="eastAsia"/>
                <w:vertAlign w:val="baseline"/>
              </w:rPr>
              <w:t>（1）按相关设计规范设置应急事故水池、事故存液池或清净废水排放缓冲池等事故排水收集设施，并根据相关设计规范、下游环境风险受体敏感程度和易发生极端天气情况，设计事故排水收集设施的容量；且</w:t>
            </w:r>
          </w:p>
          <w:p>
            <w:pPr>
              <w:ind w:left="0" w:leftChars="0" w:firstLine="0" w:firstLineChars="0"/>
              <w:rPr>
                <w:rFonts w:hint="eastAsia"/>
                <w:vertAlign w:val="baseline"/>
              </w:rPr>
            </w:pPr>
            <w:r>
              <w:rPr>
                <w:rFonts w:hint="eastAsia"/>
                <w:vertAlign w:val="baseline"/>
              </w:rPr>
              <w:t>（2）确保事故排水收集设施在事故状态下能顺利收集泄漏物和消防水，日常保持足够的事故排水缓冲容量；且</w:t>
            </w:r>
          </w:p>
          <w:p>
            <w:pPr>
              <w:ind w:left="0" w:leftChars="0" w:firstLine="0" w:firstLineChars="0"/>
              <w:rPr>
                <w:rFonts w:hint="eastAsia"/>
                <w:vertAlign w:val="baseline"/>
              </w:rPr>
            </w:pPr>
            <w:r>
              <w:rPr>
                <w:rFonts w:hint="eastAsia"/>
                <w:vertAlign w:val="baseline"/>
              </w:rPr>
              <w:t>（3）通过协议单位或自建管线，能将所收集废水送至厂区内污水处理设施处理</w:t>
            </w:r>
          </w:p>
        </w:tc>
        <w:tc>
          <w:tcPr>
            <w:tcW w:w="840" w:type="dxa"/>
          </w:tcPr>
          <w:p>
            <w:pPr>
              <w:rPr>
                <w:rFonts w:hint="eastAsia" w:eastAsia="宋体"/>
                <w:vertAlign w:val="baseline"/>
                <w:lang w:val="en-US" w:eastAsia="zh-CN"/>
              </w:rPr>
            </w:pPr>
            <w:r>
              <w:rPr>
                <w:rFonts w:hint="eastAsia"/>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4" w:hRule="atLeast"/>
        </w:trPr>
        <w:tc>
          <w:tcPr>
            <w:tcW w:w="1461" w:type="dxa"/>
            <w:vMerge w:val="continue"/>
          </w:tcPr>
          <w:p/>
        </w:tc>
        <w:tc>
          <w:tcPr>
            <w:tcW w:w="12870" w:type="dxa"/>
          </w:tcPr>
          <w:p>
            <w:pPr>
              <w:ind w:left="0" w:leftChars="0" w:firstLine="0" w:firstLineChars="0"/>
              <w:rPr>
                <w:rFonts w:hint="eastAsia"/>
                <w:vertAlign w:val="baseline"/>
              </w:rPr>
            </w:pPr>
            <w:r>
              <w:rPr>
                <w:rFonts w:hint="eastAsia"/>
                <w:vertAlign w:val="baseline"/>
              </w:rPr>
              <w:t>有任意一个环境风险单元（包括可能发生液体泄漏或产生液体泄漏物的危险废物贮存场所）的事故排水收集措施不符合上述任意一条要求的</w:t>
            </w:r>
          </w:p>
        </w:tc>
        <w:tc>
          <w:tcPr>
            <w:tcW w:w="840" w:type="dxa"/>
          </w:tcPr>
          <w:p>
            <w:pPr>
              <w:rPr>
                <w:rFonts w:hint="eastAsia" w:eastAsia="宋体"/>
                <w:vertAlign w:val="baseline"/>
                <w:lang w:val="en-US" w:eastAsia="zh-CN"/>
              </w:rPr>
            </w:pPr>
            <w:r>
              <w:rPr>
                <w:rFonts w:hint="eastAsia"/>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74" w:hRule="atLeast"/>
        </w:trPr>
        <w:tc>
          <w:tcPr>
            <w:tcW w:w="1461" w:type="dxa"/>
            <w:vMerge w:val="restart"/>
          </w:tcPr>
          <w:p>
            <w:pPr>
              <w:ind w:left="0" w:leftChars="0" w:firstLine="0" w:firstLineChars="0"/>
              <w:rPr>
                <w:rFonts w:hint="eastAsia"/>
                <w:vertAlign w:val="baseline"/>
              </w:rPr>
            </w:pPr>
            <w:r>
              <w:rPr>
                <w:rFonts w:hint="eastAsia"/>
                <w:vertAlign w:val="baseline"/>
              </w:rPr>
              <w:t>清净废水系统风险防控措施</w:t>
            </w:r>
          </w:p>
        </w:tc>
        <w:tc>
          <w:tcPr>
            <w:tcW w:w="12870" w:type="dxa"/>
          </w:tcPr>
          <w:p>
            <w:pPr>
              <w:ind w:left="0" w:leftChars="0" w:firstLine="0" w:firstLineChars="0"/>
              <w:rPr>
                <w:rFonts w:hint="eastAsia"/>
                <w:vertAlign w:val="baseline"/>
              </w:rPr>
            </w:pPr>
            <w:r>
              <w:rPr>
                <w:rFonts w:hint="eastAsia"/>
                <w:vertAlign w:val="baseline"/>
                <w:lang w:eastAsia="zh-CN"/>
              </w:rPr>
              <w:t>（</w:t>
            </w:r>
            <w:r>
              <w:rPr>
                <w:rFonts w:hint="eastAsia"/>
                <w:vertAlign w:val="baseline"/>
              </w:rPr>
              <w:t>1）不涉及清净废水；或</w:t>
            </w:r>
          </w:p>
          <w:p>
            <w:pPr>
              <w:ind w:left="0" w:leftChars="0" w:firstLine="0" w:firstLineChars="0"/>
              <w:rPr>
                <w:rFonts w:hint="eastAsia"/>
                <w:vertAlign w:val="baseline"/>
              </w:rPr>
            </w:pPr>
            <w:r>
              <w:rPr>
                <w:rFonts w:hint="eastAsia"/>
                <w:vertAlign w:val="baseline"/>
              </w:rPr>
              <w:t>（2）厂区内清净废水均可排入废水处理系统；或清污分流，且清净废水系统具有下述所有措施：①具有收集受污染的清净废水的缓冲池（或收集池），池内日常保持足够的事故排水缓冲容量；池内设有提升设施或通过自流，能将所收集物送至厂区内污水处理设施处理；且②具有清净废水系统的总排口监视及关闭设施，有专人负责在紧急情况下关闭清净废水总排口，防止受污染的清净废水和泄漏物进入外环境</w:t>
            </w:r>
          </w:p>
        </w:tc>
        <w:tc>
          <w:tcPr>
            <w:tcW w:w="840" w:type="dxa"/>
          </w:tcPr>
          <w:p>
            <w:pPr>
              <w:rPr>
                <w:rFonts w:hint="eastAsia" w:eastAsia="宋体"/>
                <w:vertAlign w:val="baseline"/>
                <w:lang w:val="en-US" w:eastAsia="zh-CN"/>
              </w:rPr>
            </w:pPr>
            <w:r>
              <w:rPr>
                <w:rFonts w:hint="eastAsia"/>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461" w:type="dxa"/>
            <w:vMerge w:val="continue"/>
          </w:tcPr>
          <w:p/>
        </w:tc>
        <w:tc>
          <w:tcPr>
            <w:tcW w:w="12870" w:type="dxa"/>
          </w:tcPr>
          <w:p>
            <w:pPr>
              <w:ind w:left="0" w:leftChars="0" w:firstLine="0" w:firstLineChars="0"/>
              <w:rPr>
                <w:rFonts w:hint="eastAsia"/>
                <w:vertAlign w:val="baseline"/>
              </w:rPr>
            </w:pPr>
            <w:r>
              <w:rPr>
                <w:rFonts w:hint="eastAsia"/>
                <w:vertAlign w:val="baseline"/>
              </w:rPr>
              <w:t>涉及清净废水，有任意一个环境风险单元的清净废水系统风险防控措施不符合上述（2）要求的</w:t>
            </w:r>
          </w:p>
        </w:tc>
        <w:tc>
          <w:tcPr>
            <w:tcW w:w="840" w:type="dxa"/>
          </w:tcPr>
          <w:p>
            <w:pPr>
              <w:rPr>
                <w:rFonts w:hint="eastAsia" w:eastAsia="宋体"/>
                <w:vertAlign w:val="baseline"/>
                <w:lang w:val="en-US" w:eastAsia="zh-CN"/>
              </w:rPr>
            </w:pPr>
            <w:r>
              <w:rPr>
                <w:rFonts w:hint="eastAsia"/>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70" w:hRule="atLeast"/>
        </w:trPr>
        <w:tc>
          <w:tcPr>
            <w:tcW w:w="1461" w:type="dxa"/>
            <w:vMerge w:val="restart"/>
          </w:tcPr>
          <w:p>
            <w:pPr>
              <w:ind w:left="0" w:leftChars="0" w:firstLine="0" w:firstLineChars="0"/>
              <w:rPr>
                <w:rFonts w:hint="eastAsia"/>
                <w:vertAlign w:val="baseline"/>
              </w:rPr>
            </w:pPr>
            <w:r>
              <w:rPr>
                <w:rFonts w:hint="eastAsia"/>
                <w:vertAlign w:val="baseline"/>
              </w:rPr>
              <w:t>雨水排水系统风险防控措施</w:t>
            </w:r>
          </w:p>
        </w:tc>
        <w:tc>
          <w:tcPr>
            <w:tcW w:w="12870" w:type="dxa"/>
          </w:tcPr>
          <w:p>
            <w:pPr>
              <w:ind w:left="0" w:leftChars="0" w:firstLine="0" w:firstLineChars="0"/>
              <w:rPr>
                <w:rFonts w:hint="eastAsia"/>
                <w:vertAlign w:val="baseline"/>
              </w:rPr>
            </w:pPr>
            <w:r>
              <w:rPr>
                <w:rFonts w:hint="eastAsia"/>
                <w:vertAlign w:val="baseline"/>
              </w:rPr>
              <w:t>（1）厂区内雨水均进入废水处理系统；或雨污分流，且雨水排水系统具有下述所有措施：①具有收集初期雨水的收集池或雨水监控池；池出水管上设置切断阀，正常情况下阀门关闭，防止受污染的雨水外排；池内设有提升设施或通过自流，</w:t>
            </w:r>
          </w:p>
          <w:p>
            <w:pPr>
              <w:ind w:left="0" w:leftChars="0" w:firstLine="0" w:firstLineChars="0"/>
              <w:rPr>
                <w:rFonts w:hint="eastAsia"/>
                <w:vertAlign w:val="baseline"/>
              </w:rPr>
            </w:pPr>
            <w:r>
              <w:rPr>
                <w:rFonts w:hint="eastAsia"/>
                <w:vertAlign w:val="baseline"/>
              </w:rPr>
              <w:t>能将所收集物送至厂区内污水处理设施处理；②具有雨水系统总排口（含泄洪渠）监视及关闭设施，在紧急情况下有专人</w:t>
            </w:r>
          </w:p>
          <w:p>
            <w:pPr>
              <w:ind w:left="0" w:leftChars="0" w:firstLine="0" w:firstLineChars="0"/>
              <w:rPr>
                <w:rFonts w:hint="eastAsia"/>
                <w:vertAlign w:val="baseline"/>
              </w:rPr>
            </w:pPr>
            <w:r>
              <w:rPr>
                <w:rFonts w:hint="eastAsia"/>
                <w:vertAlign w:val="baseline"/>
              </w:rPr>
              <w:t>负责关闭雨水系统总排口（含与清净废水共用一套排水系统情况），防止雨水、消防水和泄漏物进入外环境</w:t>
            </w:r>
          </w:p>
          <w:p>
            <w:pPr>
              <w:ind w:left="0" w:leftChars="0" w:firstLine="0" w:firstLineChars="0"/>
              <w:rPr>
                <w:rFonts w:hint="eastAsia"/>
                <w:vertAlign w:val="baseline"/>
              </w:rPr>
            </w:pPr>
            <w:r>
              <w:rPr>
                <w:rFonts w:hint="eastAsia"/>
                <w:vertAlign w:val="baseline"/>
              </w:rPr>
              <w:t>（2）如果有排洪沟，排洪沟不得通过生产区和罐区，或具有防止泄漏物和受污染的消防水等流入区域排洪沟的措施</w:t>
            </w:r>
          </w:p>
        </w:tc>
        <w:tc>
          <w:tcPr>
            <w:tcW w:w="840" w:type="dxa"/>
          </w:tcPr>
          <w:p>
            <w:pPr>
              <w:rPr>
                <w:rFonts w:hint="eastAsia" w:eastAsia="宋体"/>
                <w:vertAlign w:val="baseline"/>
                <w:lang w:val="en-US" w:eastAsia="zh-CN"/>
              </w:rPr>
            </w:pPr>
            <w:r>
              <w:rPr>
                <w:rFonts w:hint="eastAsia"/>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1461" w:type="dxa"/>
            <w:vMerge w:val="continue"/>
          </w:tcPr>
          <w:p/>
        </w:tc>
        <w:tc>
          <w:tcPr>
            <w:tcW w:w="12870" w:type="dxa"/>
          </w:tcPr>
          <w:p>
            <w:pPr>
              <w:rPr>
                <w:rFonts w:hint="eastAsia"/>
                <w:vertAlign w:val="baseline"/>
              </w:rPr>
            </w:pPr>
            <w:r>
              <w:rPr>
                <w:rFonts w:hint="eastAsia"/>
                <w:vertAlign w:val="baseline"/>
              </w:rPr>
              <w:t>不符合上述要求的</w:t>
            </w:r>
          </w:p>
        </w:tc>
        <w:tc>
          <w:tcPr>
            <w:tcW w:w="840" w:type="dxa"/>
          </w:tcPr>
          <w:p>
            <w:pPr>
              <w:rPr>
                <w:rFonts w:hint="eastAsia" w:eastAsia="宋体"/>
                <w:vertAlign w:val="baseline"/>
                <w:lang w:val="en-US" w:eastAsia="zh-CN"/>
              </w:rPr>
            </w:pPr>
            <w:r>
              <w:rPr>
                <w:rFonts w:hint="eastAsia"/>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8" w:hRule="atLeast"/>
        </w:trPr>
        <w:tc>
          <w:tcPr>
            <w:tcW w:w="1461" w:type="dxa"/>
            <w:vMerge w:val="restart"/>
          </w:tcPr>
          <w:p>
            <w:pPr>
              <w:ind w:left="0" w:leftChars="0" w:firstLine="0" w:firstLineChars="0"/>
              <w:rPr>
                <w:rFonts w:hint="eastAsia"/>
                <w:vertAlign w:val="baseline"/>
              </w:rPr>
            </w:pPr>
            <w:r>
              <w:rPr>
                <w:rFonts w:hint="eastAsia"/>
                <w:vertAlign w:val="baseline"/>
              </w:rPr>
              <w:t>生产废水处理系统风险防控措施</w:t>
            </w:r>
          </w:p>
        </w:tc>
        <w:tc>
          <w:tcPr>
            <w:tcW w:w="12870" w:type="dxa"/>
          </w:tcPr>
          <w:p>
            <w:pPr>
              <w:ind w:left="0" w:leftChars="0" w:firstLine="0" w:firstLineChars="0"/>
              <w:rPr>
                <w:rFonts w:hint="eastAsia"/>
                <w:vertAlign w:val="baseline"/>
              </w:rPr>
            </w:pPr>
            <w:r>
              <w:rPr>
                <w:rFonts w:hint="eastAsia"/>
                <w:vertAlign w:val="baseline"/>
              </w:rPr>
              <w:t>（1）无生产废水产生或外排；或</w:t>
            </w:r>
          </w:p>
          <w:p>
            <w:pPr>
              <w:ind w:left="0" w:leftChars="0" w:firstLine="0" w:firstLineChars="0"/>
              <w:rPr>
                <w:rFonts w:hint="eastAsia"/>
                <w:vertAlign w:val="baseline"/>
              </w:rPr>
            </w:pPr>
            <w:r>
              <w:rPr>
                <w:rFonts w:hint="eastAsia"/>
                <w:vertAlign w:val="baseline"/>
              </w:rPr>
              <w:t>（2）有废水外排时：①受污染的循环冷却水、雨水、消防水等排入生产废水系统或独立处理系统；②生产废水排放前设监控池，能够将不合格废水送废水处理设施处理；③如企业受污染的清净废水或雨水进入废水处理系统处理，则废水处理系统应设置事故水缓冲设施；④具有生产废水总排口监视及关闭设施，有专人负责启闭，确保泄漏物、受污染的消防水、不合格废水不排出厂外</w:t>
            </w:r>
          </w:p>
        </w:tc>
        <w:tc>
          <w:tcPr>
            <w:tcW w:w="840" w:type="dxa"/>
          </w:tcPr>
          <w:p>
            <w:pPr>
              <w:rPr>
                <w:rFonts w:hint="eastAsia" w:eastAsia="宋体"/>
                <w:vertAlign w:val="baseline"/>
                <w:lang w:val="en-US" w:eastAsia="zh-CN"/>
              </w:rPr>
            </w:pPr>
            <w:r>
              <w:rPr>
                <w:rFonts w:hint="eastAsia"/>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8" w:hRule="atLeast"/>
        </w:trPr>
        <w:tc>
          <w:tcPr>
            <w:tcW w:w="1461" w:type="dxa"/>
            <w:vMerge w:val="continue"/>
          </w:tcPr>
          <w:p/>
        </w:tc>
        <w:tc>
          <w:tcPr>
            <w:tcW w:w="12870" w:type="dxa"/>
          </w:tcPr>
          <w:p>
            <w:pPr>
              <w:rPr>
                <w:rFonts w:hint="eastAsia"/>
                <w:vertAlign w:val="baseline"/>
              </w:rPr>
            </w:pPr>
            <w:r>
              <w:rPr>
                <w:rFonts w:hint="eastAsia"/>
                <w:vertAlign w:val="baseline"/>
              </w:rPr>
              <w:t>涉及废水外排，且不符合上述（2）中任意一条要求的</w:t>
            </w:r>
          </w:p>
        </w:tc>
        <w:tc>
          <w:tcPr>
            <w:tcW w:w="840" w:type="dxa"/>
          </w:tcPr>
          <w:p>
            <w:pPr>
              <w:rPr>
                <w:rFonts w:hint="eastAsia" w:eastAsia="宋体"/>
                <w:vertAlign w:val="baseline"/>
                <w:lang w:val="en-US" w:eastAsia="zh-CN"/>
              </w:rPr>
            </w:pPr>
            <w:r>
              <w:rPr>
                <w:rFonts w:hint="eastAsia"/>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trPr>
        <w:tc>
          <w:tcPr>
            <w:tcW w:w="1461" w:type="dxa"/>
            <w:vMerge w:val="restart"/>
          </w:tcPr>
          <w:p>
            <w:pPr>
              <w:ind w:left="0" w:leftChars="0" w:firstLine="0" w:firstLineChars="0"/>
              <w:rPr>
                <w:rFonts w:hint="eastAsia"/>
                <w:vertAlign w:val="baseline"/>
              </w:rPr>
            </w:pPr>
            <w:r>
              <w:rPr>
                <w:rFonts w:hint="eastAsia"/>
                <w:vertAlign w:val="baseline"/>
              </w:rPr>
              <w:t>废水排放去向</w:t>
            </w:r>
          </w:p>
        </w:tc>
        <w:tc>
          <w:tcPr>
            <w:tcW w:w="12870" w:type="dxa"/>
          </w:tcPr>
          <w:p>
            <w:pPr>
              <w:ind w:left="0" w:leftChars="0" w:firstLine="0" w:firstLineChars="0"/>
              <w:rPr>
                <w:rFonts w:hint="eastAsia"/>
                <w:vertAlign w:val="baseline"/>
              </w:rPr>
            </w:pPr>
            <w:r>
              <w:rPr>
                <w:rFonts w:hint="eastAsia"/>
                <w:vertAlign w:val="baseline"/>
              </w:rPr>
              <w:t>无生产废水产生或外排</w:t>
            </w:r>
          </w:p>
        </w:tc>
        <w:tc>
          <w:tcPr>
            <w:tcW w:w="840" w:type="dxa"/>
          </w:tcPr>
          <w:p>
            <w:pPr>
              <w:rPr>
                <w:rFonts w:hint="eastAsia" w:eastAsia="宋体"/>
                <w:vertAlign w:val="baseline"/>
                <w:lang w:val="en-US" w:eastAsia="zh-CN"/>
              </w:rPr>
            </w:pPr>
            <w:r>
              <w:rPr>
                <w:rFonts w:hint="eastAsia"/>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trPr>
        <w:tc>
          <w:tcPr>
            <w:tcW w:w="1461" w:type="dxa"/>
            <w:vMerge w:val="continue"/>
          </w:tcPr>
          <w:p/>
        </w:tc>
        <w:tc>
          <w:tcPr>
            <w:tcW w:w="12870" w:type="dxa"/>
          </w:tcPr>
          <w:p>
            <w:pPr>
              <w:ind w:left="0" w:leftChars="0" w:firstLine="0" w:firstLineChars="0"/>
              <w:rPr>
                <w:rFonts w:hint="eastAsia"/>
                <w:vertAlign w:val="baseline"/>
              </w:rPr>
            </w:pPr>
            <w:r>
              <w:rPr>
                <w:rFonts w:hint="eastAsia"/>
                <w:vertAlign w:val="baseline"/>
              </w:rPr>
              <w:t>（1）依法获取污水排入排水管网许可，进入城镇污水处理厂；或</w:t>
            </w:r>
          </w:p>
          <w:p>
            <w:pPr>
              <w:ind w:left="0" w:leftChars="0" w:firstLine="0" w:firstLineChars="0"/>
              <w:rPr>
                <w:rFonts w:hint="eastAsia"/>
                <w:vertAlign w:val="baseline"/>
              </w:rPr>
            </w:pPr>
            <w:r>
              <w:rPr>
                <w:rFonts w:hint="eastAsia"/>
                <w:vertAlign w:val="baseline"/>
              </w:rPr>
              <w:t>（2）进入工业废水集中处理厂；或</w:t>
            </w:r>
          </w:p>
          <w:p>
            <w:pPr>
              <w:ind w:left="0" w:leftChars="0" w:firstLine="0" w:firstLineChars="0"/>
              <w:rPr>
                <w:rFonts w:hint="eastAsia"/>
                <w:vertAlign w:val="baseline"/>
              </w:rPr>
            </w:pPr>
            <w:r>
              <w:rPr>
                <w:rFonts w:hint="eastAsia"/>
                <w:vertAlign w:val="baseline"/>
              </w:rPr>
              <w:t>（3）进入其他单位</w:t>
            </w:r>
          </w:p>
        </w:tc>
        <w:tc>
          <w:tcPr>
            <w:tcW w:w="840" w:type="dxa"/>
          </w:tcPr>
          <w:p>
            <w:pPr>
              <w:rPr>
                <w:rFonts w:hint="eastAsia" w:eastAsia="宋体"/>
                <w:vertAlign w:val="baseline"/>
                <w:lang w:val="en-US" w:eastAsia="zh-CN"/>
              </w:rPr>
            </w:pPr>
            <w:r>
              <w:rPr>
                <w:rFonts w:hint="eastAsia"/>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trPr>
        <w:tc>
          <w:tcPr>
            <w:tcW w:w="1461" w:type="dxa"/>
            <w:vMerge w:val="continue"/>
          </w:tcPr>
          <w:p>
            <w:pPr>
              <w:rPr>
                <w:rFonts w:hint="eastAsia"/>
                <w:vertAlign w:val="baseline"/>
              </w:rPr>
            </w:pPr>
          </w:p>
        </w:tc>
        <w:tc>
          <w:tcPr>
            <w:tcW w:w="12870" w:type="dxa"/>
          </w:tcPr>
          <w:p>
            <w:pPr>
              <w:ind w:left="0" w:leftChars="0" w:firstLine="0" w:firstLineChars="0"/>
              <w:rPr>
                <w:rFonts w:hint="eastAsia"/>
                <w:vertAlign w:val="baseline"/>
              </w:rPr>
            </w:pPr>
            <w:r>
              <w:rPr>
                <w:rFonts w:hint="eastAsia"/>
                <w:vertAlign w:val="baseline"/>
              </w:rPr>
              <w:t>（1）直接进入海域或进入江、河、湖、库等水环境；或</w:t>
            </w:r>
          </w:p>
          <w:p>
            <w:pPr>
              <w:ind w:left="0" w:leftChars="0" w:firstLine="0" w:firstLineChars="0"/>
              <w:rPr>
                <w:rFonts w:hint="eastAsia"/>
                <w:vertAlign w:val="baseline"/>
              </w:rPr>
            </w:pPr>
            <w:r>
              <w:rPr>
                <w:rFonts w:hint="eastAsia"/>
                <w:vertAlign w:val="baseline"/>
              </w:rPr>
              <w:t>（2）进入城市下水道再入江、河、湖、库或再进入海域；或</w:t>
            </w:r>
          </w:p>
          <w:p>
            <w:pPr>
              <w:ind w:left="0" w:leftChars="0" w:firstLine="0" w:firstLineChars="0"/>
              <w:rPr>
                <w:rFonts w:hint="eastAsia"/>
                <w:vertAlign w:val="baseline"/>
              </w:rPr>
            </w:pPr>
            <w:r>
              <w:rPr>
                <w:rFonts w:hint="eastAsia"/>
                <w:vertAlign w:val="baseline"/>
              </w:rPr>
              <w:t>（3）未依法取得污水排入排水管网许可，进入城镇污水处理厂；或</w:t>
            </w:r>
          </w:p>
          <w:p>
            <w:pPr>
              <w:ind w:left="0" w:leftChars="0" w:firstLine="0" w:firstLineChars="0"/>
              <w:rPr>
                <w:rFonts w:hint="eastAsia"/>
                <w:vertAlign w:val="baseline"/>
              </w:rPr>
            </w:pPr>
            <w:r>
              <w:rPr>
                <w:rFonts w:hint="eastAsia"/>
                <w:vertAlign w:val="baseline"/>
              </w:rPr>
              <w:t>（4）直接进入污灌农田或蒸发地</w:t>
            </w:r>
          </w:p>
        </w:tc>
        <w:tc>
          <w:tcPr>
            <w:tcW w:w="840" w:type="dxa"/>
          </w:tcPr>
          <w:p>
            <w:pPr>
              <w:ind w:left="0" w:leftChars="0" w:firstLine="0" w:firstLineChars="0"/>
              <w:rPr>
                <w:rFonts w:hint="eastAsia" w:eastAsia="宋体"/>
                <w:vertAlign w:val="baseline"/>
                <w:lang w:val="en-US" w:eastAsia="zh-CN"/>
              </w:rPr>
            </w:pPr>
            <w:r>
              <w:rPr>
                <w:rFonts w:hint="eastAsia"/>
                <w:vertAlign w:val="baseli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3" w:hRule="atLeast"/>
        </w:trPr>
        <w:tc>
          <w:tcPr>
            <w:tcW w:w="1461" w:type="dxa"/>
            <w:vMerge w:val="restart"/>
          </w:tcPr>
          <w:p>
            <w:pPr>
              <w:ind w:left="0" w:leftChars="0" w:firstLine="0" w:firstLineChars="0"/>
              <w:rPr>
                <w:rFonts w:hint="eastAsia"/>
                <w:vertAlign w:val="baseline"/>
              </w:rPr>
            </w:pPr>
            <w:r>
              <w:rPr>
                <w:rFonts w:hint="eastAsia"/>
                <w:vertAlign w:val="baseline"/>
              </w:rPr>
              <w:t>厂内危险废物环境管理</w:t>
            </w:r>
          </w:p>
        </w:tc>
        <w:tc>
          <w:tcPr>
            <w:tcW w:w="12870" w:type="dxa"/>
          </w:tcPr>
          <w:p>
            <w:pPr>
              <w:ind w:left="0" w:leftChars="0" w:firstLine="0" w:firstLineChars="0"/>
              <w:rPr>
                <w:rFonts w:hint="eastAsia"/>
                <w:vertAlign w:val="baseline"/>
              </w:rPr>
            </w:pPr>
            <w:r>
              <w:rPr>
                <w:rFonts w:hint="eastAsia"/>
                <w:vertAlign w:val="baseline"/>
              </w:rPr>
              <w:t>（1）不涉及危险废物的；或</w:t>
            </w:r>
          </w:p>
          <w:p>
            <w:pPr>
              <w:ind w:left="0" w:leftChars="0" w:firstLine="0" w:firstLineChars="0"/>
              <w:rPr>
                <w:rFonts w:hint="eastAsia"/>
                <w:vertAlign w:val="baseline"/>
              </w:rPr>
            </w:pPr>
            <w:r>
              <w:rPr>
                <w:rFonts w:hint="eastAsia"/>
                <w:vertAlign w:val="baseline"/>
              </w:rPr>
              <w:t>（2）针对危险废物分区贮存、运输、利用、处置具有完善的专业设施和风险防控措施</w:t>
            </w:r>
          </w:p>
        </w:tc>
        <w:tc>
          <w:tcPr>
            <w:tcW w:w="840" w:type="dxa"/>
          </w:tcPr>
          <w:p>
            <w:pPr>
              <w:rPr>
                <w:rFonts w:hint="eastAsia" w:eastAsia="宋体"/>
                <w:vertAlign w:val="baseline"/>
                <w:lang w:val="en-US" w:eastAsia="zh-CN"/>
              </w:rPr>
            </w:pPr>
            <w:r>
              <w:rPr>
                <w:rFonts w:hint="eastAsia"/>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1461" w:type="dxa"/>
            <w:vMerge w:val="continue"/>
          </w:tcPr>
          <w:p/>
        </w:tc>
        <w:tc>
          <w:tcPr>
            <w:tcW w:w="12870" w:type="dxa"/>
          </w:tcPr>
          <w:p>
            <w:pPr>
              <w:rPr>
                <w:rFonts w:hint="eastAsia"/>
                <w:vertAlign w:val="baseline"/>
              </w:rPr>
            </w:pPr>
            <w:r>
              <w:rPr>
                <w:rFonts w:hint="eastAsia"/>
                <w:vertAlign w:val="baseline"/>
              </w:rPr>
              <w:t xml:space="preserve">不具备完善的危险废物贮存、运输、利用、处置设施和风险防控措施 </w:t>
            </w:r>
          </w:p>
        </w:tc>
        <w:tc>
          <w:tcPr>
            <w:tcW w:w="840" w:type="dxa"/>
          </w:tcPr>
          <w:p>
            <w:pPr>
              <w:ind w:left="0" w:leftChars="0" w:firstLine="240" w:firstLineChars="100"/>
              <w:rPr>
                <w:rFonts w:hint="eastAsia" w:eastAsia="宋体"/>
                <w:vertAlign w:val="baseline"/>
                <w:lang w:val="en-US" w:eastAsia="zh-CN"/>
              </w:rPr>
            </w:pPr>
            <w:r>
              <w:rPr>
                <w:rFonts w:hint="eastAsia"/>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trPr>
        <w:tc>
          <w:tcPr>
            <w:tcW w:w="1461" w:type="dxa"/>
            <w:vMerge w:val="restart"/>
          </w:tcPr>
          <w:p>
            <w:pPr>
              <w:ind w:left="0" w:leftChars="0" w:firstLine="0" w:firstLineChars="0"/>
            </w:pPr>
            <w:r>
              <w:rPr>
                <w:rFonts w:hint="eastAsia"/>
              </w:rPr>
              <w:t>近3年内突发水环境事件发生情况</w:t>
            </w:r>
          </w:p>
        </w:tc>
        <w:tc>
          <w:tcPr>
            <w:tcW w:w="12870" w:type="dxa"/>
          </w:tcPr>
          <w:p>
            <w:pPr>
              <w:rPr>
                <w:rFonts w:hint="eastAsia"/>
                <w:vertAlign w:val="baseline"/>
              </w:rPr>
            </w:pPr>
            <w:r>
              <w:rPr>
                <w:rFonts w:hint="eastAsia"/>
                <w:vertAlign w:val="baseline"/>
              </w:rPr>
              <w:t>发生过特别重大及重大等级突发水环境事件的</w:t>
            </w:r>
          </w:p>
        </w:tc>
        <w:tc>
          <w:tcPr>
            <w:tcW w:w="840" w:type="dxa"/>
          </w:tcPr>
          <w:p>
            <w:pPr>
              <w:rPr>
                <w:rFonts w:hint="eastAsia" w:eastAsia="宋体"/>
                <w:vertAlign w:val="baseline"/>
                <w:lang w:val="en-US" w:eastAsia="zh-CN"/>
              </w:rPr>
            </w:pPr>
            <w:r>
              <w:rPr>
                <w:rFonts w:hint="eastAsia"/>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trPr>
        <w:tc>
          <w:tcPr>
            <w:tcW w:w="1461" w:type="dxa"/>
            <w:vMerge w:val="continue"/>
          </w:tcPr>
          <w:p/>
        </w:tc>
        <w:tc>
          <w:tcPr>
            <w:tcW w:w="12870" w:type="dxa"/>
          </w:tcPr>
          <w:p>
            <w:pPr>
              <w:rPr>
                <w:rFonts w:hint="eastAsia"/>
                <w:vertAlign w:val="baseline"/>
              </w:rPr>
            </w:pPr>
            <w:r>
              <w:rPr>
                <w:rFonts w:hint="eastAsia"/>
                <w:vertAlign w:val="baseline"/>
              </w:rPr>
              <w:t xml:space="preserve">发生过较大等级突发水环境事件的 </w:t>
            </w:r>
          </w:p>
        </w:tc>
        <w:tc>
          <w:tcPr>
            <w:tcW w:w="840" w:type="dxa"/>
          </w:tcPr>
          <w:p>
            <w:pPr>
              <w:rPr>
                <w:rFonts w:hint="eastAsia" w:eastAsia="宋体"/>
                <w:vertAlign w:val="baseline"/>
                <w:lang w:val="en-US" w:eastAsia="zh-CN"/>
              </w:rPr>
            </w:pPr>
            <w:r>
              <w:rPr>
                <w:rFonts w:hint="eastAsia"/>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trPr>
        <w:tc>
          <w:tcPr>
            <w:tcW w:w="1461" w:type="dxa"/>
            <w:vMerge w:val="continue"/>
          </w:tcPr>
          <w:p>
            <w:pPr>
              <w:rPr>
                <w:rFonts w:hint="eastAsia"/>
                <w:vertAlign w:val="baseline"/>
              </w:rPr>
            </w:pPr>
          </w:p>
        </w:tc>
        <w:tc>
          <w:tcPr>
            <w:tcW w:w="12870" w:type="dxa"/>
          </w:tcPr>
          <w:p>
            <w:pPr>
              <w:rPr>
                <w:rFonts w:hint="eastAsia"/>
                <w:vertAlign w:val="baseline"/>
              </w:rPr>
            </w:pPr>
            <w:r>
              <w:rPr>
                <w:rFonts w:hint="eastAsia"/>
                <w:vertAlign w:val="baseline"/>
              </w:rPr>
              <w:t>发生过一般等级突发水环境事件的</w:t>
            </w:r>
          </w:p>
        </w:tc>
        <w:tc>
          <w:tcPr>
            <w:tcW w:w="840" w:type="dxa"/>
          </w:tcPr>
          <w:p>
            <w:pPr>
              <w:rPr>
                <w:rFonts w:hint="eastAsia" w:eastAsia="宋体"/>
                <w:vertAlign w:val="baseline"/>
                <w:lang w:val="en-US" w:eastAsia="zh-CN"/>
              </w:rPr>
            </w:pPr>
            <w:r>
              <w:rPr>
                <w:rFonts w:hint="eastAsia"/>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trPr>
        <w:tc>
          <w:tcPr>
            <w:tcW w:w="1461" w:type="dxa"/>
            <w:vMerge w:val="continue"/>
          </w:tcPr>
          <w:p>
            <w:pPr>
              <w:rPr>
                <w:rFonts w:hint="eastAsia"/>
                <w:vertAlign w:val="baseline"/>
              </w:rPr>
            </w:pPr>
          </w:p>
        </w:tc>
        <w:tc>
          <w:tcPr>
            <w:tcW w:w="12870" w:type="dxa"/>
          </w:tcPr>
          <w:p>
            <w:pPr>
              <w:rPr>
                <w:rFonts w:hint="eastAsia"/>
                <w:vertAlign w:val="baseline"/>
              </w:rPr>
            </w:pPr>
            <w:r>
              <w:rPr>
                <w:rFonts w:hint="eastAsia"/>
                <w:vertAlign w:val="baseline"/>
              </w:rPr>
              <w:t>未发生突发水环境事件的</w:t>
            </w:r>
          </w:p>
        </w:tc>
        <w:tc>
          <w:tcPr>
            <w:tcW w:w="840" w:type="dxa"/>
          </w:tcPr>
          <w:p>
            <w:pPr>
              <w:rPr>
                <w:rFonts w:hint="eastAsia" w:eastAsia="宋体"/>
                <w:vertAlign w:val="baseline"/>
                <w:lang w:val="en-US" w:eastAsia="zh-CN"/>
              </w:rPr>
            </w:pPr>
            <w:r>
              <w:rPr>
                <w:rFonts w:hint="eastAsia"/>
                <w:vertAlign w:val="baseline"/>
                <w:lang w:val="en-US" w:eastAsia="zh-CN"/>
              </w:rPr>
              <w:t>0</w:t>
            </w:r>
          </w:p>
        </w:tc>
      </w:tr>
    </w:tbl>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ind w:left="0" w:leftChars="0" w:firstLine="0" w:firstLineChars="0"/>
        <w:rPr>
          <w:rFonts w:hint="eastAsia"/>
        </w:rPr>
      </w:pPr>
    </w:p>
    <w:p>
      <w:pPr>
        <w:rPr>
          <w:rFonts w:hint="eastAsia"/>
        </w:rPr>
      </w:pPr>
    </w:p>
    <w:p>
      <w:pPr>
        <w:rPr>
          <w:rFonts w:hint="eastAsia"/>
        </w:rPr>
      </w:pPr>
    </w:p>
    <w:p>
      <w:pPr>
        <w:spacing w:after="0"/>
        <w:jc w:val="center"/>
        <w:rPr>
          <w:rFonts w:ascii="Times New Roman"/>
          <w:sz w:val="18"/>
        </w:rPr>
        <w:sectPr>
          <w:pgSz w:w="16840" w:h="11910" w:orient="landscape"/>
          <w:pgMar w:top="1202" w:right="1500" w:bottom="1179" w:left="280" w:header="0" w:footer="0" w:gutter="0"/>
          <w:pgNumType w:fmt="decimal"/>
          <w:cols w:space="425" w:num="1"/>
          <w:rtlGutter w:val="0"/>
          <w:docGrid w:linePitch="0" w:charSpace="0"/>
        </w:sectPr>
      </w:pPr>
    </w:p>
    <w:p>
      <w:pPr>
        <w:pStyle w:val="4"/>
        <w:rPr>
          <w:rFonts w:hint="eastAsia"/>
        </w:rPr>
      </w:pPr>
      <w:bookmarkStart w:id="201" w:name="_Toc4435"/>
      <w:r>
        <w:rPr>
          <w:rFonts w:hint="eastAsia"/>
        </w:rPr>
        <w:t>7.</w:t>
      </w:r>
      <w:r>
        <w:rPr>
          <w:rFonts w:hint="eastAsia"/>
          <w:lang w:val="en-US" w:eastAsia="zh-CN"/>
        </w:rPr>
        <w:t>3</w:t>
      </w:r>
      <w:r>
        <w:rPr>
          <w:rFonts w:hint="eastAsia"/>
        </w:rPr>
        <w:t>.</w:t>
      </w:r>
      <w:r>
        <w:rPr>
          <w:rFonts w:hint="eastAsia"/>
          <w:lang w:val="en-US" w:eastAsia="zh-CN"/>
        </w:rPr>
        <w:t>5</w:t>
      </w:r>
      <w:r>
        <w:rPr>
          <w:rFonts w:hint="eastAsia"/>
        </w:rPr>
        <w:t xml:space="preserve"> 企业生产工艺过程与水环境风险控制水平</w:t>
      </w:r>
      <w:bookmarkEnd w:id="201"/>
    </w:p>
    <w:p>
      <w:pPr>
        <w:rPr>
          <w:rFonts w:hint="eastAsia"/>
        </w:rPr>
      </w:pPr>
      <w:r>
        <w:rPr>
          <w:rFonts w:hint="eastAsia"/>
        </w:rPr>
        <w:t>将企业生产工艺过程、水环境风险控制措施及突发水环境事件发生情况各项指标评估分值累加，得出生产工艺过程与水环境风险控制水平值，按照表3划分为4个类型。</w:t>
      </w:r>
    </w:p>
    <w:p>
      <w:pPr>
        <w:pStyle w:val="4"/>
        <w:rPr>
          <w:rFonts w:hint="eastAsia"/>
        </w:rPr>
      </w:pPr>
      <w:bookmarkStart w:id="202" w:name="_Toc28626"/>
      <w:r>
        <w:rPr>
          <w:rFonts w:hint="eastAsia"/>
        </w:rPr>
        <w:t>7.3</w:t>
      </w:r>
      <w:r>
        <w:rPr>
          <w:rFonts w:hint="eastAsia"/>
          <w:lang w:val="en-US" w:eastAsia="zh-CN"/>
        </w:rPr>
        <w:t>.6</w:t>
      </w:r>
      <w:r>
        <w:rPr>
          <w:rFonts w:hint="eastAsia"/>
        </w:rPr>
        <w:t xml:space="preserve"> 水环境风险受体敏感程度（E）评估</w:t>
      </w:r>
      <w:bookmarkEnd w:id="202"/>
    </w:p>
    <w:p>
      <w:pPr>
        <w:rPr>
          <w:rFonts w:hint="eastAsia"/>
        </w:rPr>
      </w:pPr>
      <w:r>
        <w:rPr>
          <w:rFonts w:hint="eastAsia"/>
        </w:rPr>
        <w:t>按照水环境风险受体敏感程度，同时考虑河流跨界的情况和可能造成土壤污染的情况，</w:t>
      </w:r>
    </w:p>
    <w:p>
      <w:pPr>
        <w:rPr>
          <w:rFonts w:hint="eastAsia"/>
        </w:rPr>
      </w:pPr>
      <w:r>
        <w:rPr>
          <w:rFonts w:hint="eastAsia"/>
        </w:rPr>
        <w:t>将水环境风险受体敏感程度类型划分为类型 1、类型 2 和类型 3，分别以 E1、E2 和 E3 表示，见表 7。</w:t>
      </w:r>
    </w:p>
    <w:p>
      <w:pPr>
        <w:rPr>
          <w:rFonts w:hint="eastAsia"/>
        </w:rPr>
      </w:pPr>
      <w:r>
        <w:rPr>
          <w:rFonts w:hint="eastAsia"/>
        </w:rPr>
        <w:t>水环境风险受体敏感程度按类型 1、类型 2 和类型 3 顺序依次降低。若企业周边存在多种敏感程度类型的水环境风险受体，则按敏感程度高者确定企业水环境风险受体敏感程度类型。</w:t>
      </w:r>
    </w:p>
    <w:p>
      <w:pPr>
        <w:rPr>
          <w:rFonts w:hint="eastAsia"/>
        </w:rPr>
      </w:pPr>
      <w:r>
        <w:rPr>
          <w:rFonts w:hint="eastAsia"/>
        </w:rPr>
        <w:t>表 7 水环境风险受体敏感程度类型划分</w:t>
      </w:r>
    </w:p>
    <w:tbl>
      <w:tblPr>
        <w:tblStyle w:val="18"/>
        <w:tblW w:w="9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7"/>
        <w:gridCol w:w="8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3" w:hRule="atLeast"/>
        </w:trPr>
        <w:tc>
          <w:tcPr>
            <w:tcW w:w="1377" w:type="dxa"/>
          </w:tcPr>
          <w:p>
            <w:pPr>
              <w:ind w:left="0" w:leftChars="0" w:firstLine="0" w:firstLineChars="0"/>
              <w:rPr>
                <w:rFonts w:hint="eastAsia"/>
              </w:rPr>
            </w:pPr>
            <w:r>
              <w:rPr>
                <w:rFonts w:hint="eastAsia"/>
              </w:rPr>
              <w:t>敏感程度类型</w:t>
            </w:r>
          </w:p>
        </w:tc>
        <w:tc>
          <w:tcPr>
            <w:tcW w:w="8123" w:type="dxa"/>
          </w:tcPr>
          <w:p>
            <w:pPr>
              <w:rPr>
                <w:rFonts w:hint="eastAsia"/>
              </w:rPr>
            </w:pPr>
            <w:r>
              <w:rPr>
                <w:rFonts w:hint="eastAsia"/>
              </w:rPr>
              <w:t>水环境风险受体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1" w:hRule="atLeast"/>
        </w:trPr>
        <w:tc>
          <w:tcPr>
            <w:tcW w:w="1377" w:type="dxa"/>
          </w:tcPr>
          <w:p>
            <w:pPr>
              <w:ind w:left="0" w:leftChars="0" w:firstLine="0" w:firstLineChars="0"/>
              <w:rPr>
                <w:rFonts w:hint="eastAsia"/>
              </w:rPr>
            </w:pPr>
            <w:r>
              <w:rPr>
                <w:rFonts w:hint="eastAsia"/>
              </w:rPr>
              <w:t>类型1（E1）</w:t>
            </w:r>
          </w:p>
        </w:tc>
        <w:tc>
          <w:tcPr>
            <w:tcW w:w="8123" w:type="dxa"/>
          </w:tcPr>
          <w:p>
            <w:pPr>
              <w:ind w:left="0" w:leftChars="0" w:firstLine="0" w:firstLineChars="0"/>
              <w:rPr>
                <w:rFonts w:hint="eastAsia"/>
              </w:rPr>
            </w:pPr>
            <w:r>
              <w:rPr>
                <w:rFonts w:hint="eastAsia"/>
                <w:lang w:eastAsia="zh-CN"/>
              </w:rPr>
              <w:t>（</w:t>
            </w:r>
            <w:r>
              <w:rPr>
                <w:rFonts w:hint="eastAsia"/>
              </w:rPr>
              <w:t>1）企业雨水排口、清净废水排口、污水排口下游10公里流经范围内有如下一类或多类环境风险受体：集中式地表水、地下水饮用水水源保护区（包括一级保护区、二级保护区及准保护区）；农村及分散式饮用水水源保护区；</w:t>
            </w:r>
          </w:p>
          <w:p>
            <w:pPr>
              <w:ind w:left="0" w:leftChars="0" w:firstLine="0" w:firstLineChars="0"/>
              <w:rPr>
                <w:rFonts w:hint="eastAsia"/>
              </w:rPr>
            </w:pPr>
            <w:r>
              <w:rPr>
                <w:rFonts w:hint="eastAsia"/>
              </w:rPr>
              <w:t>（2）废水排入受纳水体后24小时流经范围（按受纳河流最大日均流速计算）内涉及跨国界的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1" w:hRule="atLeast"/>
        </w:trPr>
        <w:tc>
          <w:tcPr>
            <w:tcW w:w="1377" w:type="dxa"/>
          </w:tcPr>
          <w:p>
            <w:pPr>
              <w:ind w:left="0" w:leftChars="0" w:firstLine="0" w:firstLineChars="0"/>
              <w:rPr>
                <w:rFonts w:hint="eastAsia"/>
              </w:rPr>
            </w:pPr>
            <w:r>
              <w:rPr>
                <w:rFonts w:hint="eastAsia"/>
              </w:rPr>
              <w:t>类型2（E2）</w:t>
            </w:r>
          </w:p>
        </w:tc>
        <w:tc>
          <w:tcPr>
            <w:tcW w:w="8123" w:type="dxa"/>
          </w:tcPr>
          <w:p>
            <w:pPr>
              <w:rPr>
                <w:rFonts w:hint="eastAsia"/>
              </w:rPr>
            </w:pPr>
            <w:r>
              <w:rPr>
                <w:rFonts w:hint="eastAsia"/>
              </w:rPr>
              <w:t>（1）企业雨水排口、清净废水排口、污水排口下游10公里流经范围内有生态保护红线划定的或具有水生态服务功能的其他水生态环境敏感区和脆弱区，如国家公园，国家级和省级水产种质资源保护区，水产养殖区，天然渔场，海水浴场，盐场保护区，国家重要湿地，国家级和地方级海洋特别保护区，国家级和地方级海洋自然保护区，生物多样性保护优先区域，国家级和地方级自然保护区，国家级和省级风景名胜区，世界文化和自然遗产地，国家级和省级森林公园，世界、国家和省级地质公园，基本农田保护区，基</w:t>
            </w:r>
          </w:p>
          <w:p>
            <w:pPr>
              <w:ind w:left="0" w:leftChars="0" w:firstLine="0" w:firstLineChars="0"/>
              <w:rPr>
                <w:rFonts w:hint="eastAsia"/>
              </w:rPr>
            </w:pPr>
            <w:r>
              <w:rPr>
                <w:rFonts w:hint="eastAsia"/>
              </w:rPr>
              <w:t>本草原；</w:t>
            </w:r>
          </w:p>
          <w:p>
            <w:pPr>
              <w:rPr>
                <w:rFonts w:hint="eastAsia"/>
              </w:rPr>
            </w:pPr>
            <w:r>
              <w:rPr>
                <w:rFonts w:hint="eastAsia"/>
              </w:rPr>
              <w:t>（2）企业雨水排口、清净废水排口、污水排口下游10公里流经范围内涉及跨省界的；</w:t>
            </w:r>
          </w:p>
          <w:p>
            <w:pPr>
              <w:rPr>
                <w:rFonts w:hint="eastAsia"/>
              </w:rPr>
            </w:pPr>
            <w:r>
              <w:rPr>
                <w:rFonts w:hint="eastAsia"/>
              </w:rPr>
              <w:t>（3）企业位于溶岩地貌、泄洪区、泥石流多发等地区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3" w:hRule="atLeast"/>
        </w:trPr>
        <w:tc>
          <w:tcPr>
            <w:tcW w:w="1377" w:type="dxa"/>
          </w:tcPr>
          <w:p>
            <w:pPr>
              <w:ind w:left="0" w:leftChars="0" w:firstLine="0" w:firstLineChars="0"/>
              <w:rPr>
                <w:rFonts w:hint="eastAsia" w:eastAsia="宋体"/>
                <w:lang w:eastAsia="zh-CN"/>
              </w:rPr>
            </w:pPr>
            <w:r>
              <w:rPr>
                <w:rFonts w:hint="eastAsia"/>
              </w:rPr>
              <w:t>类型3（E3</w:t>
            </w:r>
            <w:r>
              <w:rPr>
                <w:rFonts w:hint="eastAsia"/>
                <w:lang w:eastAsia="zh-CN"/>
              </w:rPr>
              <w:t>）</w:t>
            </w:r>
          </w:p>
        </w:tc>
        <w:tc>
          <w:tcPr>
            <w:tcW w:w="8123" w:type="dxa"/>
          </w:tcPr>
          <w:p>
            <w:pPr>
              <w:ind w:left="0" w:leftChars="0" w:firstLine="0" w:firstLineChars="0"/>
              <w:rPr>
                <w:rFonts w:hint="eastAsia"/>
              </w:rPr>
            </w:pPr>
            <w:r>
              <w:rPr>
                <w:rFonts w:hint="eastAsia"/>
              </w:rPr>
              <w:t>不涉及类型1和类型2情况的</w:t>
            </w:r>
          </w:p>
        </w:tc>
      </w:tr>
    </w:tbl>
    <w:p>
      <w:pPr>
        <w:pStyle w:val="6"/>
        <w:spacing w:before="35" w:line="348" w:lineRule="auto"/>
        <w:ind w:left="218" w:right="232"/>
        <w:jc w:val="both"/>
        <w:rPr>
          <w:rFonts w:hint="eastAsia"/>
          <w:spacing w:val="-4"/>
        </w:rPr>
      </w:pPr>
    </w:p>
    <w:p>
      <w:pPr>
        <w:pStyle w:val="4"/>
        <w:rPr>
          <w:rFonts w:hint="eastAsia"/>
        </w:rPr>
      </w:pPr>
      <w:bookmarkStart w:id="203" w:name="_Toc19103"/>
      <w:r>
        <w:rPr>
          <w:rFonts w:hint="eastAsia"/>
        </w:rPr>
        <w:t>7.</w:t>
      </w:r>
      <w:r>
        <w:rPr>
          <w:rFonts w:hint="eastAsia"/>
          <w:lang w:val="en-US" w:eastAsia="zh-CN"/>
        </w:rPr>
        <w:t>3.7</w:t>
      </w:r>
      <w:r>
        <w:rPr>
          <w:rFonts w:hint="eastAsia"/>
        </w:rPr>
        <w:t>突发水环境事件风险等级确定</w:t>
      </w:r>
      <w:bookmarkEnd w:id="203"/>
    </w:p>
    <w:p>
      <w:pPr>
        <w:rPr>
          <w:rFonts w:hint="eastAsia"/>
        </w:rPr>
      </w:pPr>
      <w:r>
        <w:rPr>
          <w:rFonts w:hint="eastAsia"/>
        </w:rPr>
        <w:t>根据企业周边水环境风险受体敏感程度（E）、涉水风险物质数量与临界量比值（Q）和生产工艺过程与水环境风险控制水平（M），按照表5确定企业突发水环境事件风险等级。</w:t>
      </w:r>
    </w:p>
    <w:p>
      <w:pPr>
        <w:pStyle w:val="4"/>
        <w:rPr>
          <w:rFonts w:hint="eastAsia"/>
        </w:rPr>
      </w:pPr>
      <w:bookmarkStart w:id="204" w:name="_Toc26573"/>
      <w:r>
        <w:rPr>
          <w:rFonts w:hint="eastAsia"/>
        </w:rPr>
        <w:t>7.</w:t>
      </w:r>
      <w:r>
        <w:rPr>
          <w:rFonts w:hint="eastAsia"/>
          <w:lang w:val="en-US" w:eastAsia="zh-CN"/>
        </w:rPr>
        <w:t>3.8</w:t>
      </w:r>
      <w:r>
        <w:rPr>
          <w:rFonts w:hint="eastAsia"/>
        </w:rPr>
        <w:t xml:space="preserve"> 突发水环境事件风险等级表征</w:t>
      </w:r>
      <w:bookmarkEnd w:id="204"/>
    </w:p>
    <w:p>
      <w:pPr>
        <w:numPr>
          <w:ilvl w:val="0"/>
          <w:numId w:val="0"/>
        </w:numPr>
        <w:ind w:leftChars="200" w:right="0" w:rightChars="0"/>
        <w:rPr>
          <w:rFonts w:hint="eastAsia"/>
          <w:spacing w:val="-20"/>
          <w:w w:val="100"/>
          <w:lang w:val="en-US" w:eastAsia="zh-CN"/>
        </w:rPr>
      </w:pPr>
      <w:r>
        <w:rPr>
          <w:rFonts w:hint="eastAsia"/>
          <w:lang w:eastAsia="zh-CN"/>
        </w:rPr>
        <w:t>（</w:t>
      </w:r>
      <w:r>
        <w:rPr>
          <w:rFonts w:hint="eastAsia"/>
          <w:lang w:val="en-US" w:eastAsia="zh-CN"/>
        </w:rPr>
        <w:t>1</w:t>
      </w:r>
      <w:r>
        <w:rPr>
          <w:rFonts w:hint="eastAsia"/>
          <w:lang w:eastAsia="zh-CN"/>
        </w:rPr>
        <w:t>）企业只涉及一种风险物质是硫氢化钠，它的存在量为</w:t>
      </w:r>
      <w:r>
        <w:rPr>
          <w:rFonts w:hint="eastAsia"/>
          <w:lang w:val="en-US" w:eastAsia="zh-CN"/>
        </w:rPr>
        <w:t>198t</w:t>
      </w:r>
      <w:r>
        <w:rPr>
          <w:spacing w:val="-20"/>
          <w:w w:val="100"/>
        </w:rPr>
        <w:t>，</w:t>
      </w:r>
      <w:r>
        <w:rPr>
          <w:rFonts w:hint="eastAsia"/>
          <w:spacing w:val="-20"/>
          <w:w w:val="100"/>
          <w:lang w:val="en-US" w:eastAsia="zh-CN"/>
        </w:rPr>
        <w:t>Q值为79.2，评为Q2.</w:t>
      </w:r>
    </w:p>
    <w:p>
      <w:pPr>
        <w:numPr>
          <w:ilvl w:val="0"/>
          <w:numId w:val="0"/>
        </w:numPr>
        <w:ind w:leftChars="200" w:right="0" w:rightChars="0"/>
      </w:pPr>
      <w:r>
        <w:rPr>
          <w:rFonts w:hint="eastAsia"/>
          <w:lang w:eastAsia="zh-CN"/>
        </w:rPr>
        <w:t>（</w:t>
      </w:r>
      <w:r>
        <w:rPr>
          <w:rFonts w:hint="eastAsia"/>
          <w:lang w:val="en-US" w:eastAsia="zh-CN"/>
        </w:rPr>
        <w:t>2</w:t>
      </w:r>
      <w:r>
        <w:rPr>
          <w:rFonts w:hint="eastAsia"/>
          <w:lang w:eastAsia="zh-CN"/>
        </w:rPr>
        <w:t>）企业没有清净废水总排口监视系统，雨水排水系统没有提升设施，生</w:t>
      </w:r>
      <w:r>
        <w:t>产工艺过程中</w:t>
      </w:r>
      <w:r>
        <w:rPr>
          <w:rFonts w:hint="eastAsia"/>
          <w:lang w:eastAsia="zh-CN"/>
        </w:rPr>
        <w:t>污水进入污水处理厂处理</w:t>
      </w:r>
      <w:r>
        <w:t xml:space="preserve">，故M 值为 </w:t>
      </w:r>
      <w:r>
        <w:rPr>
          <w:rFonts w:hint="eastAsia"/>
          <w:lang w:val="en-US" w:eastAsia="zh-CN"/>
        </w:rPr>
        <w:t>22</w:t>
      </w:r>
      <w:r>
        <w:t>，评为 M</w:t>
      </w:r>
      <w:r>
        <w:rPr>
          <w:rFonts w:hint="eastAsia"/>
          <w:lang w:val="en-US" w:eastAsia="zh-CN"/>
        </w:rPr>
        <w:t>1</w:t>
      </w:r>
      <w:r>
        <w:t>。</w:t>
      </w:r>
    </w:p>
    <w:p>
      <w:pPr>
        <w:rPr>
          <w:rFonts w:hint="eastAsia" w:eastAsia="宋体"/>
          <w:lang w:val="en-US" w:eastAsia="zh-CN"/>
        </w:rPr>
      </w:pPr>
      <w:r>
        <w:rPr>
          <w:rFonts w:hint="eastAsia"/>
          <w:lang w:eastAsia="zh-CN"/>
        </w:rPr>
        <w:t>（</w:t>
      </w:r>
      <w:r>
        <w:rPr>
          <w:rFonts w:hint="eastAsia"/>
          <w:lang w:val="en-US" w:eastAsia="zh-CN"/>
        </w:rPr>
        <w:t>3）</w:t>
      </w:r>
      <w:r>
        <w:rPr>
          <w:rFonts w:hint="eastAsia" w:ascii="宋体" w:hAnsi="宋体" w:eastAsia="宋体" w:cs="宋体"/>
          <w:sz w:val="24"/>
          <w:szCs w:val="24"/>
        </w:rPr>
        <w:t>企业</w:t>
      </w:r>
      <w:r>
        <w:rPr>
          <w:rFonts w:hint="eastAsia" w:cs="宋体"/>
          <w:sz w:val="24"/>
          <w:szCs w:val="24"/>
          <w:lang w:eastAsia="zh-CN"/>
        </w:rPr>
        <w:t>污水排口</w:t>
      </w:r>
      <w:r>
        <w:rPr>
          <w:rFonts w:hint="eastAsia"/>
        </w:rPr>
        <w:t>不涉及类型1和类型2情况</w:t>
      </w:r>
      <w:r>
        <w:t>，故环境风险受体敏感程度为E</w:t>
      </w:r>
      <w:r>
        <w:rPr>
          <w:rFonts w:hint="eastAsia"/>
          <w:lang w:val="en-US" w:eastAsia="zh-CN"/>
        </w:rPr>
        <w:t>3。</w:t>
      </w:r>
    </w:p>
    <w:p>
      <w:pPr>
        <w:numPr>
          <w:ilvl w:val="0"/>
          <w:numId w:val="0"/>
        </w:numPr>
        <w:ind w:right="0" w:rightChars="0" w:firstLine="480" w:firstLineChars="200"/>
      </w:pPr>
      <w:r>
        <w:rPr>
          <w:rFonts w:hint="eastAsia"/>
          <w:lang w:eastAsia="zh-CN"/>
        </w:rPr>
        <w:t>（</w:t>
      </w:r>
      <w:r>
        <w:rPr>
          <w:rFonts w:hint="eastAsia"/>
          <w:lang w:val="en-US" w:eastAsia="zh-CN"/>
        </w:rPr>
        <w:t>4</w:t>
      </w:r>
      <w:r>
        <w:rPr>
          <w:rFonts w:hint="eastAsia"/>
          <w:lang w:eastAsia="zh-CN"/>
        </w:rPr>
        <w:t>）</w:t>
      </w:r>
      <w:r>
        <w:t>结合上述评估，</w:t>
      </w:r>
      <w:r>
        <w:rPr>
          <w:rFonts w:hint="eastAsia"/>
          <w:lang w:eastAsia="zh-CN"/>
        </w:rPr>
        <w:t>乔旭（九江）企业有限公司</w:t>
      </w:r>
      <w:r>
        <w:t>突发大气环境事件风险等级为</w:t>
      </w:r>
      <w:r>
        <w:rPr>
          <w:rFonts w:hint="eastAsia"/>
          <w:lang w:eastAsia="zh-CN"/>
        </w:rPr>
        <w:t>一般</w:t>
      </w:r>
      <w:r>
        <w:t>（表征为Q</w:t>
      </w:r>
      <w:r>
        <w:rPr>
          <w:rFonts w:hint="eastAsia"/>
          <w:lang w:val="en-US" w:eastAsia="zh-CN"/>
        </w:rPr>
        <w:t>2</w:t>
      </w:r>
      <w:r>
        <w:t>-M</w:t>
      </w:r>
      <w:r>
        <w:rPr>
          <w:rFonts w:hint="eastAsia"/>
          <w:lang w:val="en-US" w:eastAsia="zh-CN"/>
        </w:rPr>
        <w:t>1</w:t>
      </w:r>
      <w:r>
        <w:t>-E</w:t>
      </w:r>
      <w:r>
        <w:rPr>
          <w:rFonts w:hint="eastAsia"/>
          <w:lang w:val="en-US" w:eastAsia="zh-CN"/>
        </w:rPr>
        <w:t>3</w:t>
      </w:r>
      <w:r>
        <w:t>）。</w:t>
      </w:r>
    </w:p>
    <w:p>
      <w:pPr>
        <w:pStyle w:val="3"/>
        <w:rPr>
          <w:rFonts w:hint="eastAsia"/>
        </w:rPr>
      </w:pPr>
      <w:bookmarkStart w:id="205" w:name="_Toc5687"/>
      <w:r>
        <w:rPr>
          <w:rFonts w:hint="eastAsia"/>
          <w:lang w:val="en-US" w:eastAsia="zh-CN"/>
        </w:rPr>
        <w:t>7.4</w:t>
      </w:r>
      <w:r>
        <w:t xml:space="preserve"> </w:t>
      </w:r>
      <w:r>
        <w:rPr>
          <w:rFonts w:hint="eastAsia"/>
        </w:rPr>
        <w:t>风险等级表征</w:t>
      </w:r>
      <w:bookmarkEnd w:id="205"/>
    </w:p>
    <w:p>
      <w:pPr>
        <w:ind w:left="0" w:leftChars="0" w:firstLine="480" w:firstLineChars="200"/>
        <w:rPr>
          <w:rFonts w:hint="eastAsia"/>
          <w:lang w:val="en-US" w:eastAsia="zh-CN"/>
        </w:rPr>
      </w:pPr>
      <w:r>
        <w:rPr>
          <w:rFonts w:hint="eastAsia"/>
          <w:lang w:eastAsia="zh-CN"/>
        </w:rPr>
        <w:t>乔旭（九江）企业有限公司</w:t>
      </w:r>
      <w:r>
        <w:t>同时涉及突发大气和水环境事件风险，突发大气环境事件风险等级</w:t>
      </w:r>
      <w:r>
        <w:rPr>
          <w:rFonts w:hint="eastAsia"/>
          <w:lang w:eastAsia="zh-CN"/>
        </w:rPr>
        <w:t>较大</w:t>
      </w:r>
      <w:r>
        <w:t>（表征为Q</w:t>
      </w:r>
      <w:r>
        <w:rPr>
          <w:rFonts w:hint="eastAsia"/>
          <w:lang w:val="en-US" w:eastAsia="zh-CN"/>
        </w:rPr>
        <w:t>2</w:t>
      </w:r>
      <w:r>
        <w:t>-M</w:t>
      </w:r>
      <w:r>
        <w:rPr>
          <w:rFonts w:hint="eastAsia"/>
          <w:lang w:val="en-US" w:eastAsia="zh-CN"/>
        </w:rPr>
        <w:t>1</w:t>
      </w:r>
      <w:r>
        <w:t>-E</w:t>
      </w:r>
      <w:r>
        <w:rPr>
          <w:rFonts w:hint="eastAsia"/>
          <w:lang w:val="en-US" w:eastAsia="zh-CN"/>
        </w:rPr>
        <w:t>1）</w:t>
      </w:r>
      <w:r>
        <w:t>，突发水环境事件风险等级为</w:t>
      </w:r>
      <w:r>
        <w:rPr>
          <w:rFonts w:hint="eastAsia"/>
          <w:lang w:eastAsia="zh-CN"/>
        </w:rPr>
        <w:t>一般</w:t>
      </w:r>
      <w:r>
        <w:t>（表征为Q</w:t>
      </w:r>
      <w:r>
        <w:rPr>
          <w:rFonts w:hint="eastAsia"/>
          <w:lang w:val="en-US" w:eastAsia="zh-CN"/>
        </w:rPr>
        <w:t>2</w:t>
      </w:r>
      <w:r>
        <w:t>-M</w:t>
      </w:r>
      <w:r>
        <w:rPr>
          <w:rFonts w:hint="eastAsia"/>
          <w:lang w:val="en-US" w:eastAsia="zh-CN"/>
        </w:rPr>
        <w:t>1</w:t>
      </w:r>
      <w:r>
        <w:t>-E</w:t>
      </w:r>
      <w:r>
        <w:rPr>
          <w:rFonts w:hint="eastAsia"/>
          <w:lang w:val="en-US" w:eastAsia="zh-CN"/>
        </w:rPr>
        <w:t>3</w:t>
      </w:r>
      <w:r>
        <w:t>）。故</w:t>
      </w:r>
      <w:r>
        <w:rPr>
          <w:rFonts w:hint="eastAsia"/>
          <w:lang w:eastAsia="zh-CN"/>
        </w:rPr>
        <w:t>乔旭（九江）企业有限公司</w:t>
      </w:r>
      <w:r>
        <w:t>风险等级评估为</w:t>
      </w:r>
      <w:r>
        <w:rPr>
          <w:rFonts w:hint="eastAsia"/>
          <w:lang w:eastAsia="zh-CN"/>
        </w:rPr>
        <w:t>较大</w:t>
      </w:r>
      <w:r>
        <w:t>环境风险源</w:t>
      </w:r>
      <w:r>
        <w:rPr>
          <w:rFonts w:hint="eastAsia"/>
          <w:lang w:val="en-US" w:eastAsia="zh-CN"/>
        </w:rPr>
        <w:t>[较大-大气（</w:t>
      </w:r>
      <w:r>
        <w:t>Q</w:t>
      </w:r>
      <w:r>
        <w:rPr>
          <w:rFonts w:hint="eastAsia"/>
          <w:lang w:val="en-US" w:eastAsia="zh-CN"/>
        </w:rPr>
        <w:t>2</w:t>
      </w:r>
      <w:r>
        <w:t>-M</w:t>
      </w:r>
      <w:r>
        <w:rPr>
          <w:rFonts w:hint="eastAsia"/>
          <w:lang w:val="en-US" w:eastAsia="zh-CN"/>
        </w:rPr>
        <w:t>1</w:t>
      </w:r>
      <w:r>
        <w:t>-E</w:t>
      </w:r>
      <w:r>
        <w:rPr>
          <w:rFonts w:hint="eastAsia"/>
          <w:lang w:val="en-US" w:eastAsia="zh-CN"/>
        </w:rPr>
        <w:t>1）+一般-水（</w:t>
      </w:r>
      <w:r>
        <w:t>Q</w:t>
      </w:r>
      <w:r>
        <w:rPr>
          <w:rFonts w:hint="eastAsia"/>
          <w:lang w:val="en-US" w:eastAsia="zh-CN"/>
        </w:rPr>
        <w:t>2</w:t>
      </w:r>
      <w:r>
        <w:t>-M</w:t>
      </w:r>
      <w:r>
        <w:rPr>
          <w:rFonts w:hint="eastAsia"/>
          <w:lang w:val="en-US" w:eastAsia="zh-CN"/>
        </w:rPr>
        <w:t>1</w:t>
      </w:r>
      <w:r>
        <w:t>-E</w:t>
      </w:r>
      <w:r>
        <w:rPr>
          <w:rFonts w:hint="eastAsia"/>
          <w:lang w:val="en-US" w:eastAsia="zh-CN"/>
        </w:rPr>
        <w:t>3）]。</w:t>
      </w:r>
    </w:p>
    <w:p>
      <w:pPr>
        <w:ind w:left="0" w:leftChars="0" w:firstLine="480" w:firstLineChars="200"/>
        <w:rPr>
          <w:rFonts w:hint="eastAsia"/>
          <w:lang w:val="en-US" w:eastAsia="zh-CN"/>
        </w:rPr>
      </w:pPr>
    </w:p>
    <w:p>
      <w:pPr>
        <w:ind w:left="0" w:leftChars="0" w:firstLine="0" w:firstLineChars="0"/>
        <w:rPr>
          <w:rFonts w:hint="eastAsia"/>
          <w:lang w:val="en-US" w:eastAsia="zh-CN"/>
        </w:rPr>
        <w:sectPr>
          <w:headerReference r:id="rId8" w:type="default"/>
          <w:footerReference r:id="rId9" w:type="default"/>
          <w:pgSz w:w="11910" w:h="16840"/>
          <w:pgMar w:top="1240" w:right="799" w:bottom="960" w:left="1400" w:header="0" w:footer="770" w:gutter="0"/>
          <w:pgNumType w:fmt="decimal"/>
          <w:cols w:equalWidth="0" w:num="1">
            <w:col w:w="9711"/>
          </w:cols>
        </w:sectPr>
      </w:pPr>
    </w:p>
    <w:p>
      <w:pPr>
        <w:ind w:left="0" w:leftChars="0" w:firstLine="0" w:firstLineChars="0"/>
        <w:rPr>
          <w:rFonts w:hint="eastAsia" w:eastAsia="宋体"/>
          <w:color w:val="auto"/>
          <w:sz w:val="24"/>
          <w:lang w:val="en-US" w:eastAsia="zh-CN"/>
        </w:rPr>
      </w:pPr>
      <w:bookmarkStart w:id="206" w:name="7.2.3企业风险等级评估"/>
      <w:bookmarkEnd w:id="206"/>
      <w:bookmarkStart w:id="207" w:name="_bookmark14"/>
      <w:bookmarkEnd w:id="207"/>
      <w:bookmarkStart w:id="208" w:name="8 环境风险评估结论"/>
      <w:bookmarkEnd w:id="208"/>
      <w:bookmarkStart w:id="209" w:name="7.2.2 环境风险物质数量和临界量比值（Q）"/>
      <w:bookmarkEnd w:id="209"/>
    </w:p>
    <w:sectPr>
      <w:headerReference r:id="rId10" w:type="default"/>
      <w:footerReference r:id="rId11" w:type="default"/>
      <w:pgSz w:w="11906" w:h="16838"/>
      <w:pgMar w:top="1440" w:right="1803" w:bottom="1440" w:left="1803" w:header="851" w:footer="992" w:gutter="0"/>
      <w:pgNumType w:fmt="decimal"/>
      <w:cols w:space="0" w:num="1"/>
      <w:rtlGutter w:val="0"/>
      <w:docGrid w:type="line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0AFF" w:usb1="40007843" w:usb2="00000001" w:usb3="00000000" w:csb0="400001BF" w:csb1="DFF7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仿宋_GB2312">
    <w:altName w:val="仿宋"/>
    <w:panose1 w:val="02010609030101010101"/>
    <w:charset w:val="86"/>
    <w:family w:val="modern"/>
    <w:pitch w:val="default"/>
    <w:sig w:usb0="00000000" w:usb1="00000000" w:usb2="00000010" w:usb3="00000000" w:csb0="00040000" w:csb1="00000000"/>
  </w:font>
  <w:font w:name="GB Pinyinok-A">
    <w:altName w:val="Times New Roman"/>
    <w:panose1 w:val="00000000000000000000"/>
    <w:charset w:val="00"/>
    <w:family w:val="roman"/>
    <w:pitch w:val="default"/>
    <w:sig w:usb0="00000000" w:usb1="00000000" w:usb2="00000000" w:usb3="00000000" w:csb0="00040001" w:csb1="00000000"/>
  </w:font>
  <w:font w:name="PMingLiU">
    <w:panose1 w:val="02020500000000000000"/>
    <w:charset w:val="88"/>
    <w:family w:val="auto"/>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mc:AlternateContent>
        <mc:Choice Requires="wps">
          <w:drawing>
            <wp:anchor distT="0" distB="0" distL="114300" distR="114300" simplePos="0" relativeHeight="503169024" behindDoc="1" locked="0" layoutInCell="1" allowOverlap="1">
              <wp:simplePos x="0" y="0"/>
              <wp:positionH relativeFrom="page">
                <wp:posOffset>3739515</wp:posOffset>
              </wp:positionH>
              <wp:positionV relativeFrom="page">
                <wp:posOffset>9881235</wp:posOffset>
              </wp:positionV>
              <wp:extent cx="82550" cy="152400"/>
              <wp:effectExtent l="0" t="0" r="0" b="0"/>
              <wp:wrapNone/>
              <wp:docPr id="55" name="文本框 1"/>
              <wp:cNvGraphicFramePr/>
              <a:graphic xmlns:a="http://schemas.openxmlformats.org/drawingml/2006/main">
                <a:graphicData uri="http://schemas.microsoft.com/office/word/2010/wordprocessingShape">
                  <wps:wsp>
                    <wps:cNvSpPr txBox="1"/>
                    <wps:spPr>
                      <a:xfrm>
                        <a:off x="0" y="0"/>
                        <a:ext cx="82550" cy="152400"/>
                      </a:xfrm>
                      <a:prstGeom prst="rect">
                        <a:avLst/>
                      </a:prstGeom>
                      <a:noFill/>
                      <a:ln w="9525">
                        <a:noFill/>
                      </a:ln>
                    </wps:spPr>
                    <wps:txbx>
                      <w:txbxContent>
                        <w:p>
                          <w:pPr>
                            <w:spacing w:before="12"/>
                            <w:ind w:left="20" w:right="0" w:firstLine="0"/>
                            <w:jc w:val="left"/>
                            <w:rPr>
                              <w:rFonts w:ascii="Times New Roman"/>
                              <w:sz w:val="18"/>
                            </w:rPr>
                          </w:pPr>
                          <w:r>
                            <w:rPr>
                              <w:rFonts w:ascii="Times New Roman"/>
                              <w:sz w:val="18"/>
                            </w:rPr>
                            <w:t>1</w:t>
                          </w:r>
                        </w:p>
                      </w:txbxContent>
                    </wps:txbx>
                    <wps:bodyPr lIns="0" tIns="0" rIns="0" bIns="0" upright="1"/>
                  </wps:wsp>
                </a:graphicData>
              </a:graphic>
            </wp:anchor>
          </w:drawing>
        </mc:Choice>
        <mc:Fallback>
          <w:pict>
            <v:shape id="文本框 1" o:spid="_x0000_s1026" o:spt="202" type="#_x0000_t202" style="position:absolute;left:0pt;margin-left:294.45pt;margin-top:778.05pt;height:12pt;width:6.5pt;mso-position-horizontal-relative:page;mso-position-vertical-relative:page;z-index:-147456;mso-width-relative:page;mso-height-relative:page;" filled="f" stroked="f" coordsize="21600,21600" o:gfxdata="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WKwYatkAAAANAQAA&#10;DwAAAAAAAAABACAAAAAiAAAAZHJzL2Rvd25yZXYueG1sUEsBAhQAFAAAAAgAh07iQEXuSuymAQAA&#10;LAMAAA4AAAAAAAAAAQAgAAAAKAEAAGRycy9lMm9Eb2MueG1sUEsFBgAAAAAGAAYAWQEAAEAFAAAA&#10;AA==&#10;">
              <v:fill on="f" focussize="0,0"/>
              <v:stroke on="f"/>
              <v:imagedata o:title=""/>
              <o:lock v:ext="edit" aspectratio="f"/>
              <v:textbox inset="0mm,0mm,0mm,0mm">
                <w:txbxContent>
                  <w:p>
                    <w:pPr>
                      <w:spacing w:before="12"/>
                      <w:ind w:left="20" w:right="0" w:firstLine="0"/>
                      <w:jc w:val="left"/>
                      <w:rPr>
                        <w:rFonts w:ascii="Times New Roman"/>
                        <w:sz w:val="18"/>
                      </w:rPr>
                    </w:pPr>
                    <w:r>
                      <w:rPr>
                        <w:rFonts w:ascii="Times New Roman"/>
                        <w:sz w:val="18"/>
                      </w:rPr>
                      <w:t>1</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mc:AlternateContent>
        <mc:Choice Requires="wps">
          <w:drawing>
            <wp:anchor distT="0" distB="0" distL="114300" distR="114300" simplePos="0" relativeHeight="503169024" behindDoc="1" locked="0" layoutInCell="1" allowOverlap="1">
              <wp:simplePos x="0" y="0"/>
              <wp:positionH relativeFrom="page">
                <wp:posOffset>3739515</wp:posOffset>
              </wp:positionH>
              <wp:positionV relativeFrom="page">
                <wp:posOffset>9881235</wp:posOffset>
              </wp:positionV>
              <wp:extent cx="82550" cy="152400"/>
              <wp:effectExtent l="0" t="0" r="0" b="0"/>
              <wp:wrapNone/>
              <wp:docPr id="56" name="文本框 2"/>
              <wp:cNvGraphicFramePr/>
              <a:graphic xmlns:a="http://schemas.openxmlformats.org/drawingml/2006/main">
                <a:graphicData uri="http://schemas.microsoft.com/office/word/2010/wordprocessingShape">
                  <wps:wsp>
                    <wps:cNvSpPr txBox="1"/>
                    <wps:spPr>
                      <a:xfrm>
                        <a:off x="0" y="0"/>
                        <a:ext cx="82550" cy="152400"/>
                      </a:xfrm>
                      <a:prstGeom prst="rect">
                        <a:avLst/>
                      </a:prstGeom>
                      <a:noFill/>
                      <a:ln w="9525">
                        <a:noFill/>
                      </a:ln>
                    </wps:spPr>
                    <wps:txbx>
                      <w:txbxContent>
                        <w:p>
                          <w:pPr>
                            <w:spacing w:before="12"/>
                            <w:ind w:left="20" w:right="0" w:firstLine="0"/>
                            <w:jc w:val="left"/>
                            <w:rPr>
                              <w:rFonts w:ascii="Times New Roman"/>
                              <w:sz w:val="18"/>
                            </w:rPr>
                          </w:pPr>
                          <w:r>
                            <w:rPr>
                              <w:rFonts w:ascii="Times New Roman"/>
                              <w:sz w:val="18"/>
                            </w:rPr>
                            <w:t>2</w:t>
                          </w:r>
                        </w:p>
                      </w:txbxContent>
                    </wps:txbx>
                    <wps:bodyPr lIns="0" tIns="0" rIns="0" bIns="0" upright="1"/>
                  </wps:wsp>
                </a:graphicData>
              </a:graphic>
            </wp:anchor>
          </w:drawing>
        </mc:Choice>
        <mc:Fallback>
          <w:pict>
            <v:shape id="文本框 2" o:spid="_x0000_s1026" o:spt="202" type="#_x0000_t202" style="position:absolute;left:0pt;margin-left:294.45pt;margin-top:778.05pt;height:12pt;width:6.5pt;mso-position-horizontal-relative:page;mso-position-vertical-relative:page;z-index:-147456;mso-width-relative:page;mso-height-relative:page;" filled="f" stroked="f" coordsize="21600,21600" o:gfxdata="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WKwYatkAAAANAQAA&#10;DwAAAAAAAAABACAAAAAiAAAAZHJzL2Rvd25yZXYueG1sUEsBAhQAFAAAAAgAh07iQEhBoUumAQAA&#10;LAMAAA4AAAAAAAAAAQAgAAAAKAEAAGRycy9lMm9Eb2MueG1sUEsFBgAAAAAGAAYAWQEAAEAFAAAA&#10;AA==&#10;">
              <v:fill on="f" focussize="0,0"/>
              <v:stroke on="f"/>
              <v:imagedata o:title=""/>
              <o:lock v:ext="edit" aspectratio="f"/>
              <v:textbox inset="0mm,0mm,0mm,0mm">
                <w:txbxContent>
                  <w:p>
                    <w:pPr>
                      <w:spacing w:before="12"/>
                      <w:ind w:left="20" w:right="0" w:firstLine="0"/>
                      <w:jc w:val="left"/>
                      <w:rPr>
                        <w:rFonts w:ascii="Times New Roman"/>
                        <w:sz w:val="18"/>
                      </w:rPr>
                    </w:pPr>
                    <w:r>
                      <w:rPr>
                        <w:rFonts w:ascii="Times New Roman"/>
                        <w:sz w:val="18"/>
                      </w:rPr>
                      <w:t>2</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sz w:val="28"/>
      </w:rPr>
      <mc:AlternateContent>
        <mc:Choice Requires="wps">
          <w:drawing>
            <wp:anchor distT="0" distB="0" distL="114300" distR="114300" simplePos="0" relativeHeight="75477196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7547719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mc:Fallback>
      </mc:AlternateContent>
    </w:r>
    <w:r>
      <mc:AlternateContent>
        <mc:Choice Requires="wps">
          <w:drawing>
            <wp:anchor distT="0" distB="0" distL="114300" distR="114300" simplePos="0" relativeHeight="754770944" behindDoc="1" locked="0" layoutInCell="1" allowOverlap="1">
              <wp:simplePos x="0" y="0"/>
              <wp:positionH relativeFrom="page">
                <wp:posOffset>3739515</wp:posOffset>
              </wp:positionH>
              <wp:positionV relativeFrom="page">
                <wp:posOffset>9881235</wp:posOffset>
              </wp:positionV>
              <wp:extent cx="82550" cy="1524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82550" cy="152400"/>
                      </a:xfrm>
                      <a:prstGeom prst="rect">
                        <a:avLst/>
                      </a:prstGeom>
                      <a:noFill/>
                      <a:ln w="9525">
                        <a:noFill/>
                      </a:ln>
                    </wps:spPr>
                    <wps:txbx>
                      <w:txbxContent>
                        <w:p>
                          <w:pPr>
                            <w:spacing w:before="12"/>
                            <w:ind w:left="20" w:right="0" w:firstLine="0"/>
                            <w:jc w:val="left"/>
                            <w:rPr>
                              <w:rFonts w:ascii="Times New Roman"/>
                              <w:sz w:val="18"/>
                            </w:rPr>
                          </w:pPr>
                          <w:r>
                            <w:rPr>
                              <w:rFonts w:ascii="Times New Roman"/>
                              <w:sz w:val="18"/>
                            </w:rPr>
                            <w:t>1</w:t>
                          </w:r>
                        </w:p>
                      </w:txbxContent>
                    </wps:txbx>
                    <wps:bodyPr lIns="0" tIns="0" rIns="0" bIns="0" upright="1"/>
                  </wps:wsp>
                </a:graphicData>
              </a:graphic>
            </wp:anchor>
          </w:drawing>
        </mc:Choice>
        <mc:Fallback>
          <w:pict>
            <v:shape id="文本框 1" o:spid="_x0000_s1026" o:spt="202" type="#_x0000_t202" style="position:absolute;left:0pt;margin-left:294.45pt;margin-top:778.05pt;height:12pt;width:6.5pt;mso-position-horizontal-relative:page;mso-position-vertical-relative:page;z-index:251454464;mso-width-relative:page;mso-height-relative:page;" filled="f" stroked="f" coordsize="21600,21600" o:gfxdata="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BYrBhq2QAAAA0BAAAP&#10;AAAAAAAAAAEAIAAAACIAAABkcnMvZG93bnJldi54bWxQSwECFAAUAAAACACHTuJAQHQ4JKUBAAAr&#10;AwAADgAAAAAAAAABACAAAAAoAQAAZHJzL2Uyb0RvYy54bWxQSwUGAAAAAAYABgBZAQAAPwUAAAAA&#10;">
              <v:fill on="f" focussize="0,0"/>
              <v:stroke on="f"/>
              <v:imagedata o:title=""/>
              <o:lock v:ext="edit" aspectratio="f"/>
              <v:textbox inset="0mm,0mm,0mm,0mm">
                <w:txbxContent>
                  <w:p>
                    <w:pPr>
                      <w:spacing w:before="12"/>
                      <w:ind w:left="20" w:right="0" w:firstLine="0"/>
                      <w:jc w:val="left"/>
                      <w:rPr>
                        <w:rFonts w:ascii="Times New Roman"/>
                        <w:sz w:val="18"/>
                      </w:rPr>
                    </w:pPr>
                    <w:r>
                      <w:rPr>
                        <w:rFonts w:ascii="Times New Roman"/>
                        <w:sz w:val="18"/>
                      </w:rPr>
                      <w:t>1</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mc:AlternateContent>
        <mc:Choice Requires="wps">
          <w:drawing>
            <wp:anchor distT="0" distB="0" distL="114300" distR="114300" simplePos="0" relativeHeight="503259136" behindDoc="0" locked="0" layoutInCell="1" allowOverlap="1">
              <wp:simplePos x="0" y="0"/>
              <wp:positionH relativeFrom="margin">
                <wp:posOffset>2459990</wp:posOffset>
              </wp:positionH>
              <wp:positionV relativeFrom="page">
                <wp:posOffset>9683115</wp:posOffset>
              </wp:positionV>
              <wp:extent cx="575310" cy="34353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75310" cy="343535"/>
                      </a:xfrm>
                      <a:prstGeom prst="rect">
                        <a:avLst/>
                      </a:prstGeom>
                      <a:noFill/>
                      <a:ln w="9525">
                        <a:noFill/>
                      </a:ln>
                    </wps:spPr>
                    <wps:txbx>
                      <w:txbxContent>
                        <w:p>
                          <w:pPr>
                            <w:spacing w:before="10"/>
                            <w:ind w:left="40" w:right="0" w:firstLine="0"/>
                            <w:jc w:val="left"/>
                            <w:rPr>
                              <w:rFonts w:ascii="Times New Roman"/>
                              <w:sz w:val="21"/>
                            </w:rPr>
                          </w:pPr>
                          <w:r>
                            <w:fldChar w:fldCharType="begin"/>
                          </w:r>
                          <w:r>
                            <w:rPr>
                              <w:rFonts w:ascii="Times New Roman"/>
                              <w:sz w:val="21"/>
                            </w:rPr>
                            <w:instrText xml:space="preserve"> PAGE </w:instrText>
                          </w:r>
                          <w:r>
                            <w:fldChar w:fldCharType="separate"/>
                          </w:r>
                          <w:r>
                            <w:t>10</w:t>
                          </w:r>
                          <w:r>
                            <w:fldChar w:fldCharType="end"/>
                          </w:r>
                        </w:p>
                      </w:txbxContent>
                    </wps:txbx>
                    <wps:bodyPr lIns="0" tIns="0" rIns="0" bIns="0" upright="1"/>
                  </wps:wsp>
                </a:graphicData>
              </a:graphic>
            </wp:anchor>
          </w:drawing>
        </mc:Choice>
        <mc:Fallback>
          <w:pict>
            <v:shape id="_x0000_s1026" o:spid="_x0000_s1026" o:spt="202" type="#_x0000_t202" style="position:absolute;left:0pt;margin-left:193.7pt;margin-top:762.45pt;height:27.05pt;width:45.3pt;mso-position-horizontal-relative:margin;mso-position-vertical-relative:page;z-index:503259136;mso-width-relative:page;mso-height-relative:page;" filled="f" stroked="f" coordsize="21600,21600" o:gfxdata="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pZayl9sAAAAN&#10;AQAADwAAAAAAAAABACAAAAAiAAAAZHJzL2Rvd25yZXYueG1sUEsBAhQAFAAAAAgAh07iQGOFbTin&#10;AQAALAMAAA4AAAAAAAAAAQAgAAAAKgEAAGRycy9lMm9Eb2MueG1sUEsFBgAAAAAGAAYAWQEAAEMF&#10;AAAAAA==&#10;">
              <v:fill on="f" focussize="0,0"/>
              <v:stroke on="f"/>
              <v:imagedata o:title=""/>
              <o:lock v:ext="edit" aspectratio="f"/>
              <v:textbox inset="0mm,0mm,0mm,0mm">
                <w:txbxContent>
                  <w:p>
                    <w:pPr>
                      <w:spacing w:before="10"/>
                      <w:ind w:left="40" w:right="0" w:firstLine="0"/>
                      <w:jc w:val="left"/>
                      <w:rPr>
                        <w:rFonts w:ascii="Times New Roman"/>
                        <w:sz w:val="21"/>
                      </w:rPr>
                    </w:pPr>
                    <w:r>
                      <w:fldChar w:fldCharType="begin"/>
                    </w:r>
                    <w:r>
                      <w:rPr>
                        <w:rFonts w:ascii="Times New Roman"/>
                        <w:sz w:val="21"/>
                      </w:rPr>
                      <w:instrText xml:space="preserve"> PAGE </w:instrText>
                    </w:r>
                    <w:r>
                      <w:fldChar w:fldCharType="separate"/>
                    </w:r>
                    <w:r>
                      <w:t>10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mc:AlternateContent>
        <mc:Choice Requires="wps">
          <w:drawing>
            <wp:anchor distT="0" distB="0" distL="114300" distR="114300" simplePos="0" relativeHeight="503170048" behindDoc="1" locked="0" layoutInCell="1" allowOverlap="1">
              <wp:simplePos x="0" y="0"/>
              <wp:positionH relativeFrom="page">
                <wp:posOffset>3698240</wp:posOffset>
              </wp:positionH>
              <wp:positionV relativeFrom="page">
                <wp:posOffset>9789795</wp:posOffset>
              </wp:positionV>
              <wp:extent cx="167005" cy="152400"/>
              <wp:effectExtent l="0" t="0" r="0" b="0"/>
              <wp:wrapNone/>
              <wp:docPr id="65" name="文本框 11"/>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w="9525">
                        <a:noFill/>
                      </a:ln>
                    </wps:spPr>
                    <wps:txbx>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54</w:t>
                          </w:r>
                          <w:r>
                            <w:fldChar w:fldCharType="end"/>
                          </w:r>
                        </w:p>
                      </w:txbxContent>
                    </wps:txbx>
                    <wps:bodyPr lIns="0" tIns="0" rIns="0" bIns="0" upright="1"/>
                  </wps:wsp>
                </a:graphicData>
              </a:graphic>
            </wp:anchor>
          </w:drawing>
        </mc:Choice>
        <mc:Fallback>
          <w:pict>
            <v:shape id="文本框 11" o:spid="_x0000_s1026" o:spt="202" type="#_x0000_t202" style="position:absolute;left:0pt;margin-left:291.2pt;margin-top:770.85pt;height:12pt;width:13.15pt;mso-position-horizontal-relative:page;mso-position-vertical-relative:page;z-index:-146432;mso-width-relative:page;mso-height-relative:page;" filled="f" stroked="f" coordsize="21600,21600" o:gfxdata="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NT/eq9sAAAAN&#10;AQAADwAAAAAAAAABACAAAAAiAAAAZHJzL2Rvd25yZXYueG1sUEsBAhQAFAAAAAgAh07iQHNQ3r2n&#10;AQAALgMAAA4AAAAAAAAAAQAgAAAAKgEAAGRycy9lMm9Eb2MueG1sUEsFBgAAAAAGAAYAWQEAAEMF&#10;AAAAAA==&#10;">
              <v:fill on="f" focussize="0,0"/>
              <v:stroke on="f"/>
              <v:imagedata o:title=""/>
              <o:lock v:ext="edit" aspectratio="f"/>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54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mc:AlternateContent>
        <mc:Choice Requires="wps">
          <w:drawing>
            <wp:anchor distT="0" distB="0" distL="114300" distR="114300" simplePos="0" relativeHeight="503259136" behindDoc="0" locked="0" layoutInCell="1" allowOverlap="1">
              <wp:simplePos x="0" y="0"/>
              <wp:positionH relativeFrom="margin">
                <wp:align>center</wp:align>
              </wp:positionH>
              <wp:positionV relativeFrom="page">
                <wp:posOffset>10063480</wp:posOffset>
              </wp:positionV>
              <wp:extent cx="117475" cy="172720"/>
              <wp:effectExtent l="0" t="0" r="0" b="0"/>
              <wp:wrapNone/>
              <wp:docPr id="62" name="文本框 10"/>
              <wp:cNvGraphicFramePr/>
              <a:graphic xmlns:a="http://schemas.openxmlformats.org/drawingml/2006/main">
                <a:graphicData uri="http://schemas.microsoft.com/office/word/2010/wordprocessingShape">
                  <wps:wsp>
                    <wps:cNvSpPr txBox="1"/>
                    <wps:spPr>
                      <a:xfrm>
                        <a:off x="0" y="0"/>
                        <a:ext cx="117475" cy="172720"/>
                      </a:xfrm>
                      <a:prstGeom prst="rect">
                        <a:avLst/>
                      </a:prstGeom>
                      <a:noFill/>
                      <a:ln w="9525">
                        <a:noFill/>
                      </a:ln>
                    </wps:spPr>
                    <wps:txbx>
                      <w:txbxContent>
                        <w:p>
                          <w:pPr>
                            <w:spacing w:before="10"/>
                            <w:ind w:left="40" w:right="0" w:firstLine="0"/>
                            <w:jc w:val="left"/>
                            <w:rPr>
                              <w:rFonts w:ascii="Times New Roman"/>
                              <w:sz w:val="21"/>
                            </w:rPr>
                          </w:pPr>
                          <w:r>
                            <w:fldChar w:fldCharType="begin"/>
                          </w:r>
                          <w:r>
                            <w:rPr>
                              <w:rFonts w:ascii="Times New Roman"/>
                              <w:w w:val="99"/>
                              <w:sz w:val="21"/>
                            </w:rPr>
                            <w:instrText xml:space="preserve"> PAGE </w:instrText>
                          </w:r>
                          <w:r>
                            <w:fldChar w:fldCharType="separate"/>
                          </w:r>
                          <w:r>
                            <w:t>2</w:t>
                          </w:r>
                          <w:r>
                            <w:fldChar w:fldCharType="end"/>
                          </w:r>
                        </w:p>
                      </w:txbxContent>
                    </wps:txbx>
                    <wps:bodyPr lIns="0" tIns="0" rIns="0" bIns="0" upright="1"/>
                  </wps:wsp>
                </a:graphicData>
              </a:graphic>
            </wp:anchor>
          </w:drawing>
        </mc:Choice>
        <mc:Fallback>
          <w:pict>
            <v:shape id="文本框 10" o:spid="_x0000_s1026" o:spt="202" type="#_x0000_t202" style="position:absolute;left:0pt;margin-top:792.4pt;height:13.6pt;width:9.25pt;mso-position-horizontal:center;mso-position-horizontal-relative:margin;mso-position-vertical-relative:page;z-index:503259136;mso-width-relative:page;mso-height-relative:page;" filled="f" stroked="f" coordsize="21600,21600" o:gfxdata="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A/4NkPYAAAACQEA&#10;AA8AAAAAAAAAAQAgAAAAIgAAAGRycy9kb3ducmV2LnhtbFBLAQIUABQAAAAIAIdO4kCrKMJUqAEA&#10;AC4DAAAOAAAAAAAAAAEAIAAAACcBAABkcnMvZTJvRG9jLnhtbFBLBQYAAAAABgAGAFkBAABBBQAA&#10;AAA=&#10;">
              <v:fill on="f" focussize="0,0"/>
              <v:stroke on="f"/>
              <v:imagedata o:title=""/>
              <o:lock v:ext="edit" aspectratio="f"/>
              <v:textbox inset="0mm,0mm,0mm,0mm">
                <w:txbxContent>
                  <w:p>
                    <w:pPr>
                      <w:spacing w:before="10"/>
                      <w:ind w:left="40" w:right="0" w:firstLine="0"/>
                      <w:jc w:val="left"/>
                      <w:rPr>
                        <w:rFonts w:ascii="Times New Roman"/>
                        <w:sz w:val="21"/>
                      </w:rPr>
                    </w:pPr>
                    <w:r>
                      <w:fldChar w:fldCharType="begin"/>
                    </w:r>
                    <w:r>
                      <w:rPr>
                        <w:rFonts w:ascii="Times New Roman"/>
                        <w:w w:val="99"/>
                        <w:sz w:val="21"/>
                      </w:rPr>
                      <w:instrText xml:space="preserve"> PAGE </w:instrText>
                    </w:r>
                    <w:r>
                      <w:fldChar w:fldCharType="separate"/>
                    </w:r>
                    <w:r>
                      <w:t>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mc:AlternateContent>
        <mc:Choice Requires="wps">
          <w:drawing>
            <wp:anchor distT="0" distB="0" distL="114300" distR="114300" simplePos="0" relativeHeight="503169024" behindDoc="0" locked="0" layoutInCell="1" allowOverlap="1">
              <wp:simplePos x="0" y="0"/>
              <wp:positionH relativeFrom="margin">
                <wp:align>center</wp:align>
              </wp:positionH>
              <wp:positionV relativeFrom="page">
                <wp:posOffset>9881235</wp:posOffset>
              </wp:positionV>
              <wp:extent cx="157480" cy="152400"/>
              <wp:effectExtent l="0" t="0" r="0" b="0"/>
              <wp:wrapNone/>
              <wp:docPr id="57" name="文本框 3"/>
              <wp:cNvGraphicFramePr/>
              <a:graphic xmlns:a="http://schemas.openxmlformats.org/drawingml/2006/main">
                <a:graphicData uri="http://schemas.microsoft.com/office/word/2010/wordprocessingShape">
                  <wps:wsp>
                    <wps:cNvSpPr txBox="1"/>
                    <wps:spPr>
                      <a:xfrm>
                        <a:off x="0" y="0"/>
                        <a:ext cx="157480" cy="152400"/>
                      </a:xfrm>
                      <a:prstGeom prst="rect">
                        <a:avLst/>
                      </a:prstGeom>
                      <a:noFill/>
                      <a:ln w="9525">
                        <a:noFill/>
                      </a:ln>
                    </wps:spPr>
                    <wps:txbx>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11</w:t>
                          </w:r>
                          <w:r>
                            <w:fldChar w:fldCharType="end"/>
                          </w:r>
                        </w:p>
                      </w:txbxContent>
                    </wps:txbx>
                    <wps:bodyPr lIns="0" tIns="0" rIns="0" bIns="0" upright="1"/>
                  </wps:wsp>
                </a:graphicData>
              </a:graphic>
            </wp:anchor>
          </w:drawing>
        </mc:Choice>
        <mc:Fallback>
          <w:pict>
            <v:shape id="文本框 3" o:spid="_x0000_s1026" o:spt="202" type="#_x0000_t202" style="position:absolute;left:0pt;margin-top:778.05pt;height:12pt;width:12.4pt;mso-position-horizontal:center;mso-position-horizontal-relative:margin;mso-position-vertical-relative:page;z-index:503169024;mso-width-relative:page;mso-height-relative:page;" filled="f" stroked="f" coordsize="21600,21600" o:gfxdata="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BVzxO31wAAAAkBAAAP&#10;AAAAAAAAAAEAIAAAACIAAABkcnMvZG93bnJldi54bWxQSwECFAAUAAAACACHTuJA0nc1/qcBAAAt&#10;AwAADgAAAAAAAAABACAAAAAmAQAAZHJzL2Uyb0RvYy54bWxQSwUGAAAAAAYABgBZAQAAPwUAAAAA&#10;">
              <v:fill on="f" focussize="0,0"/>
              <v:stroke on="f"/>
              <v:imagedata o:title=""/>
              <o:lock v:ext="edit" aspectratio="f"/>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mc:AlternateContent>
        <mc:Choice Requires="wps">
          <w:drawing>
            <wp:anchor distT="0" distB="0" distL="114300" distR="114300" simplePos="0" relativeHeight="503259136" behindDoc="1" locked="0" layoutInCell="1" allowOverlap="1">
              <wp:simplePos x="0" y="0"/>
              <wp:positionH relativeFrom="page">
                <wp:posOffset>1143000</wp:posOffset>
              </wp:positionH>
              <wp:positionV relativeFrom="page">
                <wp:posOffset>705485</wp:posOffset>
              </wp:positionV>
              <wp:extent cx="5274945"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527494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0pt;margin-top:55.55pt;height:0pt;width:415.35pt;mso-position-horizontal-relative:page;mso-position-vertical-relative:page;z-index:-57344;mso-width-relative:page;mso-height-relative:page;" filled="f" stroked="t" coordsize="21600,21600" o:gfxdata="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wQ2cQ1AAAAAwBAAAPAAAAAAAA&#10;AAEAIAAAACIAAABkcnMvZG93bnJldi54bWxQSwECFAAUAAAACACHTuJALz6Ypt0BAACWAwAADgAA&#10;AAAAAAABACAAAAAjAQAAZHJzL2Uyb0RvYy54bWxQSwUGAAAAAAYABgBZAQAAcgUAAAAA&#10;">
              <v:fill on="f" focussize="0,0"/>
              <v:stroke weight="0.72pt" color="#000000" joinstyle="round"/>
              <v:imagedata o:title=""/>
              <o:lock v:ext="edit" aspectratio="f"/>
            </v:line>
          </w:pict>
        </mc:Fallback>
      </mc:AlternateContent>
    </w:r>
    <w:r>
      <mc:AlternateContent>
        <mc:Choice Requires="wps">
          <w:drawing>
            <wp:anchor distT="0" distB="0" distL="114300" distR="114300" simplePos="0" relativeHeight="503259136" behindDoc="1" locked="0" layoutInCell="1" allowOverlap="1">
              <wp:simplePos x="0" y="0"/>
              <wp:positionH relativeFrom="page">
                <wp:posOffset>2938780</wp:posOffset>
              </wp:positionH>
              <wp:positionV relativeFrom="page">
                <wp:posOffset>544830</wp:posOffset>
              </wp:positionV>
              <wp:extent cx="1682115" cy="1524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682115" cy="152400"/>
                      </a:xfrm>
                      <a:prstGeom prst="rect">
                        <a:avLst/>
                      </a:prstGeom>
                      <a:noFill/>
                      <a:ln w="9525">
                        <a:noFill/>
                      </a:ln>
                    </wps:spPr>
                    <wps:txbx>
                      <w:txbxContent>
                        <w:p>
                          <w:pPr>
                            <w:spacing w:before="0" w:line="225" w:lineRule="exact"/>
                            <w:ind w:left="20" w:right="0" w:firstLine="0"/>
                            <w:jc w:val="left"/>
                            <w:rPr>
                              <w:sz w:val="18"/>
                            </w:rPr>
                          </w:pPr>
                        </w:p>
                      </w:txbxContent>
                    </wps:txbx>
                    <wps:bodyPr lIns="0" tIns="0" rIns="0" bIns="0" upright="1"/>
                  </wps:wsp>
                </a:graphicData>
              </a:graphic>
            </wp:anchor>
          </w:drawing>
        </mc:Choice>
        <mc:Fallback>
          <w:pict>
            <v:shape id="_x0000_s1026" o:spid="_x0000_s1026" o:spt="202" type="#_x0000_t202" style="position:absolute;left:0pt;margin-left:231.4pt;margin-top:42.9pt;height:12pt;width:132.45pt;mso-position-horizontal-relative:page;mso-position-vertical-relative:page;z-index:-57344;mso-width-relative:page;mso-height-relative:page;" filled="f" stroked="f" coordsize="21600,21600" o:gfxdata="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G2jZD/ZAAAACgEA&#10;AA8AAAAAAAAAAQAgAAAAIgAAAGRycy9kb3ducmV2LnhtbFBLAQIUABQAAAAIAIdO4kCPczbDpwEA&#10;AC0DAAAOAAAAAAAAAAEAIAAAACgBAABkcnMvZTJvRG9jLnhtbFBLBQYAAAAABgAGAFkBAABBBQAA&#10;AAA=&#10;">
              <v:fill on="f" focussize="0,0"/>
              <v:stroke on="f"/>
              <v:imagedata o:title=""/>
              <o:lock v:ext="edit" aspectratio="f"/>
              <v:textbox inset="0mm,0mm,0mm,0mm">
                <w:txbxContent>
                  <w:p>
                    <w:pPr>
                      <w:spacing w:before="0" w:line="225" w:lineRule="exact"/>
                      <w:ind w:left="20" w:right="0" w:firstLine="0"/>
                      <w:jc w:val="left"/>
                      <w:rPr>
                        <w:sz w:val="18"/>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0E9A1D"/>
    <w:multiLevelType w:val="singleLevel"/>
    <w:tmpl w:val="8E0E9A1D"/>
    <w:lvl w:ilvl="0" w:tentative="0">
      <w:start w:val="1"/>
      <w:numFmt w:val="decimal"/>
      <w:suff w:val="nothing"/>
      <w:lvlText w:val="（%1）"/>
      <w:lvlJc w:val="left"/>
    </w:lvl>
  </w:abstractNum>
  <w:abstractNum w:abstractNumId="1">
    <w:nsid w:val="FB2AE2EC"/>
    <w:multiLevelType w:val="singleLevel"/>
    <w:tmpl w:val="FB2AE2EC"/>
    <w:lvl w:ilvl="0" w:tentative="0">
      <w:start w:val="1"/>
      <w:numFmt w:val="decimal"/>
      <w:lvlText w:val="(%1)"/>
      <w:lvlJc w:val="left"/>
      <w:pPr>
        <w:ind w:left="425" w:hanging="425"/>
      </w:pPr>
      <w:rPr>
        <w:rFonts w:hint="default"/>
      </w:rPr>
    </w:lvl>
  </w:abstractNum>
  <w:abstractNum w:abstractNumId="2">
    <w:nsid w:val="5A241D34"/>
    <w:multiLevelType w:val="multilevel"/>
    <w:tmpl w:val="5A241D34"/>
    <w:lvl w:ilvl="0" w:tentative="0">
      <w:start w:val="3"/>
      <w:numFmt w:val="decimal"/>
      <w:lvlText w:val="%1"/>
      <w:lvlJc w:val="left"/>
      <w:pPr>
        <w:ind w:left="820" w:hanging="420"/>
        <w:jc w:val="left"/>
      </w:pPr>
      <w:rPr>
        <w:rFonts w:hint="default"/>
        <w:lang w:val="zh-CN" w:eastAsia="zh-CN" w:bidi="zh-CN"/>
      </w:rPr>
    </w:lvl>
    <w:lvl w:ilvl="1" w:tentative="0">
      <w:start w:val="4"/>
      <w:numFmt w:val="decimal"/>
      <w:lvlText w:val="%1.%2"/>
      <w:lvlJc w:val="left"/>
      <w:pPr>
        <w:ind w:left="820" w:hanging="420"/>
        <w:jc w:val="left"/>
      </w:pPr>
      <w:rPr>
        <w:rFonts w:hint="default" w:ascii="Times New Roman" w:hAnsi="Times New Roman" w:eastAsia="Times New Roman" w:cs="Times New Roman"/>
        <w:b/>
        <w:bCs/>
        <w:w w:val="99"/>
        <w:sz w:val="24"/>
        <w:szCs w:val="24"/>
        <w:lang w:val="zh-CN" w:eastAsia="zh-CN" w:bidi="zh-CN"/>
      </w:rPr>
    </w:lvl>
    <w:lvl w:ilvl="2" w:tentative="0">
      <w:start w:val="1"/>
      <w:numFmt w:val="decimal"/>
      <w:lvlText w:val="%1.%2.%3"/>
      <w:lvlJc w:val="left"/>
      <w:pPr>
        <w:ind w:left="1000" w:hanging="600"/>
        <w:jc w:val="left"/>
      </w:pPr>
      <w:rPr>
        <w:rFonts w:hint="default" w:ascii="Times New Roman" w:hAnsi="Times New Roman" w:eastAsia="Times New Roman" w:cs="Times New Roman"/>
        <w:b/>
        <w:bCs/>
        <w:w w:val="99"/>
        <w:sz w:val="24"/>
        <w:szCs w:val="24"/>
        <w:lang w:val="zh-CN" w:eastAsia="zh-CN" w:bidi="zh-CN"/>
      </w:rPr>
    </w:lvl>
    <w:lvl w:ilvl="3" w:tentative="0">
      <w:start w:val="1"/>
      <w:numFmt w:val="decimal"/>
      <w:lvlText w:val="（%4）"/>
      <w:lvlJc w:val="left"/>
      <w:pPr>
        <w:ind w:left="1481" w:hanging="601"/>
        <w:jc w:val="left"/>
      </w:pPr>
      <w:rPr>
        <w:rFonts w:hint="default" w:ascii="宋体" w:hAnsi="宋体" w:eastAsia="宋体" w:cs="宋体"/>
        <w:w w:val="100"/>
        <w:sz w:val="22"/>
        <w:szCs w:val="22"/>
        <w:lang w:val="zh-CN" w:eastAsia="zh-CN" w:bidi="zh-CN"/>
      </w:rPr>
    </w:lvl>
    <w:lvl w:ilvl="4" w:tentative="0">
      <w:start w:val="0"/>
      <w:numFmt w:val="bullet"/>
      <w:lvlText w:val="•"/>
      <w:lvlJc w:val="left"/>
      <w:pPr>
        <w:ind w:left="3536" w:hanging="601"/>
      </w:pPr>
      <w:rPr>
        <w:rFonts w:hint="default"/>
        <w:lang w:val="zh-CN" w:eastAsia="zh-CN" w:bidi="zh-CN"/>
      </w:rPr>
    </w:lvl>
    <w:lvl w:ilvl="5" w:tentative="0">
      <w:start w:val="0"/>
      <w:numFmt w:val="bullet"/>
      <w:lvlText w:val="•"/>
      <w:lvlJc w:val="left"/>
      <w:pPr>
        <w:ind w:left="4565" w:hanging="601"/>
      </w:pPr>
      <w:rPr>
        <w:rFonts w:hint="default"/>
        <w:lang w:val="zh-CN" w:eastAsia="zh-CN" w:bidi="zh-CN"/>
      </w:rPr>
    </w:lvl>
    <w:lvl w:ilvl="6" w:tentative="0">
      <w:start w:val="0"/>
      <w:numFmt w:val="bullet"/>
      <w:lvlText w:val="•"/>
      <w:lvlJc w:val="left"/>
      <w:pPr>
        <w:ind w:left="5593" w:hanging="601"/>
      </w:pPr>
      <w:rPr>
        <w:rFonts w:hint="default"/>
        <w:lang w:val="zh-CN" w:eastAsia="zh-CN" w:bidi="zh-CN"/>
      </w:rPr>
    </w:lvl>
    <w:lvl w:ilvl="7" w:tentative="0">
      <w:start w:val="0"/>
      <w:numFmt w:val="bullet"/>
      <w:lvlText w:val="•"/>
      <w:lvlJc w:val="left"/>
      <w:pPr>
        <w:ind w:left="6621" w:hanging="601"/>
      </w:pPr>
      <w:rPr>
        <w:rFonts w:hint="default"/>
        <w:lang w:val="zh-CN" w:eastAsia="zh-CN" w:bidi="zh-CN"/>
      </w:rPr>
    </w:lvl>
    <w:lvl w:ilvl="8" w:tentative="0">
      <w:start w:val="0"/>
      <w:numFmt w:val="bullet"/>
      <w:lvlText w:val="•"/>
      <w:lvlJc w:val="left"/>
      <w:pPr>
        <w:ind w:left="7650" w:hanging="601"/>
      </w:pPr>
      <w:rPr>
        <w:rFonts w:hint="default"/>
        <w:lang w:val="zh-CN" w:eastAsia="zh-CN" w:bidi="zh-C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6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603B27"/>
    <w:rsid w:val="00E075D0"/>
    <w:rsid w:val="02AD2095"/>
    <w:rsid w:val="05862267"/>
    <w:rsid w:val="06EB382D"/>
    <w:rsid w:val="16377851"/>
    <w:rsid w:val="254E4DC1"/>
    <w:rsid w:val="2A9C37A9"/>
    <w:rsid w:val="2CEE051E"/>
    <w:rsid w:val="2DF806AC"/>
    <w:rsid w:val="30775315"/>
    <w:rsid w:val="407D5B50"/>
    <w:rsid w:val="47D1651D"/>
    <w:rsid w:val="48603B27"/>
    <w:rsid w:val="49FD2DA9"/>
    <w:rsid w:val="4E07609F"/>
    <w:rsid w:val="524A203C"/>
    <w:rsid w:val="54B228E1"/>
    <w:rsid w:val="5FDF157B"/>
    <w:rsid w:val="672A66D1"/>
    <w:rsid w:val="67EC5AFC"/>
    <w:rsid w:val="68265A46"/>
    <w:rsid w:val="701B63D8"/>
    <w:rsid w:val="71354163"/>
    <w:rsid w:val="787C53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nhideWhenUsed="0" w:uiPriority="1"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848" w:firstLineChars="200"/>
      <w:jc w:val="left"/>
    </w:pPr>
    <w:rPr>
      <w:rFonts w:ascii="宋体" w:hAnsi="宋体" w:eastAsia="宋体" w:cs="宋体"/>
      <w:sz w:val="24"/>
      <w:szCs w:val="22"/>
      <w:lang w:val="zh-CN" w:eastAsia="zh-CN" w:bidi="zh-CN"/>
    </w:rPr>
  </w:style>
  <w:style w:type="paragraph" w:styleId="2">
    <w:name w:val="heading 1"/>
    <w:basedOn w:val="1"/>
    <w:next w:val="1"/>
    <w:link w:val="29"/>
    <w:qFormat/>
    <w:uiPriority w:val="9"/>
    <w:pPr>
      <w:keepNext/>
      <w:keepLines/>
      <w:spacing w:line="360" w:lineRule="auto"/>
      <w:outlineLvl w:val="0"/>
    </w:pPr>
    <w:rPr>
      <w:rFonts w:ascii="Times New Roman" w:hAnsi="Times New Roman"/>
      <w:b/>
      <w:bCs/>
      <w:kern w:val="44"/>
      <w:sz w:val="32"/>
      <w:szCs w:val="44"/>
    </w:rPr>
  </w:style>
  <w:style w:type="paragraph" w:styleId="3">
    <w:name w:val="heading 2"/>
    <w:basedOn w:val="1"/>
    <w:next w:val="1"/>
    <w:link w:val="28"/>
    <w:qFormat/>
    <w:uiPriority w:val="1"/>
    <w:pPr>
      <w:spacing w:line="360" w:lineRule="auto"/>
      <w:ind w:left="218" w:firstLine="848" w:firstLineChars="200"/>
      <w:outlineLvl w:val="1"/>
    </w:pPr>
    <w:rPr>
      <w:rFonts w:ascii="黑体" w:hAnsi="黑体" w:cs="黑体"/>
      <w:b/>
      <w:sz w:val="30"/>
      <w:szCs w:val="32"/>
    </w:rPr>
  </w:style>
  <w:style w:type="paragraph" w:styleId="4">
    <w:name w:val="heading 3"/>
    <w:basedOn w:val="1"/>
    <w:next w:val="1"/>
    <w:link w:val="27"/>
    <w:unhideWhenUsed/>
    <w:qFormat/>
    <w:uiPriority w:val="9"/>
    <w:pPr>
      <w:keepNext/>
      <w:keepLines/>
      <w:spacing w:line="360" w:lineRule="auto"/>
      <w:ind w:firstLine="848" w:firstLineChars="200"/>
      <w:outlineLvl w:val="2"/>
    </w:pPr>
    <w:rPr>
      <w:rFonts w:ascii="Times New Roman" w:hAnsi="Times New Roman"/>
      <w:bCs/>
      <w:sz w:val="24"/>
      <w:szCs w:val="32"/>
    </w:rPr>
  </w:style>
  <w:style w:type="character" w:default="1" w:styleId="16">
    <w:name w:val="Default Paragraph Font"/>
    <w:qFormat/>
    <w:uiPriority w:val="0"/>
  </w:style>
  <w:style w:type="table" w:default="1" w:styleId="17">
    <w:name w:val="Normal Table"/>
    <w:semiHidden/>
    <w:qFormat/>
    <w:uiPriority w:val="0"/>
    <w:tblPr>
      <w:tblLayout w:type="fixed"/>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styleId="6">
    <w:name w:val="Body Text"/>
    <w:basedOn w:val="1"/>
    <w:qFormat/>
    <w:uiPriority w:val="1"/>
    <w:rPr>
      <w:rFonts w:ascii="宋体" w:hAnsi="宋体" w:eastAsia="宋体" w:cs="宋体"/>
      <w:sz w:val="28"/>
      <w:szCs w:val="28"/>
      <w:lang w:val="zh-CN" w:eastAsia="zh-CN" w:bidi="zh-CN"/>
    </w:rPr>
  </w:style>
  <w:style w:type="paragraph" w:styleId="7">
    <w:name w:val="Body Text Indent"/>
    <w:basedOn w:val="1"/>
    <w:qFormat/>
    <w:uiPriority w:val="0"/>
    <w:pPr>
      <w:ind w:firstLine="480"/>
    </w:pPr>
    <w:rPr>
      <w:rFonts w:ascii="宋体" w:hAnsi="宋体"/>
      <w:color w:val="000000"/>
      <w:sz w:val="28"/>
    </w:rPr>
  </w:style>
  <w:style w:type="paragraph" w:styleId="8">
    <w:name w:val="Block Text"/>
    <w:basedOn w:val="1"/>
    <w:qFormat/>
    <w:uiPriority w:val="0"/>
    <w:pPr>
      <w:spacing w:line="360" w:lineRule="auto"/>
      <w:ind w:left="-56" w:right="-72" w:firstLine="600"/>
    </w:pPr>
    <w:rPr>
      <w:rFonts w:ascii="宋体" w:hAnsi="宋体"/>
      <w:sz w:val="28"/>
    </w:rPr>
  </w:style>
  <w:style w:type="paragraph" w:styleId="9">
    <w:name w:val="toc 3"/>
    <w:basedOn w:val="1"/>
    <w:next w:val="1"/>
    <w:qFormat/>
    <w:uiPriority w:val="0"/>
    <w:pPr>
      <w:ind w:left="840" w:leftChars="400"/>
    </w:pPr>
  </w:style>
  <w:style w:type="paragraph" w:styleId="10">
    <w:name w:val="Date"/>
    <w:basedOn w:val="1"/>
    <w:next w:val="1"/>
    <w:qFormat/>
    <w:uiPriority w:val="0"/>
    <w:pPr>
      <w:ind w:left="100" w:leftChars="2500"/>
    </w:pPr>
    <w:rPr>
      <w:rFonts w:ascii="宋体" w:hAnsi="宋体"/>
      <w:b/>
      <w:bCs/>
      <w:color w:val="000000"/>
      <w:sz w:val="32"/>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1"/>
    <w:pPr>
      <w:spacing w:before="222"/>
      <w:ind w:left="1058" w:hanging="840"/>
    </w:pPr>
    <w:rPr>
      <w:rFonts w:ascii="宋体" w:hAnsi="宋体" w:eastAsia="宋体" w:cs="宋体"/>
      <w:sz w:val="28"/>
      <w:szCs w:val="28"/>
      <w:lang w:val="zh-CN" w:eastAsia="zh-CN" w:bidi="zh-CN"/>
    </w:rPr>
  </w:style>
  <w:style w:type="paragraph" w:styleId="14">
    <w:name w:val="toc 2"/>
    <w:basedOn w:val="1"/>
    <w:next w:val="1"/>
    <w:qFormat/>
    <w:uiPriority w:val="0"/>
    <w:pPr>
      <w:ind w:left="420" w:leftChars="200"/>
    </w:pPr>
  </w:style>
  <w:style w:type="paragraph" w:styleId="15">
    <w:name w:val="Normal (Web)"/>
    <w:basedOn w:val="1"/>
    <w:qFormat/>
    <w:uiPriority w:val="99"/>
    <w:pPr>
      <w:spacing w:before="100" w:beforeAutospacing="1" w:after="100" w:afterAutospacing="1"/>
    </w:pPr>
    <w:rPr>
      <w:rFonts w:eastAsia="宋体"/>
      <w:kern w:val="2"/>
      <w:szCs w:val="22"/>
    </w:rPr>
  </w:style>
  <w:style w:type="table" w:styleId="18">
    <w:name w:val="Table Grid"/>
    <w:basedOn w:val="1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19">
    <w:name w:val="Table Theme"/>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20">
    <w:name w:val="List Paragraph"/>
    <w:basedOn w:val="1"/>
    <w:qFormat/>
    <w:uiPriority w:val="1"/>
    <w:pPr>
      <w:ind w:left="1298" w:hanging="980"/>
    </w:pPr>
    <w:rPr>
      <w:rFonts w:ascii="宋体" w:hAnsi="宋体" w:eastAsia="宋体" w:cs="宋体"/>
      <w:lang w:val="zh-CN" w:eastAsia="zh-CN" w:bidi="zh-CN"/>
    </w:rPr>
  </w:style>
  <w:style w:type="paragraph" w:customStyle="1" w:styleId="21">
    <w:name w:val="Table Paragraph"/>
    <w:basedOn w:val="1"/>
    <w:qFormat/>
    <w:uiPriority w:val="1"/>
    <w:pPr>
      <w:jc w:val="center"/>
    </w:pPr>
    <w:rPr>
      <w:rFonts w:ascii="宋体" w:hAnsi="宋体" w:eastAsia="宋体" w:cs="宋体"/>
      <w:lang w:val="zh-CN" w:eastAsia="zh-CN" w:bidi="zh-CN"/>
    </w:rPr>
  </w:style>
  <w:style w:type="paragraph" w:customStyle="1" w:styleId="22">
    <w:name w:val="表格"/>
    <w:basedOn w:val="1"/>
    <w:next w:val="1"/>
    <w:qFormat/>
    <w:uiPriority w:val="0"/>
    <w:pPr>
      <w:adjustRightInd w:val="0"/>
      <w:spacing w:line="312" w:lineRule="atLeast"/>
      <w:jc w:val="center"/>
    </w:pPr>
    <w:rPr>
      <w:kern w:val="0"/>
      <w:szCs w:val="20"/>
    </w:rPr>
  </w:style>
  <w:style w:type="paragraph" w:customStyle="1" w:styleId="23">
    <w:name w:val="表内容中"/>
    <w:basedOn w:val="10"/>
    <w:qFormat/>
    <w:uiPriority w:val="0"/>
    <w:pPr>
      <w:adjustRightInd w:val="0"/>
      <w:snapToGrid w:val="0"/>
      <w:spacing w:line="360" w:lineRule="exact"/>
      <w:ind w:left="0" w:leftChars="0"/>
      <w:jc w:val="center"/>
    </w:pPr>
    <w:rPr>
      <w:rFonts w:ascii="Arial" w:hAnsi="Arial"/>
      <w:b w:val="0"/>
      <w:bCs w:val="0"/>
      <w:kern w:val="16"/>
      <w:sz w:val="21"/>
      <w:szCs w:val="20"/>
    </w:rPr>
  </w:style>
  <w:style w:type="paragraph" w:customStyle="1" w:styleId="24">
    <w:name w:val="WPSOffice手动目录 1"/>
    <w:qFormat/>
    <w:uiPriority w:val="0"/>
    <w:pPr>
      <w:ind w:leftChars="0"/>
    </w:pPr>
    <w:rPr>
      <w:rFonts w:ascii="Times New Roman" w:hAnsi="Times New Roman" w:eastAsia="宋体" w:cs="Times New Roman"/>
      <w:sz w:val="20"/>
      <w:szCs w:val="20"/>
    </w:rPr>
  </w:style>
  <w:style w:type="paragraph" w:customStyle="1" w:styleId="25">
    <w:name w:val="WPSOffice手动目录 2"/>
    <w:qFormat/>
    <w:uiPriority w:val="0"/>
    <w:pPr>
      <w:ind w:leftChars="200"/>
    </w:pPr>
    <w:rPr>
      <w:rFonts w:ascii="Times New Roman" w:hAnsi="Times New Roman" w:eastAsia="宋体" w:cs="Times New Roman"/>
      <w:sz w:val="20"/>
      <w:szCs w:val="20"/>
    </w:rPr>
  </w:style>
  <w:style w:type="paragraph" w:customStyle="1" w:styleId="26">
    <w:name w:val="WPSOffice手动目录 3"/>
    <w:qFormat/>
    <w:uiPriority w:val="0"/>
    <w:pPr>
      <w:ind w:leftChars="400"/>
    </w:pPr>
    <w:rPr>
      <w:rFonts w:ascii="Times New Roman" w:hAnsi="Times New Roman" w:eastAsia="宋体" w:cs="Times New Roman"/>
      <w:sz w:val="20"/>
      <w:szCs w:val="20"/>
    </w:rPr>
  </w:style>
  <w:style w:type="character" w:customStyle="1" w:styleId="27">
    <w:name w:val="标题 3 Char"/>
    <w:link w:val="4"/>
    <w:qFormat/>
    <w:uiPriority w:val="9"/>
    <w:rPr>
      <w:rFonts w:ascii="Times New Roman" w:hAnsi="Times New Roman"/>
      <w:bCs/>
      <w:sz w:val="24"/>
      <w:szCs w:val="32"/>
    </w:rPr>
  </w:style>
  <w:style w:type="character" w:customStyle="1" w:styleId="28">
    <w:name w:val="标题 2 Char"/>
    <w:link w:val="3"/>
    <w:qFormat/>
    <w:uiPriority w:val="1"/>
    <w:rPr>
      <w:rFonts w:ascii="黑体" w:hAnsi="黑体" w:eastAsia="宋体" w:cs="黑体"/>
      <w:b/>
      <w:sz w:val="30"/>
      <w:szCs w:val="32"/>
    </w:rPr>
  </w:style>
  <w:style w:type="character" w:customStyle="1" w:styleId="29">
    <w:name w:val="标题 1 Char"/>
    <w:link w:val="2"/>
    <w:qFormat/>
    <w:uiPriority w:val="9"/>
    <w:rPr>
      <w:rFonts w:ascii="Times New Roman" w:hAnsi="Times New Roman" w:eastAsia="宋体"/>
      <w:b/>
      <w:bCs/>
      <w:kern w:val="44"/>
      <w:sz w:val="32"/>
      <w:szCs w:val="44"/>
    </w:rPr>
  </w:style>
  <w:style w:type="paragraph" w:customStyle="1" w:styleId="30">
    <w:name w:val="aa正文"/>
    <w:basedOn w:val="1"/>
    <w:qFormat/>
    <w:uiPriority w:val="0"/>
    <w:pPr>
      <w:spacing w:line="360" w:lineRule="auto"/>
      <w:ind w:firstLine="200" w:firstLineChars="200"/>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header" Target="header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2018-07-06T06:50:00Z</dcterms:created>
  <dc:creator>时生</dc:creator>
  <cp:lastModifiedBy>时生</cp:lastModifiedBy>
  <dcterms:modified xsi:type="dcterms:W3CDTF">2018-08-13T02:06:37Z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