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line="365" w:lineRule="auto"/>
        <w:ind w:left="0" w:leftChars="0" w:right="0" w:firstLine="0" w:firstLineChars="0"/>
        <w:jc w:val="center"/>
        <w:textAlignment w:val="auto"/>
        <w:outlineLvl w:val="9"/>
        <w:rPr>
          <w:rFonts w:hint="eastAsia" w:ascii="宋体" w:hAnsi="宋体" w:eastAsia="宋体" w:cs="宋体"/>
          <w:b/>
          <w:bCs/>
          <w:color w:val="auto"/>
          <w:spacing w:val="-8"/>
          <w:sz w:val="52"/>
          <w:szCs w:val="52"/>
        </w:rPr>
      </w:pPr>
    </w:p>
    <w:p>
      <w:pPr>
        <w:keepNext w:val="0"/>
        <w:keepLines w:val="0"/>
        <w:pageBreakBefore w:val="0"/>
        <w:widowControl w:val="0"/>
        <w:kinsoku/>
        <w:wordWrap/>
        <w:overflowPunct/>
        <w:topLinePunct w:val="0"/>
        <w:autoSpaceDE w:val="0"/>
        <w:autoSpaceDN w:val="0"/>
        <w:bidi w:val="0"/>
        <w:adjustRightInd/>
        <w:snapToGrid/>
        <w:spacing w:before="0" w:line="365" w:lineRule="auto"/>
        <w:ind w:left="0" w:leftChars="0" w:right="0" w:firstLine="0" w:firstLineChars="0"/>
        <w:jc w:val="center"/>
        <w:textAlignment w:val="auto"/>
        <w:outlineLvl w:val="9"/>
        <w:rPr>
          <w:rFonts w:hint="eastAsia" w:ascii="宋体" w:hAnsi="宋体" w:eastAsia="宋体" w:cs="宋体"/>
          <w:b/>
          <w:bCs/>
          <w:color w:val="auto"/>
          <w:spacing w:val="-8"/>
          <w:sz w:val="52"/>
          <w:szCs w:val="52"/>
        </w:rPr>
      </w:pPr>
      <w:r>
        <w:rPr>
          <w:rFonts w:hint="eastAsia" w:ascii="宋体" w:hAnsi="宋体" w:eastAsia="宋体" w:cs="宋体"/>
          <w:b/>
          <w:bCs/>
          <w:color w:val="auto"/>
          <w:spacing w:val="-8"/>
          <w:sz w:val="52"/>
          <w:szCs w:val="52"/>
        </w:rPr>
        <w:t>乔旭（九江）企业有限公司</w:t>
      </w:r>
    </w:p>
    <w:p>
      <w:pPr>
        <w:keepNext w:val="0"/>
        <w:keepLines w:val="0"/>
        <w:pageBreakBefore w:val="0"/>
        <w:widowControl w:val="0"/>
        <w:kinsoku/>
        <w:wordWrap/>
        <w:overflowPunct/>
        <w:topLinePunct w:val="0"/>
        <w:autoSpaceDE w:val="0"/>
        <w:autoSpaceDN w:val="0"/>
        <w:bidi w:val="0"/>
        <w:adjustRightInd/>
        <w:snapToGrid/>
        <w:spacing w:before="0" w:line="365" w:lineRule="auto"/>
        <w:ind w:left="0" w:leftChars="0" w:right="0" w:firstLine="0" w:firstLineChars="0"/>
        <w:jc w:val="center"/>
        <w:textAlignment w:val="auto"/>
        <w:outlineLvl w:val="9"/>
        <w:rPr>
          <w:rFonts w:hint="eastAsia" w:ascii="宋体" w:hAnsi="宋体" w:eastAsia="宋体" w:cs="宋体"/>
          <w:b/>
          <w:sz w:val="52"/>
          <w:szCs w:val="52"/>
        </w:rPr>
      </w:pPr>
      <w:r>
        <w:rPr>
          <w:rFonts w:hint="eastAsia" w:ascii="宋体" w:hAnsi="宋体" w:eastAsia="宋体" w:cs="宋体"/>
          <w:b/>
          <w:w w:val="95"/>
          <w:sz w:val="52"/>
          <w:szCs w:val="52"/>
        </w:rPr>
        <w:t>环境应急资源</w:t>
      </w:r>
      <w:r>
        <w:rPr>
          <w:rFonts w:hint="eastAsia" w:ascii="宋体" w:hAnsi="宋体" w:eastAsia="宋体" w:cs="宋体"/>
          <w:b/>
          <w:sz w:val="52"/>
          <w:szCs w:val="52"/>
        </w:rPr>
        <w:t>调查报告</w:t>
      </w:r>
    </w:p>
    <w:p>
      <w:pPr>
        <w:spacing w:before="0" w:line="406" w:lineRule="exact"/>
        <w:ind w:left="937" w:right="1070" w:firstLine="0"/>
        <w:jc w:val="center"/>
        <w:rPr>
          <w:rFonts w:hint="eastAsia" w:ascii="宋体" w:hAnsi="宋体" w:eastAsia="宋体" w:cs="宋体"/>
          <w:b/>
          <w:sz w:val="52"/>
          <w:szCs w:val="52"/>
        </w:rPr>
      </w:pPr>
    </w:p>
    <w:p>
      <w:pPr>
        <w:pStyle w:val="7"/>
        <w:rPr>
          <w:rFonts w:ascii="黑体"/>
          <w:b/>
          <w:sz w:val="32"/>
        </w:rPr>
      </w:pPr>
    </w:p>
    <w:p>
      <w:pPr>
        <w:pStyle w:val="7"/>
        <w:rPr>
          <w:rFonts w:ascii="黑体"/>
          <w:b/>
          <w:sz w:val="32"/>
        </w:rPr>
      </w:pPr>
    </w:p>
    <w:p>
      <w:pPr>
        <w:pStyle w:val="7"/>
        <w:rPr>
          <w:rFonts w:ascii="黑体"/>
          <w:b/>
          <w:sz w:val="32"/>
        </w:rPr>
      </w:pPr>
    </w:p>
    <w:p>
      <w:pPr>
        <w:pStyle w:val="7"/>
        <w:rPr>
          <w:rFonts w:ascii="黑体"/>
          <w:b/>
          <w:sz w:val="32"/>
        </w:rPr>
      </w:pPr>
    </w:p>
    <w:p>
      <w:pPr>
        <w:pStyle w:val="7"/>
        <w:rPr>
          <w:rFonts w:ascii="黑体"/>
          <w:b/>
          <w:sz w:val="32"/>
        </w:rPr>
      </w:pPr>
    </w:p>
    <w:p>
      <w:pPr>
        <w:pStyle w:val="7"/>
        <w:rPr>
          <w:rFonts w:ascii="黑体"/>
          <w:b/>
          <w:sz w:val="32"/>
        </w:rPr>
      </w:pPr>
    </w:p>
    <w:p>
      <w:pPr>
        <w:pStyle w:val="7"/>
        <w:rPr>
          <w:rFonts w:ascii="黑体"/>
          <w:b/>
          <w:sz w:val="32"/>
        </w:rPr>
      </w:pPr>
    </w:p>
    <w:p>
      <w:pPr>
        <w:pStyle w:val="7"/>
        <w:rPr>
          <w:rFonts w:ascii="黑体"/>
          <w:b/>
          <w:sz w:val="32"/>
        </w:rPr>
      </w:pPr>
    </w:p>
    <w:p>
      <w:pPr>
        <w:pStyle w:val="7"/>
        <w:rPr>
          <w:rFonts w:ascii="黑体"/>
          <w:b/>
          <w:sz w:val="32"/>
        </w:rPr>
      </w:pPr>
    </w:p>
    <w:p>
      <w:pPr>
        <w:pStyle w:val="7"/>
        <w:ind w:left="0" w:leftChars="0" w:firstLine="0" w:firstLineChars="0"/>
        <w:rPr>
          <w:rFonts w:ascii="黑体"/>
          <w:b/>
          <w:sz w:val="32"/>
        </w:rPr>
      </w:pPr>
    </w:p>
    <w:p>
      <w:pPr>
        <w:pStyle w:val="7"/>
        <w:rPr>
          <w:rFonts w:ascii="黑体"/>
          <w:b/>
          <w:sz w:val="32"/>
        </w:rPr>
      </w:pPr>
    </w:p>
    <w:p>
      <w:pPr>
        <w:pStyle w:val="7"/>
        <w:rPr>
          <w:rFonts w:ascii="黑体"/>
          <w:b/>
          <w:sz w:val="32"/>
        </w:rPr>
      </w:pPr>
    </w:p>
    <w:p>
      <w:pPr>
        <w:pStyle w:val="7"/>
        <w:rPr>
          <w:rFonts w:ascii="黑体"/>
          <w:b/>
          <w:sz w:val="32"/>
        </w:rPr>
      </w:pPr>
    </w:p>
    <w:p>
      <w:pPr>
        <w:pStyle w:val="7"/>
        <w:ind w:left="0" w:leftChars="0" w:firstLine="0" w:firstLineChars="0"/>
        <w:rPr>
          <w:rFonts w:hint="eastAsia" w:ascii="宋体" w:hAnsi="宋体" w:eastAsia="宋体" w:cs="宋体"/>
          <w:sz w:val="52"/>
        </w:rPr>
      </w:pPr>
    </w:p>
    <w:p>
      <w:pPr>
        <w:jc w:val="center"/>
        <w:rPr>
          <w:rFonts w:hint="eastAsia" w:ascii="宋体" w:hAnsi="宋体" w:eastAsia="宋体" w:cs="宋体"/>
          <w:b/>
          <w:sz w:val="32"/>
          <w:szCs w:val="32"/>
        </w:rPr>
      </w:pPr>
      <w:r>
        <w:rPr>
          <w:rFonts w:hint="eastAsia" w:ascii="宋体" w:hAnsi="宋体" w:eastAsia="宋体" w:cs="宋体"/>
          <w:b/>
          <w:sz w:val="32"/>
          <w:szCs w:val="32"/>
        </w:rPr>
        <w:t>编制时间：2018年7月</w:t>
      </w:r>
    </w:p>
    <w:p>
      <w:pPr>
        <w:jc w:val="center"/>
        <w:rPr>
          <w:rFonts w:hint="eastAsia" w:ascii="宋体" w:hAnsi="宋体" w:eastAsia="宋体" w:cs="宋体"/>
          <w:b/>
          <w:sz w:val="32"/>
          <w:szCs w:val="32"/>
        </w:rPr>
      </w:pPr>
      <w:r>
        <w:rPr>
          <w:rFonts w:hint="eastAsia" w:ascii="宋体" w:hAnsi="宋体" w:eastAsia="宋体" w:cs="宋体"/>
          <w:b/>
          <w:sz w:val="32"/>
          <w:szCs w:val="32"/>
        </w:rPr>
        <w:t>编制单位：江西鼎泓环保科技有限公司</w:t>
      </w:r>
    </w:p>
    <w:sdt>
      <w:sdtPr>
        <w:rPr>
          <w:rFonts w:ascii="宋体" w:hAnsi="宋体" w:eastAsia="宋体" w:cs="宋体"/>
          <w:sz w:val="21"/>
          <w:szCs w:val="22"/>
          <w:lang w:val="zh-CN" w:eastAsia="zh-CN" w:bidi="zh-CN"/>
        </w:rPr>
        <w:id w:val="147469625"/>
        <w:docPartObj>
          <w:docPartGallery w:val="Table of Contents"/>
          <w:docPartUnique/>
        </w:docPartObj>
      </w:sdtPr>
      <w:sdtEndPr>
        <w:rPr>
          <w:rFonts w:hint="eastAsia" w:ascii="宋体" w:hAnsi="宋体" w:eastAsia="宋体" w:cs="宋体"/>
          <w:b w:val="0"/>
          <w:bCs w:val="0"/>
          <w:color w:val="000000"/>
          <w:kern w:val="44"/>
          <w:sz w:val="24"/>
          <w:szCs w:val="24"/>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eastAsia="宋体" w:cs="宋体"/>
              <w:sz w:val="21"/>
              <w:szCs w:val="22"/>
              <w:lang w:val="zh-CN" w:eastAsia="zh-CN" w:bidi="zh-CN"/>
            </w:rPr>
          </w:pPr>
        </w:p>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1"/>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color w:val="000000"/>
              <w:sz w:val="24"/>
              <w:szCs w:val="24"/>
              <w:lang w:val="en-US" w:eastAsia="zh-CN"/>
            </w:rPr>
            <w:instrText xml:space="preserve">TOC \o "1-3" \h \u </w:instrText>
          </w:r>
          <w:r>
            <w:rPr>
              <w:rFonts w:hint="eastAsia" w:ascii="宋体" w:hAnsi="宋体" w:eastAsia="宋体" w:cs="宋体"/>
              <w:b w:val="0"/>
              <w:bCs w:val="0"/>
              <w:color w:val="000000"/>
              <w:sz w:val="24"/>
              <w:szCs w:val="24"/>
              <w:lang w:val="en-US" w:eastAsia="zh-CN"/>
            </w:rPr>
            <w:fldChar w:fldCharType="separate"/>
          </w: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_Toc32767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、前言</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_Toc32767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_Toc25116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eastAsia="zh-CN"/>
            </w:rPr>
            <w:t>调查目的和任务</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_Toc25116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_Toc8795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 xml:space="preserve">2 </w:t>
          </w:r>
          <w:r>
            <w:rPr>
              <w:rFonts w:hint="eastAsia" w:ascii="宋体" w:hAnsi="宋体" w:eastAsia="宋体" w:cs="宋体"/>
              <w:b w:val="0"/>
              <w:bCs w:val="0"/>
              <w:sz w:val="24"/>
              <w:szCs w:val="24"/>
              <w:lang w:eastAsia="zh-CN"/>
            </w:rPr>
            <w:t>调查报告编制依据</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_Toc8795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1"/>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_Toc6215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企业概况</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_Toc6215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_Toc4922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2.1</w:t>
          </w:r>
          <w:r>
            <w:rPr>
              <w:rFonts w:hint="eastAsia" w:ascii="宋体" w:hAnsi="宋体" w:eastAsia="宋体" w:cs="宋体"/>
              <w:b w:val="0"/>
              <w:bCs w:val="0"/>
              <w:sz w:val="24"/>
              <w:szCs w:val="24"/>
              <w:lang w:eastAsia="zh-CN"/>
            </w:rPr>
            <w:t>企业简介</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_Toc4922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_Toc18989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2.2</w:t>
          </w:r>
          <w:r>
            <w:rPr>
              <w:rFonts w:hint="eastAsia" w:ascii="宋体" w:hAnsi="宋体" w:eastAsia="宋体" w:cs="宋体"/>
              <w:b w:val="0"/>
              <w:bCs w:val="0"/>
              <w:sz w:val="24"/>
              <w:szCs w:val="24"/>
              <w:vertAlign w:val="baseline"/>
            </w:rPr>
            <w:t>工艺、设备设施概况</w:t>
          </w:r>
          <w:r>
            <w:rPr>
              <w:rFonts w:hint="eastAsia" w:ascii="宋体" w:hAnsi="宋体" w:eastAsia="宋体" w:cs="宋体"/>
              <w:b w:val="0"/>
              <w:bCs w:val="0"/>
              <w:sz w:val="24"/>
              <w:szCs w:val="24"/>
              <w:lang w:val="en-US" w:eastAsia="zh-CN"/>
            </w:rPr>
            <w:t>概况</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_Toc18989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2</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_Toc13345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2.3</w:t>
          </w:r>
          <w:r>
            <w:rPr>
              <w:rFonts w:hint="eastAsia" w:ascii="宋体" w:hAnsi="宋体" w:eastAsia="宋体" w:cs="宋体"/>
              <w:b w:val="0"/>
              <w:bCs w:val="0"/>
              <w:sz w:val="24"/>
              <w:szCs w:val="24"/>
            </w:rPr>
            <w:t>主要原料、产品情况</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_Toc13345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4</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_Toc30542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2.4行政组织机构概况</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_Toc30542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5</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1"/>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_Toc25177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3、企业应急资源调查</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_Toc25177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7</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_Toc7282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环境应急队伍调查</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_Toc7282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7</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_Toc29094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.2 环境应急装备/物资调查</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_Toc29094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10</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1"/>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_Toc18435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外协应急资源调查内容</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_Toc18435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12</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_Toc25010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.1 可请求援助部门应急资源调查</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_Toc25010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12</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_Toc8764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rPr>
            <w:t>4.2外部应急有关单位联系电话</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_Toc8764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12</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2"/>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_Toc19464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kern w:val="0"/>
              <w:sz w:val="24"/>
              <w:szCs w:val="24"/>
            </w:rPr>
            <w:t>4.3专职队伍救援</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_Toc19464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13</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1"/>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_Toc4055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应急资源调查主要结论</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_Toc4055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14</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11"/>
            <w:tabs>
              <w:tab w:val="right" w:leader="dot" w:pos="8306"/>
            </w:tabs>
            <w:rPr>
              <w:rFonts w:hint="eastAsia" w:ascii="宋体" w:hAnsi="宋体" w:eastAsia="宋体" w:cs="宋体"/>
              <w:b w:val="0"/>
              <w:bCs w:val="0"/>
              <w:sz w:val="24"/>
              <w:szCs w:val="24"/>
            </w:rPr>
          </w:pPr>
          <w:r>
            <w:rPr>
              <w:rFonts w:hint="eastAsia" w:ascii="宋体" w:hAnsi="宋体" w:eastAsia="宋体" w:cs="宋体"/>
              <w:b w:val="0"/>
              <w:bCs w:val="0"/>
              <w:color w:val="000000"/>
              <w:sz w:val="24"/>
              <w:szCs w:val="24"/>
              <w:lang w:val="en-US" w:eastAsia="zh-CN"/>
            </w:rPr>
            <w:fldChar w:fldCharType="begin"/>
          </w:r>
          <w:r>
            <w:rPr>
              <w:rFonts w:hint="eastAsia" w:ascii="宋体" w:hAnsi="宋体" w:eastAsia="宋体" w:cs="宋体"/>
              <w:b w:val="0"/>
              <w:bCs w:val="0"/>
              <w:sz w:val="24"/>
              <w:szCs w:val="24"/>
              <w:lang w:val="en-US" w:eastAsia="zh-CN"/>
            </w:rPr>
            <w:instrText xml:space="preserve"> HYPERLINK \l _Toc13956 </w:instrText>
          </w:r>
          <w:r>
            <w:rPr>
              <w:rFonts w:hint="eastAsia" w:ascii="宋体" w:hAnsi="宋体" w:eastAsia="宋体" w:cs="宋体"/>
              <w:b w:val="0"/>
              <w:bCs w:val="0"/>
              <w:sz w:val="24"/>
              <w:szCs w:val="24"/>
              <w:lang w:val="en-US" w:eastAsia="zh-CN"/>
            </w:rPr>
            <w:fldChar w:fldCharType="separate"/>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附件</w:t>
          </w:r>
          <w:r>
            <w:rPr>
              <w:rFonts w:hint="eastAsia" w:ascii="宋体" w:hAnsi="宋体" w:eastAsia="宋体" w:cs="宋体"/>
              <w:b w:val="0"/>
              <w:bCs w:val="0"/>
              <w:sz w:val="24"/>
              <w:szCs w:val="24"/>
            </w:rPr>
            <w:tab/>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PAGEREF _Toc13956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15</w:t>
          </w:r>
          <w:r>
            <w:rPr>
              <w:rFonts w:hint="eastAsia" w:ascii="宋体" w:hAnsi="宋体" w:eastAsia="宋体" w:cs="宋体"/>
              <w:b w:val="0"/>
              <w:bCs w:val="0"/>
              <w:sz w:val="24"/>
              <w:szCs w:val="24"/>
            </w:rPr>
            <w:fldChar w:fldCharType="end"/>
          </w:r>
          <w:r>
            <w:rPr>
              <w:rFonts w:hint="eastAsia" w:ascii="宋体" w:hAnsi="宋体" w:eastAsia="宋体" w:cs="宋体"/>
              <w:b w:val="0"/>
              <w:bCs w:val="0"/>
              <w:color w:val="000000"/>
              <w:sz w:val="24"/>
              <w:szCs w:val="24"/>
              <w:lang w:val="en-US" w:eastAsia="zh-CN"/>
            </w:rPr>
            <w:fldChar w:fldCharType="end"/>
          </w:r>
        </w:p>
        <w:p>
          <w:pPr>
            <w:pStyle w:val="2"/>
            <w:pageBreakBefore w:val="0"/>
            <w:widowControl w:val="0"/>
            <w:kinsoku/>
            <w:wordWrap/>
            <w:overflowPunct/>
            <w:topLinePunct w:val="0"/>
            <w:autoSpaceDE w:val="0"/>
            <w:autoSpaceDN w:val="0"/>
            <w:bidi w:val="0"/>
            <w:adjustRightInd/>
            <w:snapToGrid/>
            <w:spacing w:before="0" w:after="0" w:line="360" w:lineRule="auto"/>
            <w:ind w:left="0" w:leftChars="0" w:firstLine="480" w:firstLineChars="200"/>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fldChar w:fldCharType="end"/>
          </w:r>
        </w:p>
      </w:sdtContent>
    </w:sdt>
    <w:p>
      <w:pPr>
        <w:rPr>
          <w:rFonts w:hint="eastAsia" w:ascii="宋体" w:hAnsi="宋体" w:eastAsia="宋体" w:cs="宋体"/>
          <w:b w:val="0"/>
          <w:color w:val="000000"/>
          <w:sz w:val="32"/>
          <w:szCs w:val="32"/>
          <w:lang w:val="en-US" w:eastAsia="zh-CN"/>
        </w:rPr>
      </w:pPr>
    </w:p>
    <w:p>
      <w:pPr>
        <w:rPr>
          <w:rFonts w:hint="eastAsia" w:ascii="宋体" w:hAnsi="宋体" w:eastAsia="宋体" w:cs="宋体"/>
          <w:b w:val="0"/>
          <w:color w:val="000000"/>
          <w:sz w:val="32"/>
          <w:szCs w:val="32"/>
          <w:lang w:val="en-US" w:eastAsia="zh-CN"/>
        </w:rPr>
      </w:pPr>
    </w:p>
    <w:p>
      <w:pPr>
        <w:pStyle w:val="2"/>
        <w:adjustRightInd/>
        <w:spacing w:before="0" w:after="0" w:line="360" w:lineRule="auto"/>
        <w:ind w:left="0" w:leftChars="0" w:firstLine="0" w:firstLineChars="0"/>
        <w:jc w:val="left"/>
        <w:rPr>
          <w:rFonts w:hint="eastAsia" w:ascii="宋体" w:hAnsi="宋体" w:eastAsia="宋体" w:cs="宋体"/>
          <w:b w:val="0"/>
          <w:color w:val="000000"/>
          <w:sz w:val="32"/>
          <w:szCs w:val="32"/>
          <w:lang w:val="en-US" w:eastAsia="zh-CN"/>
        </w:rPr>
        <w:sectPr>
          <w:pgSz w:w="11906" w:h="16838"/>
          <w:pgMar w:top="1440" w:right="1800" w:bottom="1440" w:left="1800" w:header="851" w:footer="992" w:gutter="0"/>
          <w:cols w:space="425" w:num="1"/>
          <w:docGrid w:type="lines" w:linePitch="312" w:charSpace="0"/>
        </w:sectPr>
      </w:pPr>
    </w:p>
    <w:p>
      <w:pPr>
        <w:pStyle w:val="2"/>
        <w:jc w:val="both"/>
        <w:rPr>
          <w:rFonts w:hint="eastAsia"/>
          <w:lang w:eastAsia="zh-CN"/>
        </w:rPr>
      </w:pPr>
      <w:bookmarkStart w:id="0" w:name="_Toc32767"/>
      <w:r>
        <w:rPr>
          <w:rFonts w:hint="eastAsia"/>
          <w:lang w:val="en-US" w:eastAsia="zh-CN"/>
        </w:rPr>
        <w:t>1</w:t>
      </w:r>
      <w:r>
        <w:rPr>
          <w:rFonts w:hint="eastAsia"/>
          <w:lang w:eastAsia="zh-CN"/>
        </w:rPr>
        <w:t>、前言</w:t>
      </w:r>
      <w:bookmarkEnd w:id="0"/>
    </w:p>
    <w:p>
      <w:pPr>
        <w:pStyle w:val="3"/>
        <w:pageBreakBefore w:val="0"/>
        <w:widowControl w:val="0"/>
        <w:kinsoku/>
        <w:wordWrap/>
        <w:overflowPunct/>
        <w:topLinePunct w:val="0"/>
        <w:autoSpaceDE w:val="0"/>
        <w:autoSpaceDN w:val="0"/>
        <w:bidi w:val="0"/>
        <w:adjustRightInd/>
        <w:snapToGrid/>
        <w:spacing w:line="360" w:lineRule="auto"/>
        <w:ind w:left="0" w:right="0" w:firstLine="602" w:firstLineChars="200"/>
        <w:textAlignment w:val="auto"/>
        <w:rPr>
          <w:rFonts w:hint="eastAsia" w:ascii="宋体" w:hAnsi="宋体" w:eastAsia="宋体" w:cs="宋体"/>
          <w:lang w:eastAsia="zh-CN"/>
        </w:rPr>
      </w:pPr>
      <w:bookmarkStart w:id="1" w:name="_Toc25116"/>
      <w:r>
        <w:rPr>
          <w:rFonts w:hint="eastAsia" w:ascii="宋体" w:hAnsi="宋体" w:eastAsia="宋体" w:cs="宋体"/>
        </w:rPr>
        <w:t>1</w:t>
      </w:r>
      <w:r>
        <w:rPr>
          <w:rFonts w:hint="eastAsia" w:ascii="宋体" w:hAnsi="宋体" w:eastAsia="宋体" w:cs="宋体"/>
          <w:lang w:val="en-US" w:eastAsia="zh-CN"/>
        </w:rPr>
        <w:t>.1</w:t>
      </w:r>
      <w:r>
        <w:rPr>
          <w:rFonts w:hint="eastAsia" w:ascii="宋体" w:hAnsi="宋体" w:eastAsia="宋体" w:cs="宋体"/>
        </w:rPr>
        <w:t xml:space="preserve"> </w:t>
      </w:r>
      <w:r>
        <w:rPr>
          <w:rFonts w:hint="eastAsia" w:ascii="宋体" w:hAnsi="宋体" w:eastAsia="宋体" w:cs="宋体"/>
          <w:lang w:eastAsia="zh-CN"/>
        </w:rPr>
        <w:t>调查目的和任务</w:t>
      </w:r>
      <w:bookmarkEnd w:id="1"/>
    </w:p>
    <w:p>
      <w:r>
        <w:t>为了贯彻落实“安全第一、预防为主、综合治理”的安全生产方针， 确保企业在发生生产安全事故后能迅速、有序有效地开展应急处置行动， 最大可能避免因事故对人员、设备、财产等造成的伤害和损失，进一步提高对各类生产安全事故的应急处理能力，确保应急资源满足企业需要，根据《生产安全事故应急预案管理办法》（国家安全生产监督管理总局第 88 号令）第十条“编制应急预案前，编制单位应当进行事故风险评估和应急资源调查 ”、《 生产经营单位生产安全事故应急预案编制导则》（GB/T29639--2013）等文件规定，结合企业实际，特编制本应急资源调查报告。</w:t>
      </w:r>
    </w:p>
    <w:p>
      <w:pPr>
        <w:pStyle w:val="3"/>
        <w:rPr>
          <w:rFonts w:hint="eastAsia"/>
          <w:lang w:eastAsia="zh-CN"/>
        </w:rPr>
      </w:pPr>
      <w:bookmarkStart w:id="2" w:name="_Toc429253708"/>
      <w:bookmarkStart w:id="3" w:name="_Toc8795"/>
      <w:r>
        <w:rPr>
          <w:rFonts w:hint="eastAsia"/>
          <w:lang w:val="en-US" w:eastAsia="zh-CN"/>
        </w:rPr>
        <w:t>1.</w:t>
      </w:r>
      <w:r>
        <w:rPr>
          <w:rFonts w:hint="eastAsia"/>
        </w:rPr>
        <w:t xml:space="preserve">2 </w:t>
      </w:r>
      <w:bookmarkEnd w:id="2"/>
      <w:r>
        <w:rPr>
          <w:rFonts w:hint="eastAsia"/>
          <w:lang w:eastAsia="zh-CN"/>
        </w:rPr>
        <w:t>调查报告编制依据</w:t>
      </w:r>
      <w:bookmarkEnd w:id="3"/>
    </w:p>
    <w:p>
      <w:pPr>
        <w:rPr>
          <w:rFonts w:hint="eastAsia"/>
        </w:rPr>
      </w:pPr>
      <w:r>
        <w:rPr>
          <w:rFonts w:hint="eastAsia"/>
        </w:rPr>
        <w:t>《中华人民共和国突发事件应对法》；</w:t>
      </w:r>
    </w:p>
    <w:p>
      <w:pPr>
        <w:rPr>
          <w:rFonts w:hint="eastAsia"/>
        </w:rPr>
      </w:pPr>
      <w:r>
        <w:rPr>
          <w:rFonts w:hint="eastAsia"/>
        </w:rPr>
        <w:t>《突发事件应急预案管理办法》；</w:t>
      </w:r>
    </w:p>
    <w:p>
      <w:pPr>
        <w:rPr>
          <w:rFonts w:hint="eastAsia"/>
        </w:rPr>
      </w:pPr>
      <w:bookmarkStart w:id="4" w:name="OLE_LINK5"/>
      <w:bookmarkStart w:id="5" w:name="OLE_LINK6"/>
      <w:r>
        <w:rPr>
          <w:rFonts w:hint="eastAsia"/>
        </w:rPr>
        <w:t>国务院办公厅关于印发国家突发环境事件应急预案的通知</w:t>
      </w:r>
      <w:bookmarkEnd w:id="4"/>
      <w:bookmarkEnd w:id="5"/>
      <w:r>
        <w:rPr>
          <w:rFonts w:hint="eastAsia"/>
        </w:rPr>
        <w:t>(国办函[2014]119号)；</w:t>
      </w:r>
    </w:p>
    <w:p>
      <w:pPr>
        <w:rPr>
          <w:rFonts w:hint="eastAsia"/>
        </w:rPr>
      </w:pPr>
      <w:r>
        <w:rPr>
          <w:rFonts w:hint="eastAsia"/>
        </w:rPr>
        <w:t>《突发环境事件应急预案管理暂行办法》；</w:t>
      </w:r>
    </w:p>
    <w:p>
      <w:pPr>
        <w:rPr>
          <w:rFonts w:hint="eastAsia"/>
        </w:rPr>
      </w:pPr>
      <w:r>
        <w:rPr>
          <w:rFonts w:hint="eastAsia"/>
        </w:rPr>
        <w:t>《企业环境风险评估技术指南（第二版）》；</w:t>
      </w:r>
    </w:p>
    <w:p>
      <w:pPr>
        <w:rPr>
          <w:rFonts w:hint="eastAsia"/>
        </w:rPr>
      </w:pPr>
      <w:r>
        <w:rPr>
          <w:rFonts w:hint="eastAsia"/>
        </w:rPr>
        <w:t>《企业事业单位突发环境事件应急预案备案管理实施办法</w:t>
      </w:r>
      <w:r>
        <w:t>(</w:t>
      </w:r>
      <w:r>
        <w:rPr>
          <w:rFonts w:hint="eastAsia"/>
        </w:rPr>
        <w:t>试行</w:t>
      </w:r>
      <w:r>
        <w:t>)</w:t>
      </w:r>
      <w:r>
        <w:rPr>
          <w:rFonts w:hint="eastAsia"/>
        </w:rPr>
        <w:t>》</w:t>
      </w:r>
      <w:r>
        <w:t>；</w:t>
      </w:r>
    </w:p>
    <w:p>
      <w:pPr>
        <w:rPr>
          <w:rFonts w:hint="eastAsia"/>
        </w:rPr>
      </w:pPr>
      <w:r>
        <w:rPr>
          <w:rFonts w:hint="eastAsia"/>
        </w:rPr>
        <w:t>《突发环境事件应急管理办法》（环保部第34号令）；</w:t>
      </w:r>
    </w:p>
    <w:p>
      <w:pPr>
        <w:rPr>
          <w:rFonts w:hint="eastAsia" w:eastAsia="仿宋_GB2312"/>
          <w:color w:val="000000"/>
          <w:szCs w:val="28"/>
        </w:rPr>
      </w:pPr>
      <w:r>
        <w:rPr>
          <w:rFonts w:hint="eastAsia"/>
        </w:rPr>
        <w:t>《国家物资储备管理规定》(发改委、财政部第24号令)。</w:t>
      </w:r>
    </w:p>
    <w:p>
      <w:pPr>
        <w:pStyle w:val="2"/>
        <w:numPr>
          <w:ilvl w:val="0"/>
          <w:numId w:val="0"/>
        </w:numPr>
        <w:adjustRightInd/>
        <w:spacing w:before="0" w:after="0" w:line="360" w:lineRule="auto"/>
        <w:ind w:right="0" w:rightChars="0"/>
        <w:jc w:val="left"/>
        <w:rPr>
          <w:rFonts w:hint="eastAsia" w:ascii="宋体" w:hAnsi="宋体" w:eastAsia="宋体" w:cs="宋体"/>
          <w:b w:val="0"/>
          <w:color w:val="000000"/>
          <w:sz w:val="32"/>
          <w:szCs w:val="32"/>
          <w:lang w:val="en-US" w:eastAsia="zh-CN"/>
        </w:rPr>
      </w:pPr>
    </w:p>
    <w:p>
      <w:pPr>
        <w:rPr>
          <w:rFonts w:hint="eastAsia" w:ascii="宋体" w:hAnsi="宋体" w:eastAsia="宋体" w:cs="宋体"/>
          <w:b w:val="0"/>
          <w:color w:val="000000"/>
          <w:sz w:val="32"/>
          <w:szCs w:val="32"/>
          <w:lang w:val="en-US" w:eastAsia="zh-CN"/>
        </w:rPr>
      </w:pPr>
    </w:p>
    <w:p>
      <w:pPr>
        <w:rPr>
          <w:rFonts w:hint="eastAsia" w:ascii="宋体" w:hAnsi="宋体" w:eastAsia="宋体" w:cs="宋体"/>
          <w:b w:val="0"/>
          <w:color w:val="000000"/>
          <w:sz w:val="32"/>
          <w:szCs w:val="32"/>
          <w:lang w:val="en-US" w:eastAsia="zh-CN"/>
        </w:rPr>
      </w:pPr>
    </w:p>
    <w:p>
      <w:pPr>
        <w:pStyle w:val="2"/>
        <w:jc w:val="both"/>
        <w:rPr>
          <w:rFonts w:hint="eastAsia"/>
          <w:lang w:eastAsia="zh-CN"/>
        </w:rPr>
      </w:pPr>
      <w:bookmarkStart w:id="6" w:name="_Toc6215"/>
      <w:r>
        <w:rPr>
          <w:rFonts w:hint="eastAsia"/>
          <w:lang w:val="en-US" w:eastAsia="zh-CN"/>
        </w:rPr>
        <w:t>2.</w:t>
      </w:r>
      <w:r>
        <w:rPr>
          <w:rFonts w:hint="eastAsia"/>
          <w:lang w:eastAsia="zh-CN"/>
        </w:rPr>
        <w:t>企业概况</w:t>
      </w:r>
      <w:bookmarkEnd w:id="6"/>
    </w:p>
    <w:p>
      <w:pPr>
        <w:pStyle w:val="3"/>
        <w:rPr>
          <w:rFonts w:hint="eastAsia"/>
          <w:lang w:eastAsia="zh-CN"/>
        </w:rPr>
      </w:pPr>
      <w:bookmarkStart w:id="7" w:name="_Toc4922"/>
      <w:r>
        <w:rPr>
          <w:rFonts w:hint="eastAsia"/>
          <w:lang w:val="en-US" w:eastAsia="zh-CN"/>
        </w:rPr>
        <w:t>2.1</w:t>
      </w:r>
      <w:r>
        <w:rPr>
          <w:rFonts w:hint="eastAsia"/>
          <w:lang w:eastAsia="zh-CN"/>
        </w:rPr>
        <w:t>企业简介</w:t>
      </w:r>
      <w:bookmarkEnd w:id="7"/>
    </w:p>
    <w:p>
      <w:pPr>
        <w:rPr>
          <w:rFonts w:hint="eastAsia"/>
        </w:rPr>
      </w:pPr>
      <w:r>
        <w:rPr>
          <w:rFonts w:hint="eastAsia"/>
        </w:rPr>
        <w:t>乔旭（九江）企业有限公司位于湖口县金砂湾工业园，是一家成立于2003年12月的外商独资企业，注册资本260万美元；公司主要从事化纤工业废液的处理和综合利用。该企业年生产硫氢化钠7000吨、硫化钠4300吨。于2006年取得江西省安全生产监督管理局颁发的危险化学品安全生产许可证，许可范围为硫氢化钠（含30%结晶水）、硫化钠（含40%结晶水）。</w:t>
      </w:r>
    </w:p>
    <w:p>
      <w:pPr>
        <w:pStyle w:val="3"/>
        <w:rPr>
          <w:rFonts w:hint="eastAsia"/>
          <w:lang w:val="en-US" w:eastAsia="zh-CN"/>
        </w:rPr>
      </w:pPr>
      <w:bookmarkStart w:id="8" w:name="_Toc18989"/>
      <w:r>
        <w:rPr>
          <w:rFonts w:hint="eastAsia"/>
          <w:lang w:val="en-US" w:eastAsia="zh-CN"/>
        </w:rPr>
        <w:t>2.2</w:t>
      </w:r>
      <w:bookmarkStart w:id="9" w:name="_Toc165523167"/>
      <w:bookmarkStart w:id="10" w:name="_Toc224550215"/>
      <w:r>
        <w:rPr>
          <w:rFonts w:hint="eastAsia"/>
        </w:rPr>
        <w:t>工艺、设备设施概况</w:t>
      </w:r>
      <w:bookmarkEnd w:id="9"/>
      <w:bookmarkEnd w:id="10"/>
      <w:r>
        <w:rPr>
          <w:rFonts w:hint="eastAsia"/>
          <w:lang w:val="en-US" w:eastAsia="zh-CN"/>
        </w:rPr>
        <w:t>概况</w:t>
      </w:r>
      <w:bookmarkEnd w:id="8"/>
    </w:p>
    <w:p>
      <w:pPr>
        <w:adjustRightInd w:val="0"/>
        <w:snapToGrid w:val="0"/>
        <w:spacing w:line="480" w:lineRule="exact"/>
        <w:ind w:firstLine="484" w:firstLineChars="202"/>
        <w:rPr>
          <w:rFonts w:hint="eastAsia" w:ascii="宋体" w:hAnsi="宋体" w:eastAsia="宋体" w:cs="宋体"/>
          <w:b w:val="0"/>
          <w:bCs w:val="0"/>
          <w:color w:val="auto"/>
          <w:sz w:val="24"/>
          <w:szCs w:val="24"/>
        </w:rPr>
      </w:pPr>
      <w:bookmarkStart w:id="11" w:name="_Toc97050122"/>
      <w:r>
        <w:rPr>
          <w:rFonts w:hint="eastAsia" w:ascii="宋体" w:hAnsi="宋体" w:eastAsia="宋体" w:cs="宋体"/>
          <w:b w:val="0"/>
          <w:bCs w:val="0"/>
          <w:color w:val="auto"/>
          <w:sz w:val="24"/>
          <w:szCs w:val="24"/>
        </w:rPr>
        <w:t>（1）工艺简述</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1、一次提纯</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将化纤工业废液（含22%的硫氢化钠）过滤纯化后，加入到2号蒸发器进行加热（用高温导热油）浓缩，再转到1号蒸发器进行加热浓缩，搅拌后送压滤机过滤，进入半成品槽。</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2、二次提纯</w:t>
      </w:r>
    </w:p>
    <w:p>
      <w:pPr>
        <w:adjustRightInd w:val="0"/>
        <w:snapToGrid w:val="0"/>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半成品加入到4效罐进行加热浓缩，再转到5效罐进行加热浓缩至70%标准浓度，送到成品桶；液体进行冷却制片，生成黄色不透明固体，即产品硫氢化钠。将已提纯过滤浓缩后的硫氢化钠液体，加入</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"http://baike.baidu.com/w?ct=17&amp;lm=0&amp;tn=baiduWikiSearch&amp;pn=0&amp;rn=10&amp;submit=search&amp;word=tag:%C7%E2%D1%F5%BB%AF%C4%C6&amp;tagfromview" \t "_blank"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氢氧化钠</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溶液进行反应，反应生成硫化钠溶液进行加热浓缩至</w:t>
      </w:r>
      <w:r>
        <w:rPr>
          <w:rFonts w:hint="eastAsia" w:cs="宋体"/>
          <w:color w:val="auto"/>
          <w:sz w:val="24"/>
          <w:szCs w:val="24"/>
          <w:lang w:val="en-US" w:eastAsia="zh-CN"/>
        </w:rPr>
        <w:t>7</w:t>
      </w:r>
      <w:r>
        <w:rPr>
          <w:rFonts w:hint="eastAsia" w:ascii="宋体" w:hAnsi="宋体" w:eastAsia="宋体" w:cs="宋体"/>
          <w:color w:val="auto"/>
          <w:sz w:val="24"/>
          <w:szCs w:val="24"/>
        </w:rPr>
        <w:t>0%浓度后，经冷冻制片即得成品硫化钠。</w:t>
      </w:r>
    </w:p>
    <w:p>
      <w:pPr>
        <w:adjustRightInd w:val="0"/>
        <w:snapToGrid w:val="0"/>
        <w:spacing w:line="480" w:lineRule="exact"/>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加热过程中有微量硫化氢产生，经洗涤塔（用氢氧化钠溶液）溶解吸收处理。吸收液循环利用。</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H</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S+NaOH─→NaHS+H</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 xml:space="preserve">O     </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NaHS+NaOH─→Na</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S+H</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 xml:space="preserve">O </w:t>
      </w:r>
    </w:p>
    <w:p>
      <w:pPr>
        <w:adjustRightInd w:val="0"/>
        <w:snapToGrid w:val="0"/>
        <w:spacing w:line="480" w:lineRule="exact"/>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加热是利用锅炉导热油在蒸发槽内加热，使用温度为220℃。</w:t>
      </w:r>
    </w:p>
    <w:p>
      <w:pPr>
        <w:adjustRightInd w:val="0"/>
        <w:snapToGrid w:val="0"/>
        <w:spacing w:line="480" w:lineRule="exact"/>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冷冻则是由氟里昂制冷机制成冷媒输送至制片机，工作温度-10℃。</w:t>
      </w:r>
    </w:p>
    <w:bookmarkEnd w:id="11"/>
    <w:p>
      <w:pPr>
        <w:spacing w:line="480" w:lineRule="exact"/>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（2）生产流程示意</w:t>
      </w:r>
    </w:p>
    <w:p>
      <w:pPr>
        <w:spacing w:line="480" w:lineRule="exact"/>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22%NaHS废液→过滤纯化→加热浓缩→压滤机过滤→加热浓缩→冷却制片，得到硫氢化钠。</w:t>
      </w:r>
    </w:p>
    <w:p>
      <w:pPr>
        <w:spacing w:line="480" w:lineRule="exact"/>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硫氢化钠液体→加入</w:t>
      </w:r>
      <w:r>
        <w:rPr>
          <w:rFonts w:hint="eastAsia" w:ascii="宋体" w:hAnsi="宋体" w:eastAsia="宋体" w:cs="宋体"/>
          <w:b w:val="0"/>
          <w:bCs/>
          <w:color w:val="auto"/>
          <w:sz w:val="24"/>
          <w:szCs w:val="24"/>
        </w:rPr>
        <w:fldChar w:fldCharType="begin"/>
      </w:r>
      <w:r>
        <w:rPr>
          <w:rFonts w:hint="eastAsia" w:ascii="宋体" w:hAnsi="宋体" w:eastAsia="宋体" w:cs="宋体"/>
          <w:b w:val="0"/>
          <w:bCs/>
          <w:color w:val="auto"/>
          <w:sz w:val="24"/>
          <w:szCs w:val="24"/>
        </w:rPr>
        <w:instrText xml:space="preserve"> HYPERLINK "http://baike.baidu.com/w?ct=17&amp;lm=0&amp;tn=baiduWikiSearch&amp;pn=0&amp;rn=10&amp;submit=search&amp;word=tag:%C7%E2%D1%F5%BB%AF%C4%C6&amp;tagfromview" \t "_blank" </w:instrText>
      </w:r>
      <w:r>
        <w:rPr>
          <w:rFonts w:hint="eastAsia" w:ascii="宋体" w:hAnsi="宋体" w:eastAsia="宋体" w:cs="宋体"/>
          <w:b w:val="0"/>
          <w:bCs/>
          <w:color w:val="auto"/>
          <w:sz w:val="24"/>
          <w:szCs w:val="24"/>
        </w:rPr>
        <w:fldChar w:fldCharType="separate"/>
      </w:r>
      <w:r>
        <w:rPr>
          <w:rFonts w:hint="eastAsia" w:ascii="宋体" w:hAnsi="宋体" w:eastAsia="宋体" w:cs="宋体"/>
          <w:b w:val="0"/>
          <w:bCs/>
          <w:color w:val="auto"/>
          <w:sz w:val="24"/>
          <w:szCs w:val="24"/>
        </w:rPr>
        <w:t>氢氧化钠</w:t>
      </w:r>
      <w:r>
        <w:rPr>
          <w:rFonts w:hint="eastAsia" w:ascii="宋体" w:hAnsi="宋体" w:eastAsia="宋体" w:cs="宋体"/>
          <w:b w:val="0"/>
          <w:bCs/>
          <w:color w:val="auto"/>
          <w:sz w:val="24"/>
          <w:szCs w:val="24"/>
        </w:rPr>
        <w:fldChar w:fldCharType="end"/>
      </w:r>
      <w:r>
        <w:rPr>
          <w:rFonts w:hint="eastAsia" w:ascii="宋体" w:hAnsi="宋体" w:eastAsia="宋体" w:cs="宋体"/>
          <w:b w:val="0"/>
          <w:bCs/>
          <w:color w:val="auto"/>
          <w:sz w:val="24"/>
          <w:szCs w:val="24"/>
        </w:rPr>
        <w:t>反应→加热浓缩至</w:t>
      </w:r>
      <w:r>
        <w:rPr>
          <w:rFonts w:hint="eastAsia" w:cs="宋体"/>
          <w:b w:val="0"/>
          <w:bCs/>
          <w:color w:val="auto"/>
          <w:sz w:val="24"/>
          <w:szCs w:val="24"/>
          <w:lang w:val="en-US" w:eastAsia="zh-CN"/>
        </w:rPr>
        <w:t>7</w:t>
      </w:r>
      <w:r>
        <w:rPr>
          <w:rFonts w:hint="eastAsia" w:ascii="宋体" w:hAnsi="宋体" w:eastAsia="宋体" w:cs="宋体"/>
          <w:b w:val="0"/>
          <w:bCs/>
          <w:color w:val="auto"/>
          <w:sz w:val="24"/>
          <w:szCs w:val="24"/>
        </w:rPr>
        <w:t>0%浓度→冷冻制片，得到硫化钠</w:t>
      </w:r>
    </w:p>
    <w:p>
      <w:pPr>
        <w:spacing w:line="480" w:lineRule="exact"/>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（3）主要设备设施</w:t>
      </w:r>
    </w:p>
    <w:p>
      <w:pPr>
        <w:spacing w:line="480" w:lineRule="exact"/>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主要设备设施见下表。</w:t>
      </w:r>
    </w:p>
    <w:p>
      <w:pPr>
        <w:adjustRightInd w:val="0"/>
        <w:snapToGrid w:val="0"/>
        <w:spacing w:line="360" w:lineRule="auto"/>
        <w:jc w:val="center"/>
        <w:rPr>
          <w:rFonts w:hint="eastAsia" w:ascii="宋体" w:hAnsi="宋体"/>
          <w:b/>
          <w:bCs/>
          <w:color w:val="auto"/>
          <w:sz w:val="28"/>
        </w:rPr>
      </w:pPr>
      <w:r>
        <w:rPr>
          <w:rFonts w:hint="eastAsia" w:ascii="宋体" w:hAnsi="宋体"/>
          <w:b/>
          <w:bCs/>
          <w:color w:val="auto"/>
          <w:sz w:val="28"/>
        </w:rPr>
        <w:t>表</w:t>
      </w:r>
      <w:r>
        <w:rPr>
          <w:rFonts w:hint="eastAsia"/>
          <w:b/>
          <w:bCs/>
          <w:color w:val="auto"/>
          <w:sz w:val="28"/>
          <w:lang w:val="en-US" w:eastAsia="zh-CN"/>
        </w:rPr>
        <w:t>2.2</w:t>
      </w:r>
      <w:r>
        <w:rPr>
          <w:rFonts w:hint="eastAsia" w:ascii="宋体" w:hAnsi="宋体"/>
          <w:b/>
          <w:bCs/>
          <w:color w:val="auto"/>
          <w:sz w:val="28"/>
        </w:rPr>
        <w:t>-</w:t>
      </w:r>
      <w:r>
        <w:rPr>
          <w:rFonts w:hint="eastAsia"/>
          <w:b/>
          <w:bCs/>
          <w:color w:val="auto"/>
          <w:sz w:val="28"/>
          <w:lang w:val="en-US" w:eastAsia="zh-CN"/>
        </w:rPr>
        <w:t>1</w:t>
      </w:r>
      <w:r>
        <w:rPr>
          <w:rFonts w:hint="eastAsia" w:ascii="宋体" w:hAnsi="宋体"/>
          <w:b/>
          <w:bCs/>
          <w:color w:val="auto"/>
          <w:sz w:val="28"/>
        </w:rPr>
        <w:t xml:space="preserve"> 主要设备情况</w:t>
      </w:r>
    </w:p>
    <w:tbl>
      <w:tblPr>
        <w:tblStyle w:val="16"/>
        <w:tblW w:w="8408"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762"/>
        <w:gridCol w:w="1761"/>
        <w:gridCol w:w="2309"/>
        <w:gridCol w:w="2342"/>
        <w:gridCol w:w="12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序号</w:t>
            </w:r>
          </w:p>
        </w:tc>
        <w:tc>
          <w:tcPr>
            <w:tcW w:w="1761" w:type="dxa"/>
            <w:vAlign w:val="center"/>
          </w:tcPr>
          <w:p>
            <w:pPr>
              <w:pStyle w:val="6"/>
              <w:spacing w:line="320" w:lineRule="exact"/>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设备名称</w:t>
            </w:r>
          </w:p>
        </w:tc>
        <w:tc>
          <w:tcPr>
            <w:tcW w:w="2309" w:type="dxa"/>
            <w:vAlign w:val="center"/>
          </w:tcPr>
          <w:p>
            <w:pPr>
              <w:pStyle w:val="6"/>
              <w:spacing w:line="320" w:lineRule="exact"/>
              <w:jc w:val="center"/>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规格</w:t>
            </w:r>
          </w:p>
        </w:tc>
        <w:tc>
          <w:tcPr>
            <w:tcW w:w="2342" w:type="dxa"/>
            <w:vAlign w:val="center"/>
          </w:tcPr>
          <w:p>
            <w:pPr>
              <w:pStyle w:val="6"/>
              <w:spacing w:line="320" w:lineRule="exact"/>
              <w:jc w:val="center"/>
              <w:rPr>
                <w:rFonts w:hint="eastAsia" w:ascii="宋体" w:hAnsi="宋体" w:eastAsia="宋体" w:cs="宋体"/>
                <w:b/>
                <w:bCs w:val="0"/>
                <w:color w:val="auto"/>
                <w:sz w:val="21"/>
                <w:szCs w:val="21"/>
                <w:vertAlign w:val="superscript"/>
              </w:rPr>
            </w:pPr>
            <w:r>
              <w:rPr>
                <w:rFonts w:hint="eastAsia" w:ascii="宋体" w:hAnsi="宋体" w:eastAsia="宋体" w:cs="宋体"/>
                <w:b/>
                <w:bCs w:val="0"/>
                <w:color w:val="auto"/>
                <w:sz w:val="21"/>
                <w:szCs w:val="21"/>
              </w:rPr>
              <w:t>数量</w:t>
            </w:r>
          </w:p>
        </w:tc>
        <w:tc>
          <w:tcPr>
            <w:tcW w:w="1234" w:type="dxa"/>
            <w:tcBorders>
              <w:right w:val="single" w:color="auto" w:sz="4" w:space="0"/>
            </w:tcBorders>
            <w:vAlign w:val="center"/>
          </w:tcPr>
          <w:p>
            <w:pPr>
              <w:pStyle w:val="6"/>
              <w:spacing w:line="320" w:lineRule="exact"/>
              <w:ind w:firstLine="0"/>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浓缩器</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5000L</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交换器</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0.6×6m</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蒸发器</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3000L</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蒸发循环泵</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7.5HP</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14台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5</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真空泵</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15HP</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13台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自动脱水机</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48″15HP</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6套</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吸收塔</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76-300cm</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8</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制片机组</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1.2m×1.5m</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6套</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w:t>
            </w:r>
          </w:p>
        </w:tc>
        <w:tc>
          <w:tcPr>
            <w:tcW w:w="1761" w:type="dxa"/>
            <w:vAlign w:val="center"/>
          </w:tcPr>
          <w:p>
            <w:pPr>
              <w:pStyle w:val="6"/>
              <w:spacing w:line="320" w:lineRule="exact"/>
              <w:ind w:firstLine="315" w:firstLineChars="1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冷冻机</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4台</w:t>
            </w:r>
          </w:p>
        </w:tc>
        <w:tc>
          <w:tcPr>
            <w:tcW w:w="1234" w:type="dxa"/>
            <w:tcBorders>
              <w:right w:val="single" w:color="auto" w:sz="4" w:space="0"/>
            </w:tcBorders>
            <w:vAlign w:val="center"/>
          </w:tcPr>
          <w:p>
            <w:pPr>
              <w:pStyle w:val="6"/>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氟利昂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w:t>
            </w:r>
          </w:p>
        </w:tc>
        <w:tc>
          <w:tcPr>
            <w:tcW w:w="1761" w:type="dxa"/>
            <w:vAlign w:val="center"/>
          </w:tcPr>
          <w:p>
            <w:pPr>
              <w:pStyle w:val="6"/>
              <w:spacing w:line="320" w:lineRule="exact"/>
              <w:ind w:firstLine="315" w:firstLineChars="1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堆高机</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3t</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w:t>
            </w:r>
          </w:p>
        </w:tc>
        <w:tc>
          <w:tcPr>
            <w:tcW w:w="1761"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压滤机</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XMYJ60-800-UB</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13</w:t>
            </w:r>
          </w:p>
        </w:tc>
        <w:tc>
          <w:tcPr>
            <w:tcW w:w="1761" w:type="dxa"/>
            <w:vAlign w:val="center"/>
          </w:tcPr>
          <w:p>
            <w:pPr>
              <w:pStyle w:val="6"/>
              <w:spacing w:line="32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深井泵</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100J10-60／10</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14</w:t>
            </w:r>
          </w:p>
        </w:tc>
        <w:tc>
          <w:tcPr>
            <w:tcW w:w="1761" w:type="dxa"/>
            <w:vAlign w:val="center"/>
          </w:tcPr>
          <w:p>
            <w:pPr>
              <w:pStyle w:val="6"/>
              <w:spacing w:line="32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深井泵</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100J2-90／12-1.5</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501" w:hRule="atLeast"/>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15</w:t>
            </w:r>
          </w:p>
        </w:tc>
        <w:tc>
          <w:tcPr>
            <w:tcW w:w="1761" w:type="dxa"/>
            <w:vAlign w:val="center"/>
          </w:tcPr>
          <w:p>
            <w:pPr>
              <w:pStyle w:val="6"/>
              <w:spacing w:line="320" w:lineRule="exact"/>
              <w:ind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原料储罐</w:t>
            </w:r>
          </w:p>
        </w:tc>
        <w:tc>
          <w:tcPr>
            <w:tcW w:w="2309" w:type="dxa"/>
            <w:vAlign w:val="center"/>
          </w:tcPr>
          <w:p>
            <w:pPr>
              <w:pStyle w:val="6"/>
              <w:spacing w:line="320" w:lineRule="exact"/>
              <w:jc w:val="center"/>
              <w:rPr>
                <w:rFonts w:hint="eastAsia" w:ascii="宋体" w:hAnsi="宋体" w:eastAsia="宋体" w:cs="宋体"/>
                <w:b w:val="0"/>
                <w:bCs/>
                <w:color w:val="auto"/>
                <w:sz w:val="21"/>
                <w:szCs w:val="21"/>
                <w:vertAlign w:val="superscript"/>
              </w:rPr>
            </w:pPr>
            <w:r>
              <w:rPr>
                <w:rFonts w:hint="eastAsia" w:cs="宋体"/>
                <w:b w:val="0"/>
                <w:bCs/>
                <w:color w:val="auto"/>
                <w:sz w:val="21"/>
                <w:szCs w:val="21"/>
                <w:lang w:val="en-US" w:eastAsia="zh-CN"/>
              </w:rPr>
              <w:t>1000</w:t>
            </w:r>
            <w:r>
              <w:rPr>
                <w:rFonts w:hint="eastAsia" w:ascii="宋体" w:hAnsi="宋体" w:eastAsia="宋体" w:cs="宋体"/>
                <w:b w:val="0"/>
                <w:bCs/>
                <w:color w:val="auto"/>
                <w:sz w:val="21"/>
                <w:szCs w:val="21"/>
              </w:rPr>
              <w:t>m</w:t>
            </w:r>
            <w:r>
              <w:rPr>
                <w:rFonts w:hint="eastAsia" w:ascii="宋体" w:hAnsi="宋体" w:eastAsia="宋体" w:cs="宋体"/>
                <w:b w:val="0"/>
                <w:bCs/>
                <w:color w:val="auto"/>
                <w:sz w:val="21"/>
                <w:szCs w:val="21"/>
                <w:vertAlign w:val="superscript"/>
              </w:rPr>
              <w:t>3</w:t>
            </w:r>
            <w:r>
              <w:rPr>
                <w:rFonts w:hint="eastAsia" w:ascii="宋体" w:hAnsi="宋体" w:eastAsia="宋体" w:cs="宋体"/>
                <w:b w:val="0"/>
                <w:bCs/>
                <w:color w:val="auto"/>
                <w:sz w:val="21"/>
                <w:szCs w:val="21"/>
              </w:rPr>
              <w:t>300m</w:t>
            </w:r>
            <w:r>
              <w:rPr>
                <w:rFonts w:hint="eastAsia" w:ascii="宋体" w:hAnsi="宋体" w:eastAsia="宋体" w:cs="宋体"/>
                <w:b w:val="0"/>
                <w:bCs/>
                <w:color w:val="auto"/>
                <w:sz w:val="21"/>
                <w:szCs w:val="21"/>
                <w:vertAlign w:val="superscript"/>
              </w:rPr>
              <w:t>3</w:t>
            </w:r>
          </w:p>
        </w:tc>
        <w:tc>
          <w:tcPr>
            <w:tcW w:w="2342" w:type="dxa"/>
            <w:vAlign w:val="center"/>
          </w:tcPr>
          <w:p>
            <w:pPr>
              <w:pStyle w:val="6"/>
              <w:spacing w:line="320" w:lineRule="exact"/>
              <w:jc w:val="center"/>
              <w:rPr>
                <w:rFonts w:hint="eastAsia" w:ascii="宋体" w:hAnsi="宋体" w:eastAsia="宋体" w:cs="宋体"/>
                <w:b w:val="0"/>
                <w:bCs/>
                <w:color w:val="auto"/>
                <w:sz w:val="21"/>
                <w:szCs w:val="21"/>
                <w:vertAlign w:val="baseline"/>
                <w:lang w:val="en-US" w:eastAsia="zh-CN"/>
              </w:rPr>
            </w:pPr>
            <w:r>
              <w:rPr>
                <w:rFonts w:hint="eastAsia" w:cs="宋体"/>
                <w:b w:val="0"/>
                <w:bCs/>
                <w:color w:val="auto"/>
                <w:sz w:val="21"/>
                <w:szCs w:val="21"/>
                <w:lang w:val="en-US" w:eastAsia="zh-CN"/>
              </w:rPr>
              <w:t>1000</w:t>
            </w:r>
            <w:r>
              <w:rPr>
                <w:rFonts w:hint="eastAsia" w:ascii="宋体" w:hAnsi="宋体" w:eastAsia="宋体" w:cs="宋体"/>
                <w:b w:val="0"/>
                <w:bCs/>
                <w:color w:val="auto"/>
                <w:sz w:val="21"/>
                <w:szCs w:val="21"/>
              </w:rPr>
              <w:t>m</w:t>
            </w:r>
            <w:r>
              <w:rPr>
                <w:rFonts w:hint="eastAsia" w:ascii="宋体" w:hAnsi="宋体" w:eastAsia="宋体" w:cs="宋体"/>
                <w:b w:val="0"/>
                <w:bCs/>
                <w:color w:val="auto"/>
                <w:sz w:val="21"/>
                <w:szCs w:val="21"/>
                <w:vertAlign w:val="superscript"/>
              </w:rPr>
              <w:t>3</w:t>
            </w:r>
            <w:r>
              <w:rPr>
                <w:rFonts w:hint="eastAsia" w:cs="宋体"/>
                <w:b w:val="0"/>
                <w:bCs/>
                <w:color w:val="auto"/>
                <w:sz w:val="21"/>
                <w:szCs w:val="21"/>
                <w:vertAlign w:val="baseline"/>
                <w:lang w:val="en-US" w:eastAsia="zh-CN"/>
              </w:rPr>
              <w:t>3台</w:t>
            </w:r>
            <w:r>
              <w:rPr>
                <w:rFonts w:hint="eastAsia" w:ascii="宋体" w:hAnsi="宋体" w:eastAsia="宋体" w:cs="宋体"/>
                <w:b w:val="0"/>
                <w:bCs/>
                <w:color w:val="auto"/>
                <w:sz w:val="21"/>
                <w:szCs w:val="21"/>
              </w:rPr>
              <w:t>300m</w:t>
            </w:r>
            <w:r>
              <w:rPr>
                <w:rFonts w:hint="eastAsia" w:ascii="宋体" w:hAnsi="宋体" w:eastAsia="宋体" w:cs="宋体"/>
                <w:b w:val="0"/>
                <w:bCs/>
                <w:color w:val="auto"/>
                <w:sz w:val="21"/>
                <w:szCs w:val="21"/>
                <w:vertAlign w:val="superscript"/>
              </w:rPr>
              <w:t>3</w:t>
            </w:r>
            <w:r>
              <w:rPr>
                <w:rFonts w:hint="eastAsia" w:cs="宋体"/>
                <w:b w:val="0"/>
                <w:bCs/>
                <w:color w:val="auto"/>
                <w:sz w:val="21"/>
                <w:szCs w:val="21"/>
                <w:vertAlign w:val="baseline"/>
                <w:lang w:val="en-US" w:eastAsia="zh-CN"/>
              </w:rPr>
              <w:t>4台</w:t>
            </w:r>
          </w:p>
        </w:tc>
        <w:tc>
          <w:tcPr>
            <w:tcW w:w="1234" w:type="dxa"/>
            <w:tcBorders>
              <w:right w:val="single" w:color="auto" w:sz="4" w:space="0"/>
            </w:tcBorders>
            <w:vAlign w:val="center"/>
          </w:tcPr>
          <w:p>
            <w:pPr>
              <w:pStyle w:val="6"/>
              <w:spacing w:line="320" w:lineRule="exact"/>
              <w:ind w:left="0" w:leftChars="0" w:firstLine="0" w:firstLineChars="0"/>
              <w:jc w:val="both"/>
              <w:rPr>
                <w:rFonts w:hint="eastAsia" w:ascii="宋体" w:hAnsi="宋体" w:eastAsia="宋体" w:cs="宋体"/>
                <w:b w:val="0"/>
                <w:bCs/>
                <w:color w:val="auto"/>
                <w:sz w:val="21"/>
                <w:szCs w:val="21"/>
                <w:vertAlign w:val="baseline"/>
                <w:lang w:val="en-US" w:eastAsia="zh-CN"/>
              </w:rPr>
            </w:pPr>
            <w:r>
              <w:rPr>
                <w:rFonts w:hint="eastAsia" w:cs="宋体"/>
                <w:b w:val="0"/>
                <w:bCs/>
                <w:color w:val="auto"/>
                <w:sz w:val="21"/>
                <w:szCs w:val="21"/>
                <w:lang w:val="en-US" w:eastAsia="zh-CN"/>
              </w:rPr>
              <w:t>2台1000</w:t>
            </w:r>
            <w:r>
              <w:rPr>
                <w:rFonts w:hint="eastAsia" w:ascii="宋体" w:hAnsi="宋体" w:eastAsia="宋体" w:cs="宋体"/>
                <w:b w:val="0"/>
                <w:bCs/>
                <w:color w:val="auto"/>
                <w:sz w:val="21"/>
                <w:szCs w:val="21"/>
              </w:rPr>
              <w:t>m</w:t>
            </w:r>
            <w:r>
              <w:rPr>
                <w:rFonts w:hint="eastAsia" w:ascii="宋体" w:hAnsi="宋体" w:eastAsia="宋体" w:cs="宋体"/>
                <w:b w:val="0"/>
                <w:bCs/>
                <w:color w:val="auto"/>
                <w:sz w:val="21"/>
                <w:szCs w:val="21"/>
                <w:vertAlign w:val="superscript"/>
              </w:rPr>
              <w:t>3</w:t>
            </w:r>
            <w:r>
              <w:rPr>
                <w:rFonts w:hint="eastAsia" w:cs="宋体"/>
                <w:b w:val="0"/>
                <w:bCs/>
                <w:color w:val="auto"/>
                <w:sz w:val="21"/>
                <w:szCs w:val="21"/>
                <w:vertAlign w:val="superscript"/>
                <w:lang w:val="en-US" w:eastAsia="zh-CN"/>
              </w:rPr>
              <w:t xml:space="preserve"> </w:t>
            </w:r>
            <w:r>
              <w:rPr>
                <w:rFonts w:hint="eastAsia" w:cs="宋体"/>
                <w:b w:val="0"/>
                <w:bCs/>
                <w:color w:val="auto"/>
                <w:sz w:val="21"/>
                <w:szCs w:val="21"/>
                <w:vertAlign w:val="baseline"/>
                <w:lang w:val="en-US" w:eastAsia="zh-CN"/>
              </w:rPr>
              <w:t>作为备用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501" w:hRule="atLeast"/>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16</w:t>
            </w:r>
          </w:p>
        </w:tc>
        <w:tc>
          <w:tcPr>
            <w:tcW w:w="1761" w:type="dxa"/>
            <w:vAlign w:val="center"/>
          </w:tcPr>
          <w:p>
            <w:pPr>
              <w:pStyle w:val="6"/>
              <w:spacing w:line="320" w:lineRule="exact"/>
              <w:ind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半成品储罐</w:t>
            </w:r>
          </w:p>
        </w:tc>
        <w:tc>
          <w:tcPr>
            <w:tcW w:w="2309" w:type="dxa"/>
            <w:vAlign w:val="center"/>
          </w:tcPr>
          <w:p>
            <w:pPr>
              <w:pStyle w:val="6"/>
              <w:spacing w:line="320" w:lineRule="exact"/>
              <w:jc w:val="center"/>
              <w:rPr>
                <w:rFonts w:hint="eastAsia" w:ascii="宋体" w:hAnsi="宋体" w:eastAsia="宋体" w:cs="宋体"/>
                <w:b w:val="0"/>
                <w:bCs/>
                <w:color w:val="auto"/>
                <w:sz w:val="21"/>
                <w:szCs w:val="21"/>
                <w:vertAlign w:val="superscript"/>
              </w:rPr>
            </w:pPr>
            <w:r>
              <w:rPr>
                <w:rFonts w:hint="eastAsia" w:ascii="宋体" w:hAnsi="宋体" w:eastAsia="宋体" w:cs="宋体"/>
                <w:b w:val="0"/>
                <w:bCs/>
                <w:color w:val="auto"/>
                <w:sz w:val="21"/>
                <w:szCs w:val="21"/>
              </w:rPr>
              <w:t>50m</w:t>
            </w:r>
            <w:r>
              <w:rPr>
                <w:rFonts w:hint="eastAsia" w:ascii="宋体" w:hAnsi="宋体" w:eastAsia="宋体" w:cs="宋体"/>
                <w:b w:val="0"/>
                <w:bCs/>
                <w:color w:val="auto"/>
                <w:sz w:val="21"/>
                <w:szCs w:val="21"/>
                <w:vertAlign w:val="superscript"/>
              </w:rPr>
              <w:t>3</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501" w:hRule="atLeast"/>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17</w:t>
            </w:r>
          </w:p>
        </w:tc>
        <w:tc>
          <w:tcPr>
            <w:tcW w:w="1761" w:type="dxa"/>
            <w:vAlign w:val="center"/>
          </w:tcPr>
          <w:p>
            <w:pPr>
              <w:pStyle w:val="6"/>
              <w:spacing w:line="320" w:lineRule="exact"/>
              <w:ind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半成品储罐</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30m</w:t>
            </w:r>
            <w:r>
              <w:rPr>
                <w:rFonts w:hint="eastAsia" w:ascii="宋体" w:hAnsi="宋体" w:eastAsia="宋体" w:cs="宋体"/>
                <w:b w:val="0"/>
                <w:bCs/>
                <w:color w:val="auto"/>
                <w:sz w:val="21"/>
                <w:szCs w:val="21"/>
                <w:vertAlign w:val="superscript"/>
              </w:rPr>
              <w:t>3</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18</w:t>
            </w:r>
          </w:p>
        </w:tc>
        <w:tc>
          <w:tcPr>
            <w:tcW w:w="1761" w:type="dxa"/>
            <w:vAlign w:val="center"/>
          </w:tcPr>
          <w:p>
            <w:pPr>
              <w:pStyle w:val="6"/>
              <w:spacing w:line="320" w:lineRule="exact"/>
              <w:ind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烧碱储罐</w:t>
            </w:r>
          </w:p>
        </w:tc>
        <w:tc>
          <w:tcPr>
            <w:tcW w:w="2309" w:type="dxa"/>
            <w:vAlign w:val="center"/>
          </w:tcPr>
          <w:p>
            <w:pPr>
              <w:pStyle w:val="6"/>
              <w:spacing w:line="320" w:lineRule="exact"/>
              <w:jc w:val="center"/>
              <w:rPr>
                <w:rFonts w:hint="eastAsia" w:ascii="宋体" w:hAnsi="宋体" w:eastAsia="宋体" w:cs="宋体"/>
                <w:b w:val="0"/>
                <w:bCs/>
                <w:color w:val="auto"/>
                <w:sz w:val="21"/>
                <w:szCs w:val="21"/>
                <w:vertAlign w:val="superscript"/>
              </w:rPr>
            </w:pPr>
            <w:r>
              <w:rPr>
                <w:rFonts w:hint="eastAsia" w:ascii="宋体" w:hAnsi="宋体" w:eastAsia="宋体" w:cs="宋体"/>
                <w:b w:val="0"/>
                <w:bCs/>
                <w:color w:val="auto"/>
                <w:sz w:val="21"/>
                <w:szCs w:val="21"/>
              </w:rPr>
              <w:t>50m</w:t>
            </w:r>
            <w:r>
              <w:rPr>
                <w:rFonts w:hint="eastAsia" w:ascii="宋体" w:hAnsi="宋体" w:eastAsia="宋体" w:cs="宋体"/>
                <w:b w:val="0"/>
                <w:bCs/>
                <w:color w:val="auto"/>
                <w:sz w:val="21"/>
                <w:szCs w:val="21"/>
                <w:vertAlign w:val="superscript"/>
              </w:rPr>
              <w:t>3</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19</w:t>
            </w:r>
          </w:p>
        </w:tc>
        <w:tc>
          <w:tcPr>
            <w:tcW w:w="1761" w:type="dxa"/>
            <w:vAlign w:val="center"/>
          </w:tcPr>
          <w:p>
            <w:pPr>
              <w:pStyle w:val="6"/>
              <w:spacing w:line="320" w:lineRule="exact"/>
              <w:ind w:firstLine="525" w:firstLineChars="2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冷凝水储罐</w:t>
            </w:r>
          </w:p>
        </w:tc>
        <w:tc>
          <w:tcPr>
            <w:tcW w:w="2309" w:type="dxa"/>
            <w:vAlign w:val="center"/>
          </w:tcPr>
          <w:p>
            <w:pPr>
              <w:pStyle w:val="6"/>
              <w:spacing w:line="320" w:lineRule="exact"/>
              <w:jc w:val="center"/>
              <w:rPr>
                <w:rFonts w:hint="eastAsia" w:ascii="宋体" w:hAnsi="宋体" w:eastAsia="宋体" w:cs="宋体"/>
                <w:b w:val="0"/>
                <w:bCs/>
                <w:color w:val="auto"/>
                <w:sz w:val="21"/>
                <w:szCs w:val="21"/>
                <w:vertAlign w:val="superscript"/>
              </w:rPr>
            </w:pPr>
            <w:r>
              <w:rPr>
                <w:rFonts w:hint="eastAsia" w:ascii="宋体" w:hAnsi="宋体" w:eastAsia="宋体" w:cs="宋体"/>
                <w:b w:val="0"/>
                <w:bCs/>
                <w:color w:val="auto"/>
                <w:sz w:val="21"/>
                <w:szCs w:val="21"/>
              </w:rPr>
              <w:t>30m</w:t>
            </w:r>
            <w:r>
              <w:rPr>
                <w:rFonts w:hint="eastAsia" w:ascii="宋体" w:hAnsi="宋体" w:eastAsia="宋体" w:cs="宋体"/>
                <w:b w:val="0"/>
                <w:bCs/>
                <w:color w:val="auto"/>
                <w:sz w:val="21"/>
                <w:szCs w:val="21"/>
                <w:vertAlign w:val="superscript"/>
              </w:rPr>
              <w:t>3</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bookmarkStart w:id="12" w:name="_Toc224550211"/>
            <w:r>
              <w:rPr>
                <w:rFonts w:hint="eastAsia" w:ascii="宋体" w:hAnsi="宋体" w:eastAsia="宋体" w:cs="宋体"/>
                <w:b w:val="0"/>
                <w:bCs/>
                <w:color w:val="auto"/>
                <w:sz w:val="21"/>
                <w:szCs w:val="21"/>
              </w:rPr>
              <w:t>20</w:t>
            </w:r>
          </w:p>
        </w:tc>
        <w:tc>
          <w:tcPr>
            <w:tcW w:w="1761" w:type="dxa"/>
            <w:vAlign w:val="center"/>
          </w:tcPr>
          <w:p>
            <w:pPr>
              <w:pStyle w:val="6"/>
              <w:spacing w:line="320" w:lineRule="exact"/>
              <w:ind w:firstLine="525" w:firstLineChars="2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调配罐</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30m</w:t>
            </w:r>
            <w:r>
              <w:rPr>
                <w:rFonts w:hint="eastAsia" w:ascii="宋体" w:hAnsi="宋体" w:eastAsia="宋体" w:cs="宋体"/>
                <w:b w:val="0"/>
                <w:bCs/>
                <w:color w:val="auto"/>
                <w:sz w:val="21"/>
                <w:szCs w:val="21"/>
                <w:vertAlign w:val="superscript"/>
              </w:rPr>
              <w:t>3</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6"/>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应急收集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21</w:t>
            </w:r>
          </w:p>
        </w:tc>
        <w:tc>
          <w:tcPr>
            <w:tcW w:w="1761" w:type="dxa"/>
            <w:vAlign w:val="center"/>
          </w:tcPr>
          <w:p>
            <w:pPr>
              <w:pStyle w:val="6"/>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有机载热体锅炉</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YLL-3500MA</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22</w:t>
            </w:r>
          </w:p>
        </w:tc>
        <w:tc>
          <w:tcPr>
            <w:tcW w:w="1761" w:type="dxa"/>
            <w:vAlign w:val="center"/>
          </w:tcPr>
          <w:p>
            <w:pPr>
              <w:pStyle w:val="6"/>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有机载热体锅炉(1#)</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YLW-4200MA</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23</w:t>
            </w:r>
          </w:p>
        </w:tc>
        <w:tc>
          <w:tcPr>
            <w:tcW w:w="1761" w:type="dxa"/>
            <w:vAlign w:val="center"/>
          </w:tcPr>
          <w:p>
            <w:pPr>
              <w:pStyle w:val="6"/>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有机载热体锅炉(2#)</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YLW-4200MA</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24</w:t>
            </w:r>
          </w:p>
        </w:tc>
        <w:tc>
          <w:tcPr>
            <w:tcW w:w="1761" w:type="dxa"/>
            <w:vAlign w:val="center"/>
          </w:tcPr>
          <w:p>
            <w:pPr>
              <w:pStyle w:val="6"/>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空气压缩机</w:t>
            </w:r>
          </w:p>
        </w:tc>
        <w:tc>
          <w:tcPr>
            <w:tcW w:w="2309"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63m</w:t>
            </w:r>
            <w:r>
              <w:rPr>
                <w:rFonts w:hint="eastAsia" w:ascii="宋体" w:hAnsi="宋体" w:eastAsia="宋体" w:cs="宋体"/>
                <w:b w:val="0"/>
                <w:bCs/>
                <w:color w:val="auto"/>
                <w:sz w:val="21"/>
                <w:szCs w:val="21"/>
                <w:vertAlign w:val="superscript"/>
              </w:rPr>
              <w:t>3</w:t>
            </w:r>
            <w:r>
              <w:rPr>
                <w:rFonts w:hint="eastAsia" w:ascii="宋体" w:hAnsi="宋体" w:eastAsia="宋体" w:cs="宋体"/>
                <w:b w:val="0"/>
                <w:bCs/>
                <w:color w:val="auto"/>
                <w:sz w:val="21"/>
                <w:szCs w:val="21"/>
              </w:rPr>
              <w:t>/min、0.7MPa</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6"/>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25</w:t>
            </w:r>
          </w:p>
        </w:tc>
        <w:tc>
          <w:tcPr>
            <w:tcW w:w="1761" w:type="dxa"/>
            <w:vAlign w:val="center"/>
          </w:tcPr>
          <w:p>
            <w:pPr>
              <w:pStyle w:val="6"/>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压缩空储罐</w:t>
            </w:r>
          </w:p>
        </w:tc>
        <w:tc>
          <w:tcPr>
            <w:tcW w:w="2309" w:type="dxa"/>
            <w:vAlign w:val="center"/>
          </w:tcPr>
          <w:p>
            <w:pPr>
              <w:pStyle w:val="6"/>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  1m</w:t>
            </w:r>
            <w:r>
              <w:rPr>
                <w:rFonts w:hint="eastAsia" w:ascii="宋体" w:hAnsi="宋体" w:eastAsia="宋体" w:cs="宋体"/>
                <w:b w:val="0"/>
                <w:bCs/>
                <w:color w:val="auto"/>
                <w:sz w:val="21"/>
                <w:szCs w:val="21"/>
                <w:vertAlign w:val="superscript"/>
              </w:rPr>
              <w:t>3</w:t>
            </w:r>
            <w:r>
              <w:rPr>
                <w:rFonts w:hint="eastAsia" w:ascii="宋体" w:hAnsi="宋体" w:eastAsia="宋体" w:cs="宋体"/>
                <w:b w:val="0"/>
                <w:bCs/>
                <w:color w:val="auto"/>
                <w:sz w:val="21"/>
                <w:szCs w:val="21"/>
              </w:rPr>
              <w:t>、0.7MPa</w:t>
            </w:r>
          </w:p>
        </w:tc>
        <w:tc>
          <w:tcPr>
            <w:tcW w:w="2342" w:type="dxa"/>
            <w:vAlign w:val="center"/>
          </w:tcPr>
          <w:p>
            <w:pPr>
              <w:pStyle w:val="6"/>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6"/>
              <w:spacing w:line="320" w:lineRule="exact"/>
              <w:jc w:val="center"/>
              <w:rPr>
                <w:rFonts w:hint="eastAsia" w:ascii="宋体" w:hAnsi="宋体" w:eastAsia="宋体" w:cs="宋体"/>
                <w:b w:val="0"/>
                <w:bCs/>
                <w:color w:val="auto"/>
                <w:sz w:val="21"/>
                <w:szCs w:val="21"/>
              </w:rPr>
            </w:pPr>
          </w:p>
        </w:tc>
      </w:tr>
    </w:tbl>
    <w:p>
      <w:pPr>
        <w:adjustRightInd w:val="0"/>
        <w:snapToGrid w:val="0"/>
        <w:spacing w:line="360" w:lineRule="auto"/>
        <w:jc w:val="center"/>
        <w:rPr>
          <w:rFonts w:hint="eastAsia" w:ascii="宋体" w:hAnsi="宋体"/>
          <w:b/>
          <w:bCs/>
          <w:color w:val="auto"/>
          <w:sz w:val="28"/>
        </w:rPr>
      </w:pPr>
    </w:p>
    <w:p>
      <w:pPr>
        <w:adjustRightInd w:val="0"/>
        <w:snapToGrid w:val="0"/>
        <w:spacing w:line="360" w:lineRule="auto"/>
        <w:jc w:val="center"/>
        <w:rPr>
          <w:rFonts w:hint="eastAsia" w:ascii="宋体" w:hAnsi="宋体"/>
          <w:color w:val="auto"/>
          <w:sz w:val="28"/>
          <w:szCs w:val="28"/>
        </w:rPr>
      </w:pPr>
      <w:r>
        <w:rPr>
          <w:rFonts w:hint="eastAsia" w:ascii="宋体" w:hAnsi="宋体"/>
          <w:b/>
          <w:bCs/>
          <w:color w:val="auto"/>
          <w:sz w:val="28"/>
        </w:rPr>
        <w:t>表</w:t>
      </w:r>
      <w:r>
        <w:rPr>
          <w:rFonts w:hint="eastAsia"/>
          <w:b/>
          <w:bCs/>
          <w:color w:val="auto"/>
          <w:sz w:val="28"/>
          <w:lang w:val="en-US" w:eastAsia="zh-CN"/>
        </w:rPr>
        <w:t>2.2-2</w:t>
      </w:r>
      <w:r>
        <w:rPr>
          <w:rFonts w:hint="eastAsia" w:ascii="宋体" w:hAnsi="宋体"/>
          <w:b/>
          <w:bCs/>
          <w:color w:val="auto"/>
          <w:sz w:val="28"/>
        </w:rPr>
        <w:t xml:space="preserve"> 特种设备情况</w:t>
      </w:r>
    </w:p>
    <w:tbl>
      <w:tblPr>
        <w:tblStyle w:val="18"/>
        <w:tblW w:w="8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2778"/>
        <w:gridCol w:w="3263"/>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1163" w:type="dxa"/>
            <w:vAlign w:val="center"/>
          </w:tcPr>
          <w:p>
            <w:pPr>
              <w:pStyle w:val="6"/>
              <w:spacing w:line="320" w:lineRule="exact"/>
              <w:ind w:firstLine="236" w:firstLineChars="98"/>
              <w:rPr>
                <w:rFonts w:hint="eastAsia"/>
                <w:b/>
                <w:color w:val="auto"/>
                <w:szCs w:val="21"/>
              </w:rPr>
            </w:pPr>
            <w:r>
              <w:rPr>
                <w:rFonts w:hint="eastAsia"/>
                <w:b/>
                <w:color w:val="auto"/>
                <w:szCs w:val="21"/>
              </w:rPr>
              <w:t>序号</w:t>
            </w:r>
          </w:p>
        </w:tc>
        <w:tc>
          <w:tcPr>
            <w:tcW w:w="2778" w:type="dxa"/>
            <w:vAlign w:val="center"/>
          </w:tcPr>
          <w:p>
            <w:pPr>
              <w:pStyle w:val="6"/>
              <w:spacing w:line="320" w:lineRule="exact"/>
              <w:ind w:firstLine="0"/>
              <w:jc w:val="center"/>
              <w:rPr>
                <w:rFonts w:hint="eastAsia"/>
                <w:b/>
                <w:color w:val="auto"/>
                <w:szCs w:val="21"/>
              </w:rPr>
            </w:pPr>
            <w:r>
              <w:rPr>
                <w:rFonts w:hint="eastAsia"/>
                <w:b/>
                <w:color w:val="auto"/>
                <w:szCs w:val="21"/>
              </w:rPr>
              <w:t>设备名称</w:t>
            </w:r>
          </w:p>
        </w:tc>
        <w:tc>
          <w:tcPr>
            <w:tcW w:w="3263" w:type="dxa"/>
            <w:vAlign w:val="center"/>
          </w:tcPr>
          <w:p>
            <w:pPr>
              <w:pStyle w:val="6"/>
              <w:spacing w:line="320" w:lineRule="exact"/>
              <w:jc w:val="center"/>
              <w:rPr>
                <w:rFonts w:hint="eastAsia"/>
                <w:b/>
                <w:color w:val="auto"/>
                <w:szCs w:val="21"/>
              </w:rPr>
            </w:pPr>
            <w:r>
              <w:rPr>
                <w:rFonts w:hint="eastAsia"/>
                <w:b/>
                <w:color w:val="auto"/>
                <w:szCs w:val="21"/>
              </w:rPr>
              <w:t>检测情况</w:t>
            </w:r>
          </w:p>
        </w:tc>
        <w:tc>
          <w:tcPr>
            <w:tcW w:w="1598" w:type="dxa"/>
            <w:vAlign w:val="center"/>
          </w:tcPr>
          <w:p>
            <w:pPr>
              <w:pStyle w:val="6"/>
              <w:spacing w:line="320" w:lineRule="exact"/>
              <w:jc w:val="center"/>
              <w:rPr>
                <w:b/>
                <w:color w:val="auto"/>
                <w:szCs w:val="21"/>
                <w:vertAlign w:val="superscript"/>
              </w:rPr>
            </w:pPr>
            <w:r>
              <w:rPr>
                <w:rFonts w:hint="eastAsia"/>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3" w:type="dxa"/>
            <w:vAlign w:val="top"/>
          </w:tcPr>
          <w:p>
            <w:pPr>
              <w:pStyle w:val="6"/>
              <w:spacing w:line="320" w:lineRule="exact"/>
              <w:rPr>
                <w:rFonts w:hint="eastAsia"/>
                <w:color w:val="auto"/>
                <w:szCs w:val="21"/>
              </w:rPr>
            </w:pPr>
            <w:r>
              <w:rPr>
                <w:rFonts w:hint="eastAsia"/>
                <w:color w:val="auto"/>
                <w:szCs w:val="21"/>
              </w:rPr>
              <w:t>1</w:t>
            </w:r>
          </w:p>
        </w:tc>
        <w:tc>
          <w:tcPr>
            <w:tcW w:w="2778" w:type="dxa"/>
            <w:vAlign w:val="top"/>
          </w:tcPr>
          <w:p>
            <w:pPr>
              <w:pStyle w:val="6"/>
              <w:spacing w:line="320" w:lineRule="exact"/>
              <w:ind w:firstLine="0"/>
              <w:jc w:val="center"/>
              <w:rPr>
                <w:rFonts w:hint="eastAsia"/>
                <w:color w:val="auto"/>
                <w:szCs w:val="21"/>
              </w:rPr>
            </w:pPr>
            <w:r>
              <w:rPr>
                <w:rFonts w:hint="eastAsia"/>
                <w:color w:val="auto"/>
                <w:szCs w:val="21"/>
              </w:rPr>
              <w:t>有机载热体锅炉（3#）</w:t>
            </w:r>
          </w:p>
          <w:p>
            <w:pPr>
              <w:pStyle w:val="6"/>
              <w:spacing w:line="320" w:lineRule="exact"/>
              <w:ind w:firstLine="0"/>
              <w:jc w:val="center"/>
              <w:rPr>
                <w:rFonts w:hint="eastAsia"/>
                <w:color w:val="auto"/>
                <w:szCs w:val="21"/>
              </w:rPr>
            </w:pPr>
            <w:r>
              <w:rPr>
                <w:rFonts w:hint="eastAsia"/>
                <w:color w:val="auto"/>
                <w:szCs w:val="21"/>
              </w:rPr>
              <w:t>YLL-3500MA</w:t>
            </w:r>
          </w:p>
        </w:tc>
        <w:tc>
          <w:tcPr>
            <w:tcW w:w="3263" w:type="dxa"/>
            <w:vAlign w:val="top"/>
          </w:tcPr>
          <w:p>
            <w:pPr>
              <w:pStyle w:val="6"/>
              <w:spacing w:line="320" w:lineRule="exact"/>
              <w:rPr>
                <w:rFonts w:hint="eastAsia"/>
                <w:color w:val="auto"/>
                <w:szCs w:val="21"/>
              </w:rPr>
            </w:pPr>
          </w:p>
        </w:tc>
        <w:tc>
          <w:tcPr>
            <w:tcW w:w="1598" w:type="dxa"/>
            <w:vAlign w:val="top"/>
          </w:tcPr>
          <w:p>
            <w:pPr>
              <w:pStyle w:val="6"/>
              <w:spacing w:line="320" w:lineRule="exact"/>
              <w:ind w:firstLine="0"/>
              <w:rPr>
                <w:rFonts w:hint="eastAsia" w:eastAsia="宋体"/>
                <w:color w:val="auto"/>
                <w:szCs w:val="21"/>
                <w:lang w:eastAsia="zh-CN"/>
              </w:rPr>
            </w:pPr>
            <w:r>
              <w:rPr>
                <w:rFonts w:hint="eastAsia"/>
                <w:color w:val="auto"/>
                <w:szCs w:val="21"/>
                <w:lang w:eastAsia="zh-CN"/>
              </w:rPr>
              <w:t>报停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3" w:type="dxa"/>
            <w:vAlign w:val="top"/>
          </w:tcPr>
          <w:p>
            <w:pPr>
              <w:pStyle w:val="6"/>
              <w:spacing w:line="320" w:lineRule="exact"/>
              <w:rPr>
                <w:rFonts w:hint="eastAsia"/>
                <w:color w:val="auto"/>
                <w:szCs w:val="21"/>
              </w:rPr>
            </w:pPr>
            <w:r>
              <w:rPr>
                <w:rFonts w:hint="eastAsia"/>
                <w:color w:val="auto"/>
                <w:szCs w:val="21"/>
              </w:rPr>
              <w:t>2</w:t>
            </w:r>
          </w:p>
        </w:tc>
        <w:tc>
          <w:tcPr>
            <w:tcW w:w="2778" w:type="dxa"/>
            <w:vAlign w:val="top"/>
          </w:tcPr>
          <w:p>
            <w:pPr>
              <w:pStyle w:val="6"/>
              <w:spacing w:line="320" w:lineRule="exact"/>
              <w:ind w:firstLine="0"/>
              <w:jc w:val="center"/>
              <w:rPr>
                <w:rFonts w:hint="eastAsia"/>
                <w:color w:val="auto"/>
                <w:szCs w:val="21"/>
              </w:rPr>
            </w:pPr>
            <w:r>
              <w:rPr>
                <w:rFonts w:hint="eastAsia"/>
                <w:color w:val="auto"/>
                <w:szCs w:val="21"/>
              </w:rPr>
              <w:t>有机载热体锅炉（2#）</w:t>
            </w:r>
          </w:p>
          <w:p>
            <w:pPr>
              <w:pStyle w:val="6"/>
              <w:spacing w:line="320" w:lineRule="exact"/>
              <w:ind w:firstLine="0"/>
              <w:jc w:val="center"/>
              <w:rPr>
                <w:rFonts w:hint="eastAsia"/>
                <w:color w:val="auto"/>
                <w:szCs w:val="21"/>
              </w:rPr>
            </w:pPr>
            <w:r>
              <w:rPr>
                <w:rFonts w:hint="eastAsia"/>
                <w:color w:val="auto"/>
                <w:szCs w:val="21"/>
              </w:rPr>
              <w:t>YLW-4200MA</w:t>
            </w:r>
          </w:p>
        </w:tc>
        <w:tc>
          <w:tcPr>
            <w:tcW w:w="3263" w:type="dxa"/>
            <w:vAlign w:val="top"/>
          </w:tcPr>
          <w:p>
            <w:pPr>
              <w:pStyle w:val="6"/>
              <w:spacing w:line="320" w:lineRule="exact"/>
              <w:ind w:left="0" w:leftChars="0" w:right="0" w:rightChars="0" w:firstLine="480" w:firstLineChars="200"/>
              <w:rPr>
                <w:rFonts w:hint="eastAsia"/>
                <w:color w:val="auto"/>
                <w:szCs w:val="21"/>
              </w:rPr>
            </w:pPr>
            <w:r>
              <w:rPr>
                <w:rFonts w:hint="eastAsia"/>
                <w:color w:val="auto"/>
                <w:szCs w:val="21"/>
                <w:lang w:eastAsia="zh-CN"/>
              </w:rPr>
              <w:t>已明确淘汰时间：</w:t>
            </w:r>
            <w:r>
              <w:rPr>
                <w:rFonts w:hint="eastAsia"/>
                <w:color w:val="auto"/>
                <w:szCs w:val="21"/>
                <w:lang w:val="en-US" w:eastAsia="zh-CN"/>
              </w:rPr>
              <w:t>2018年12月</w:t>
            </w:r>
          </w:p>
        </w:tc>
        <w:tc>
          <w:tcPr>
            <w:tcW w:w="1598" w:type="dxa"/>
            <w:vAlign w:val="top"/>
          </w:tcPr>
          <w:p>
            <w:pPr>
              <w:pStyle w:val="6"/>
              <w:spacing w:line="320" w:lineRule="exact"/>
              <w:ind w:firstLine="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3" w:type="dxa"/>
            <w:vAlign w:val="top"/>
          </w:tcPr>
          <w:p>
            <w:pPr>
              <w:pStyle w:val="6"/>
              <w:spacing w:line="320" w:lineRule="exact"/>
              <w:rPr>
                <w:rFonts w:hint="eastAsia"/>
                <w:color w:val="auto"/>
                <w:szCs w:val="21"/>
              </w:rPr>
            </w:pPr>
            <w:r>
              <w:rPr>
                <w:rFonts w:hint="eastAsia"/>
                <w:color w:val="auto"/>
                <w:szCs w:val="21"/>
              </w:rPr>
              <w:t>3</w:t>
            </w:r>
          </w:p>
        </w:tc>
        <w:tc>
          <w:tcPr>
            <w:tcW w:w="2778" w:type="dxa"/>
            <w:vAlign w:val="top"/>
          </w:tcPr>
          <w:p>
            <w:pPr>
              <w:pStyle w:val="6"/>
              <w:spacing w:line="320" w:lineRule="exact"/>
              <w:ind w:firstLine="0"/>
              <w:jc w:val="center"/>
              <w:rPr>
                <w:rFonts w:hint="eastAsia"/>
                <w:color w:val="auto"/>
                <w:szCs w:val="21"/>
              </w:rPr>
            </w:pPr>
            <w:r>
              <w:rPr>
                <w:rFonts w:hint="eastAsia"/>
                <w:color w:val="auto"/>
                <w:szCs w:val="21"/>
              </w:rPr>
              <w:t>有机载热体锅炉（1#）</w:t>
            </w:r>
          </w:p>
          <w:p>
            <w:pPr>
              <w:pStyle w:val="6"/>
              <w:spacing w:line="320" w:lineRule="exact"/>
              <w:ind w:firstLine="0"/>
              <w:jc w:val="center"/>
              <w:rPr>
                <w:rFonts w:hint="eastAsia"/>
                <w:color w:val="auto"/>
                <w:szCs w:val="21"/>
              </w:rPr>
            </w:pPr>
            <w:r>
              <w:rPr>
                <w:rFonts w:hint="eastAsia"/>
                <w:color w:val="auto"/>
                <w:szCs w:val="21"/>
              </w:rPr>
              <w:t>YLL-4200MA</w:t>
            </w:r>
          </w:p>
        </w:tc>
        <w:tc>
          <w:tcPr>
            <w:tcW w:w="3263" w:type="dxa"/>
            <w:vAlign w:val="top"/>
          </w:tcPr>
          <w:p>
            <w:pPr>
              <w:pStyle w:val="6"/>
              <w:spacing w:line="320" w:lineRule="exact"/>
              <w:ind w:left="0" w:leftChars="0" w:right="0" w:rightChars="0" w:firstLine="480" w:firstLineChars="200"/>
              <w:rPr>
                <w:rFonts w:hint="eastAsia"/>
                <w:color w:val="auto"/>
                <w:szCs w:val="21"/>
              </w:rPr>
            </w:pPr>
            <w:r>
              <w:rPr>
                <w:rFonts w:hint="eastAsia"/>
                <w:color w:val="auto"/>
                <w:szCs w:val="21"/>
                <w:lang w:eastAsia="zh-CN"/>
              </w:rPr>
              <w:t>已明确淘汰时间：</w:t>
            </w:r>
            <w:r>
              <w:rPr>
                <w:rFonts w:hint="eastAsia"/>
                <w:color w:val="auto"/>
                <w:szCs w:val="21"/>
                <w:lang w:val="en-US" w:eastAsia="zh-CN"/>
              </w:rPr>
              <w:t>2018年12月</w:t>
            </w:r>
          </w:p>
        </w:tc>
        <w:tc>
          <w:tcPr>
            <w:tcW w:w="1598" w:type="dxa"/>
            <w:vAlign w:val="top"/>
          </w:tcPr>
          <w:p>
            <w:pPr>
              <w:pStyle w:val="6"/>
              <w:spacing w:line="320" w:lineRule="exact"/>
              <w:ind w:firstLine="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exact"/>
          <w:jc w:val="center"/>
        </w:trPr>
        <w:tc>
          <w:tcPr>
            <w:tcW w:w="1163" w:type="dxa"/>
            <w:vAlign w:val="top"/>
          </w:tcPr>
          <w:p>
            <w:pPr>
              <w:pStyle w:val="6"/>
              <w:spacing w:line="320" w:lineRule="exact"/>
              <w:rPr>
                <w:rFonts w:hint="eastAsia"/>
                <w:color w:val="auto"/>
                <w:szCs w:val="21"/>
              </w:rPr>
            </w:pPr>
            <w:bookmarkStart w:id="13" w:name="_Toc333586018"/>
            <w:r>
              <w:rPr>
                <w:rFonts w:hint="eastAsia"/>
                <w:color w:val="auto"/>
                <w:szCs w:val="21"/>
              </w:rPr>
              <w:t>4</w:t>
            </w:r>
          </w:p>
        </w:tc>
        <w:tc>
          <w:tcPr>
            <w:tcW w:w="2778" w:type="dxa"/>
            <w:vAlign w:val="top"/>
          </w:tcPr>
          <w:p>
            <w:pPr>
              <w:spacing w:line="440" w:lineRule="exact"/>
              <w:ind w:firstLine="573"/>
              <w:rPr>
                <w:rFonts w:hint="eastAsia" w:ascii="宋体" w:hAnsi="宋体"/>
                <w:color w:val="auto"/>
                <w:szCs w:val="21"/>
              </w:rPr>
            </w:pPr>
            <w:r>
              <w:rPr>
                <w:rFonts w:hint="eastAsia" w:ascii="宋体" w:hAnsi="宋体"/>
                <w:color w:val="auto"/>
                <w:szCs w:val="21"/>
              </w:rPr>
              <w:t>压缩空储罐</w:t>
            </w:r>
          </w:p>
          <w:p>
            <w:pPr>
              <w:pStyle w:val="6"/>
              <w:spacing w:line="320" w:lineRule="exact"/>
              <w:ind w:firstLine="0"/>
              <w:jc w:val="center"/>
              <w:rPr>
                <w:rFonts w:hint="eastAsia"/>
                <w:color w:val="auto"/>
                <w:szCs w:val="21"/>
              </w:rPr>
            </w:pPr>
          </w:p>
        </w:tc>
        <w:tc>
          <w:tcPr>
            <w:tcW w:w="3263" w:type="dxa"/>
            <w:vAlign w:val="top"/>
          </w:tcPr>
          <w:p>
            <w:pPr>
              <w:pStyle w:val="6"/>
              <w:spacing w:line="320" w:lineRule="exact"/>
              <w:rPr>
                <w:rFonts w:hint="eastAsia"/>
                <w:color w:val="auto"/>
                <w:szCs w:val="21"/>
              </w:rPr>
            </w:pPr>
            <w:r>
              <w:rPr>
                <w:rFonts w:hint="eastAsia" w:ascii="宋体" w:hAnsi="宋体"/>
                <w:color w:val="auto"/>
                <w:sz w:val="21"/>
                <w:szCs w:val="21"/>
                <w:highlight w:val="none"/>
                <w:lang w:eastAsia="zh-CN"/>
              </w:rPr>
              <w:t>容积</w:t>
            </w:r>
            <w:r>
              <w:rPr>
                <w:rFonts w:hint="eastAsia" w:ascii="宋体" w:hAnsi="宋体"/>
                <w:color w:val="auto"/>
                <w:sz w:val="21"/>
                <w:szCs w:val="21"/>
                <w:highlight w:val="none"/>
                <w:lang w:val="en-US" w:eastAsia="zh-CN"/>
              </w:rPr>
              <w:t>1m</w:t>
            </w:r>
            <w:r>
              <w:rPr>
                <w:rFonts w:hint="eastAsia" w:ascii="宋体" w:hAnsi="宋体"/>
                <w:color w:val="auto"/>
                <w:sz w:val="21"/>
                <w:szCs w:val="21"/>
                <w:highlight w:val="none"/>
                <w:vertAlign w:val="superscript"/>
                <w:lang w:val="en-US" w:eastAsia="zh-CN"/>
              </w:rPr>
              <w:t>3</w:t>
            </w:r>
            <w:r>
              <w:rPr>
                <w:rFonts w:hint="eastAsia" w:ascii="宋体" w:hAnsi="宋体"/>
                <w:color w:val="auto"/>
                <w:sz w:val="21"/>
                <w:szCs w:val="21"/>
                <w:highlight w:val="none"/>
                <w:vertAlign w:val="baseline"/>
                <w:lang w:val="en-US" w:eastAsia="zh-CN"/>
              </w:rPr>
              <w:t>、工作压力0.84MPa</w:t>
            </w:r>
          </w:p>
        </w:tc>
        <w:tc>
          <w:tcPr>
            <w:tcW w:w="1598" w:type="dxa"/>
            <w:vAlign w:val="top"/>
          </w:tcPr>
          <w:p>
            <w:pPr>
              <w:pStyle w:val="6"/>
              <w:spacing w:line="320" w:lineRule="exact"/>
              <w:ind w:firstLine="0"/>
              <w:rPr>
                <w:rFonts w:hint="eastAsia"/>
                <w:color w:val="auto"/>
                <w:szCs w:val="21"/>
              </w:rPr>
            </w:pPr>
            <w:r>
              <w:rPr>
                <w:rFonts w:hint="eastAsia"/>
                <w:color w:val="auto"/>
                <w:szCs w:val="21"/>
              </w:rPr>
              <w:t>简单压力容器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3" w:type="dxa"/>
            <w:vAlign w:val="top"/>
          </w:tcPr>
          <w:p>
            <w:pPr>
              <w:pStyle w:val="6"/>
              <w:spacing w:line="320" w:lineRule="exact"/>
              <w:rPr>
                <w:rFonts w:hint="eastAsia" w:eastAsia="宋体"/>
                <w:color w:val="auto"/>
                <w:szCs w:val="21"/>
                <w:lang w:val="en-US" w:eastAsia="zh-CN"/>
              </w:rPr>
            </w:pPr>
            <w:bookmarkStart w:id="14" w:name="_Toc418115339"/>
            <w:r>
              <w:rPr>
                <w:rFonts w:hint="eastAsia"/>
                <w:color w:val="auto"/>
                <w:szCs w:val="21"/>
                <w:lang w:val="en-US" w:eastAsia="zh-CN"/>
              </w:rPr>
              <w:t>5</w:t>
            </w:r>
          </w:p>
        </w:tc>
        <w:tc>
          <w:tcPr>
            <w:tcW w:w="2778" w:type="dxa"/>
            <w:vAlign w:val="top"/>
          </w:tcPr>
          <w:p>
            <w:pPr>
              <w:pStyle w:val="6"/>
              <w:spacing w:line="320" w:lineRule="exact"/>
              <w:ind w:firstLine="0" w:firstLineChars="0"/>
              <w:jc w:val="center"/>
              <w:rPr>
                <w:rFonts w:hint="eastAsia"/>
                <w:color w:val="auto"/>
                <w:szCs w:val="21"/>
              </w:rPr>
            </w:pPr>
            <w:r>
              <w:rPr>
                <w:rFonts w:hint="eastAsia"/>
                <w:color w:val="auto"/>
                <w:sz w:val="21"/>
                <w:szCs w:val="21"/>
                <w:lang w:eastAsia="zh-CN"/>
              </w:rPr>
              <w:t>叉车</w:t>
            </w:r>
          </w:p>
        </w:tc>
        <w:tc>
          <w:tcPr>
            <w:tcW w:w="3263" w:type="dxa"/>
            <w:vAlign w:val="top"/>
          </w:tcPr>
          <w:p>
            <w:pPr>
              <w:pStyle w:val="6"/>
              <w:spacing w:line="320" w:lineRule="exact"/>
              <w:ind w:firstLine="420" w:firstLineChars="0"/>
              <w:rPr>
                <w:rFonts w:hint="eastAsia" w:ascii="宋体" w:hAnsi="宋体"/>
                <w:color w:val="auto"/>
                <w:sz w:val="21"/>
                <w:szCs w:val="21"/>
                <w:highlight w:val="none"/>
                <w:lang w:eastAsia="zh-CN"/>
              </w:rPr>
            </w:pPr>
            <w:r>
              <w:rPr>
                <w:rFonts w:hint="eastAsia"/>
                <w:color w:val="auto"/>
                <w:sz w:val="21"/>
                <w:szCs w:val="21"/>
                <w:lang w:val="en-US" w:eastAsia="zh-CN"/>
              </w:rPr>
              <w:t>2台</w:t>
            </w:r>
          </w:p>
        </w:tc>
        <w:tc>
          <w:tcPr>
            <w:tcW w:w="1598" w:type="dxa"/>
            <w:vAlign w:val="top"/>
          </w:tcPr>
          <w:p>
            <w:pPr>
              <w:pStyle w:val="6"/>
              <w:spacing w:line="320" w:lineRule="exact"/>
              <w:ind w:firstLine="0"/>
              <w:rPr>
                <w:rFonts w:hint="eastAsia"/>
                <w:color w:val="auto"/>
                <w:szCs w:val="21"/>
              </w:rPr>
            </w:pPr>
          </w:p>
        </w:tc>
      </w:tr>
    </w:tbl>
    <w:p>
      <w:pPr>
        <w:pStyle w:val="3"/>
        <w:rPr>
          <w:rFonts w:hint="eastAsia" w:ascii="宋体" w:hAnsi="宋体" w:eastAsia="宋体" w:cs="宋体"/>
          <w:sz w:val="24"/>
          <w:szCs w:val="24"/>
          <w:lang w:val="en-US" w:eastAsia="zh-CN"/>
        </w:rPr>
      </w:pPr>
      <w:bookmarkStart w:id="15" w:name="_Toc13345"/>
      <w:r>
        <w:rPr>
          <w:rFonts w:hint="eastAsia"/>
          <w:lang w:val="en-US" w:eastAsia="zh-CN"/>
        </w:rPr>
        <w:t>2.3</w:t>
      </w:r>
      <w:r>
        <w:rPr>
          <w:rFonts w:hint="eastAsia"/>
        </w:rPr>
        <w:t>主要原料、产品情况</w:t>
      </w:r>
      <w:bookmarkEnd w:id="15"/>
    </w:p>
    <w:bookmarkEnd w:id="12"/>
    <w:bookmarkEnd w:id="13"/>
    <w:bookmarkEnd w:id="14"/>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ascii="宋体" w:hAnsi="宋体"/>
          <w:color w:val="auto"/>
          <w:sz w:val="24"/>
          <w:szCs w:val="24"/>
        </w:rPr>
        <w:t>原料供应</w:t>
      </w:r>
      <w:r>
        <w:rPr>
          <w:rFonts w:hint="eastAsia" w:ascii="宋体" w:hAnsi="宋体"/>
          <w:color w:val="auto"/>
          <w:sz w:val="24"/>
          <w:szCs w:val="24"/>
        </w:rPr>
        <w:t>情况</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本企业主要原料为22%的硫氢化钠化纤工业废液和氢氧化钠废液（PH值约12）</w:t>
      </w:r>
      <w:r>
        <w:rPr>
          <w:rFonts w:ascii="宋体" w:hAnsi="宋体"/>
          <w:color w:val="auto"/>
          <w:sz w:val="24"/>
          <w:szCs w:val="24"/>
        </w:rPr>
        <w:t>，</w:t>
      </w:r>
      <w:r>
        <w:rPr>
          <w:rFonts w:hint="eastAsia" w:ascii="宋体" w:hAnsi="宋体"/>
          <w:color w:val="auto"/>
          <w:sz w:val="24"/>
          <w:szCs w:val="24"/>
        </w:rPr>
        <w:t xml:space="preserve">来自赛得利（江西）化纤有限公司和龙达化纤（江西）有限公司。 </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辅助材料则主要由外国进口。</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（2）产品情况</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该企业利用化纤工业废液综合处理后可得产品70%的硫氢化钠和</w:t>
      </w:r>
      <w:r>
        <w:rPr>
          <w:rFonts w:hint="eastAsia"/>
          <w:color w:val="auto"/>
          <w:sz w:val="24"/>
          <w:szCs w:val="24"/>
        </w:rPr>
        <w:t>60%的硫化钠</w:t>
      </w:r>
      <w:r>
        <w:rPr>
          <w:rFonts w:hint="eastAsia" w:ascii="宋体" w:hAnsi="宋体"/>
          <w:color w:val="auto"/>
          <w:sz w:val="24"/>
          <w:szCs w:val="24"/>
        </w:rPr>
        <w:t>。</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包装规格：25kg／包。</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硫氢化钠主要用于皮革脱毛剂、冶金选矿、染料中间体，塑胶复合材料，亦可作为生产硫化钠的主要原料。</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硫化钠</w:t>
      </w:r>
      <w:r>
        <w:rPr>
          <w:rFonts w:ascii="宋体" w:hAnsi="宋体"/>
          <w:color w:val="auto"/>
          <w:sz w:val="24"/>
          <w:szCs w:val="24"/>
        </w:rPr>
        <w:t>广泛用于制革、造纸、选矿、染料生产、有机中间体、印染、制药、味精、人造纤维、特种工程塑料、聚苯硫醚、聚碱橡胶，还用作制硫氢化钠、多硫化钠、硫代硫酸钠等。</w:t>
      </w:r>
    </w:p>
    <w:p>
      <w:pPr>
        <w:spacing w:line="480" w:lineRule="exact"/>
        <w:ind w:firstLine="480" w:firstLineChars="200"/>
        <w:rPr>
          <w:rFonts w:hint="eastAsia" w:ascii="宋体" w:hAnsi="宋体"/>
          <w:color w:val="auto"/>
          <w:sz w:val="24"/>
          <w:szCs w:val="24"/>
        </w:rPr>
      </w:pPr>
      <w:r>
        <w:rPr>
          <w:rFonts w:hint="eastAsia" w:ascii="宋体" w:hAnsi="宋体"/>
          <w:color w:val="auto"/>
          <w:sz w:val="24"/>
          <w:szCs w:val="24"/>
        </w:rPr>
        <w:t>（3）废弃物</w:t>
      </w:r>
    </w:p>
    <w:p>
      <w:pPr>
        <w:adjustRightInd w:val="0"/>
        <w:snapToGrid w:val="0"/>
        <w:spacing w:line="480" w:lineRule="exact"/>
        <w:ind w:firstLine="470" w:firstLineChars="196"/>
        <w:rPr>
          <w:rFonts w:hint="eastAsia" w:ascii="宋体" w:hAnsi="宋体"/>
          <w:color w:val="auto"/>
          <w:sz w:val="24"/>
          <w:szCs w:val="24"/>
        </w:rPr>
      </w:pPr>
      <w:r>
        <w:rPr>
          <w:rFonts w:hint="eastAsia" w:ascii="宋体" w:hAnsi="宋体"/>
          <w:color w:val="auto"/>
          <w:sz w:val="24"/>
          <w:szCs w:val="24"/>
        </w:rPr>
        <w:t>本企业在生产过程中，会有一定污泥产生，每月约有3吨。待有一定量时再委托废弃物处理部门进行处理。</w:t>
      </w:r>
    </w:p>
    <w:p>
      <w:pPr>
        <w:adjustRightInd w:val="0"/>
        <w:snapToGrid w:val="0"/>
        <w:spacing w:line="480" w:lineRule="exact"/>
        <w:ind w:firstLine="480" w:firstLineChars="200"/>
        <w:rPr>
          <w:rFonts w:hint="eastAsia" w:ascii="宋体" w:hAnsi="宋体" w:cs="宋体"/>
          <w:bCs/>
          <w:color w:val="auto"/>
          <w:sz w:val="24"/>
          <w:szCs w:val="24"/>
          <w:lang w:val="zh-CN"/>
        </w:rPr>
      </w:pPr>
      <w:r>
        <w:rPr>
          <w:rFonts w:hint="eastAsia" w:ascii="宋体" w:hAnsi="宋体" w:cs="宋体"/>
          <w:bCs/>
          <w:color w:val="auto"/>
          <w:sz w:val="24"/>
          <w:szCs w:val="24"/>
          <w:lang w:val="zh-CN"/>
        </w:rPr>
        <w:t>主要物料储存情况如下表。</w:t>
      </w:r>
    </w:p>
    <w:p>
      <w:pPr>
        <w:adjustRightInd w:val="0"/>
        <w:snapToGrid w:val="0"/>
        <w:spacing w:line="36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表</w:t>
      </w:r>
      <w:r>
        <w:rPr>
          <w:rFonts w:hint="eastAsia" w:ascii="宋体" w:hAnsi="宋体" w:eastAsia="宋体" w:cs="宋体"/>
          <w:b w:val="0"/>
          <w:bCs/>
          <w:color w:val="auto"/>
          <w:sz w:val="24"/>
          <w:szCs w:val="24"/>
          <w:lang w:val="en-US" w:eastAsia="zh-CN"/>
        </w:rPr>
        <w:t>2.3-1</w:t>
      </w:r>
      <w:r>
        <w:rPr>
          <w:rFonts w:hint="eastAsia" w:ascii="宋体" w:hAnsi="宋体" w:eastAsia="宋体" w:cs="宋体"/>
          <w:b w:val="0"/>
          <w:bCs/>
          <w:color w:val="auto"/>
          <w:sz w:val="24"/>
          <w:szCs w:val="24"/>
        </w:rPr>
        <w:t xml:space="preserve">   </w:t>
      </w:r>
      <w:r>
        <w:rPr>
          <w:rFonts w:hint="eastAsia" w:ascii="宋体" w:hAnsi="宋体" w:eastAsia="宋体" w:cs="宋体"/>
          <w:b w:val="0"/>
          <w:bCs/>
          <w:color w:val="auto"/>
          <w:sz w:val="24"/>
          <w:szCs w:val="24"/>
          <w:lang w:val="zh-CN"/>
        </w:rPr>
        <w:t>物料</w:t>
      </w:r>
      <w:r>
        <w:rPr>
          <w:rFonts w:hint="eastAsia" w:ascii="宋体" w:hAnsi="宋体" w:eastAsia="宋体" w:cs="宋体"/>
          <w:b w:val="0"/>
          <w:bCs/>
          <w:color w:val="auto"/>
          <w:sz w:val="24"/>
          <w:szCs w:val="24"/>
        </w:rPr>
        <w:t>储存情况</w:t>
      </w:r>
    </w:p>
    <w:tbl>
      <w:tblPr>
        <w:tblStyle w:val="16"/>
        <w:tblW w:w="8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700"/>
        <w:gridCol w:w="1780"/>
        <w:gridCol w:w="182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897" w:type="dxa"/>
            <w:vAlign w:val="top"/>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序号</w:t>
            </w:r>
          </w:p>
        </w:tc>
        <w:tc>
          <w:tcPr>
            <w:tcW w:w="270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名 称</w:t>
            </w:r>
          </w:p>
        </w:tc>
        <w:tc>
          <w:tcPr>
            <w:tcW w:w="1780" w:type="dxa"/>
            <w:vAlign w:val="center"/>
          </w:tcPr>
          <w:p>
            <w:pPr>
              <w:adjustRightInd w:val="0"/>
              <w:snapToGrid w:val="0"/>
              <w:spacing w:before="156" w:beforeLines="50" w:after="156" w:afterLines="50" w:line="300" w:lineRule="exact"/>
              <w:ind w:left="207" w:hanging="235" w:hangingChars="98"/>
              <w:rPr>
                <w:rFonts w:hint="eastAsia" w:ascii="宋体" w:hAnsi="宋体" w:eastAsia="宋体" w:cs="宋体"/>
                <w:b w:val="0"/>
                <w:bCs/>
                <w:color w:val="auto"/>
                <w:sz w:val="24"/>
                <w:szCs w:val="24"/>
              </w:rPr>
            </w:pPr>
            <w:r>
              <w:rPr>
                <w:rFonts w:hint="eastAsia" w:cs="宋体"/>
                <w:b w:val="0"/>
                <w:bCs/>
                <w:color w:val="auto"/>
                <w:sz w:val="24"/>
                <w:szCs w:val="24"/>
                <w:lang w:eastAsia="zh-CN"/>
              </w:rPr>
              <w:t>日常</w:t>
            </w:r>
            <w:r>
              <w:rPr>
                <w:rFonts w:hint="eastAsia" w:ascii="宋体" w:hAnsi="宋体" w:eastAsia="宋体" w:cs="宋体"/>
                <w:b w:val="0"/>
                <w:bCs/>
                <w:color w:val="auto"/>
                <w:sz w:val="24"/>
                <w:szCs w:val="24"/>
              </w:rPr>
              <w:t>最大贮存量</w:t>
            </w:r>
          </w:p>
        </w:tc>
        <w:tc>
          <w:tcPr>
            <w:tcW w:w="182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储存方式</w:t>
            </w:r>
          </w:p>
        </w:tc>
        <w:tc>
          <w:tcPr>
            <w:tcW w:w="126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897" w:type="dxa"/>
            <w:vAlign w:val="top"/>
          </w:tcPr>
          <w:p>
            <w:pPr>
              <w:adjustRightInd w:val="0"/>
              <w:snapToGrid w:val="0"/>
              <w:spacing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p>
        </w:tc>
        <w:tc>
          <w:tcPr>
            <w:tcW w:w="270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含NaHS工业化纤废液</w:t>
            </w:r>
          </w:p>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（主要原料）</w:t>
            </w:r>
          </w:p>
        </w:tc>
        <w:tc>
          <w:tcPr>
            <w:tcW w:w="178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3×300 m</w:t>
            </w:r>
            <w:r>
              <w:rPr>
                <w:rFonts w:hint="eastAsia" w:ascii="宋体" w:hAnsi="宋体" w:eastAsia="宋体" w:cs="宋体"/>
                <w:b w:val="0"/>
                <w:bCs/>
                <w:color w:val="auto"/>
                <w:sz w:val="24"/>
                <w:szCs w:val="24"/>
                <w:vertAlign w:val="superscript"/>
              </w:rPr>
              <w:t>3</w:t>
            </w:r>
          </w:p>
        </w:tc>
        <w:tc>
          <w:tcPr>
            <w:tcW w:w="182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储罐</w:t>
            </w:r>
          </w:p>
        </w:tc>
        <w:tc>
          <w:tcPr>
            <w:tcW w:w="126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897" w:type="dxa"/>
            <w:vAlign w:val="top"/>
          </w:tcPr>
          <w:p>
            <w:pPr>
              <w:adjustRightInd w:val="0"/>
              <w:snapToGrid w:val="0"/>
              <w:spacing w:line="300" w:lineRule="exact"/>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w:t>
            </w:r>
          </w:p>
        </w:tc>
        <w:tc>
          <w:tcPr>
            <w:tcW w:w="270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氢氧化钠</w:t>
            </w:r>
          </w:p>
        </w:tc>
        <w:tc>
          <w:tcPr>
            <w:tcW w:w="178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100t</w:t>
            </w:r>
          </w:p>
        </w:tc>
        <w:tc>
          <w:tcPr>
            <w:tcW w:w="1820" w:type="dxa"/>
            <w:vAlign w:val="center"/>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塑料袋</w:t>
            </w:r>
          </w:p>
        </w:tc>
        <w:tc>
          <w:tcPr>
            <w:tcW w:w="1260" w:type="dxa"/>
            <w:vAlign w:val="center"/>
          </w:tcPr>
          <w:p>
            <w:pPr>
              <w:adjustRightInd w:val="0"/>
              <w:snapToGrid w:val="0"/>
              <w:spacing w:before="156" w:beforeLines="50" w:after="156" w:afterLines="50" w:line="300" w:lineRule="exact"/>
              <w:ind w:left="0" w:leftChars="0" w:firstLine="0" w:firstLineChars="0"/>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eastAsia="zh-CN"/>
              </w:rPr>
              <w:t>原料仓库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897" w:type="dxa"/>
            <w:vAlign w:val="top"/>
          </w:tcPr>
          <w:p>
            <w:pPr>
              <w:spacing w:line="300" w:lineRule="exact"/>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w:t>
            </w:r>
          </w:p>
        </w:tc>
        <w:tc>
          <w:tcPr>
            <w:tcW w:w="2700" w:type="dxa"/>
            <w:vAlign w:val="center"/>
          </w:tcPr>
          <w:p>
            <w:pPr>
              <w:adjustRightInd w:val="0"/>
              <w:snapToGrid w:val="0"/>
              <w:spacing w:before="50" w:after="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NaHS</w:t>
            </w:r>
          </w:p>
          <w:p>
            <w:pPr>
              <w:adjustRightInd w:val="0"/>
              <w:snapToGrid w:val="0"/>
              <w:spacing w:before="50" w:after="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（成品</w:t>
            </w:r>
            <w:r>
              <w:rPr>
                <w:rFonts w:hint="eastAsia" w:cs="宋体"/>
                <w:b w:val="0"/>
                <w:bCs/>
                <w:color w:val="auto"/>
                <w:sz w:val="24"/>
                <w:szCs w:val="24"/>
                <w:lang w:eastAsia="zh-CN"/>
              </w:rPr>
              <w:t>、固体</w:t>
            </w:r>
            <w:r>
              <w:rPr>
                <w:rFonts w:hint="eastAsia" w:ascii="宋体" w:hAnsi="宋体" w:eastAsia="宋体" w:cs="宋体"/>
                <w:b w:val="0"/>
                <w:bCs/>
                <w:color w:val="auto"/>
                <w:sz w:val="24"/>
                <w:szCs w:val="24"/>
              </w:rPr>
              <w:t>）</w:t>
            </w:r>
          </w:p>
        </w:tc>
        <w:tc>
          <w:tcPr>
            <w:tcW w:w="1780" w:type="dxa"/>
            <w:vAlign w:val="center"/>
          </w:tcPr>
          <w:p>
            <w:pPr>
              <w:adjustRightInd w:val="0"/>
              <w:snapToGrid w:val="0"/>
              <w:spacing w:before="50" w:after="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200t</w:t>
            </w:r>
          </w:p>
        </w:tc>
        <w:tc>
          <w:tcPr>
            <w:tcW w:w="1820" w:type="dxa"/>
            <w:vAlign w:val="center"/>
          </w:tcPr>
          <w:p>
            <w:pPr>
              <w:adjustRightInd w:val="0"/>
              <w:snapToGrid w:val="0"/>
              <w:spacing w:before="50" w:after="50" w:line="3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塑料袋</w:t>
            </w:r>
          </w:p>
        </w:tc>
        <w:tc>
          <w:tcPr>
            <w:tcW w:w="1260" w:type="dxa"/>
            <w:vAlign w:val="center"/>
          </w:tcPr>
          <w:p>
            <w:pPr>
              <w:spacing w:line="300" w:lineRule="exact"/>
              <w:ind w:left="0" w:leftChars="0" w:firstLine="0" w:firstLineChars="0"/>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成品仓库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jc w:val="center"/>
        </w:trPr>
        <w:tc>
          <w:tcPr>
            <w:tcW w:w="897" w:type="dxa"/>
            <w:vAlign w:val="top"/>
          </w:tcPr>
          <w:p>
            <w:pPr>
              <w:adjustRightInd w:val="0"/>
              <w:snapToGrid w:val="0"/>
              <w:spacing w:before="156" w:beforeLines="50" w:after="156" w:afterLines="50" w:line="300" w:lineRule="exact"/>
              <w:jc w:val="center"/>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w:t>
            </w:r>
          </w:p>
        </w:tc>
        <w:tc>
          <w:tcPr>
            <w:tcW w:w="2700" w:type="dxa"/>
            <w:vAlign w:val="center"/>
          </w:tcPr>
          <w:p>
            <w:pPr>
              <w:spacing w:line="4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Na</w:t>
            </w:r>
            <w:r>
              <w:rPr>
                <w:rFonts w:hint="eastAsia" w:ascii="宋体" w:hAnsi="宋体" w:eastAsia="宋体" w:cs="宋体"/>
                <w:b w:val="0"/>
                <w:bCs/>
                <w:color w:val="auto"/>
                <w:sz w:val="24"/>
                <w:szCs w:val="24"/>
                <w:vertAlign w:val="subscript"/>
              </w:rPr>
              <w:t>2</w:t>
            </w:r>
            <w:r>
              <w:rPr>
                <w:rFonts w:hint="eastAsia" w:ascii="宋体" w:hAnsi="宋体" w:eastAsia="宋体" w:cs="宋体"/>
                <w:b w:val="0"/>
                <w:bCs/>
                <w:color w:val="auto"/>
                <w:sz w:val="24"/>
                <w:szCs w:val="24"/>
              </w:rPr>
              <w:t>S</w:t>
            </w:r>
          </w:p>
        </w:tc>
        <w:tc>
          <w:tcPr>
            <w:tcW w:w="1780" w:type="dxa"/>
            <w:vAlign w:val="center"/>
          </w:tcPr>
          <w:p>
            <w:pPr>
              <w:spacing w:line="4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40t</w:t>
            </w:r>
          </w:p>
        </w:tc>
        <w:tc>
          <w:tcPr>
            <w:tcW w:w="1820" w:type="dxa"/>
            <w:vAlign w:val="top"/>
          </w:tcPr>
          <w:p>
            <w:pPr>
              <w:spacing w:line="4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塑料袋</w:t>
            </w:r>
          </w:p>
        </w:tc>
        <w:tc>
          <w:tcPr>
            <w:tcW w:w="1260" w:type="dxa"/>
            <w:vAlign w:val="center"/>
          </w:tcPr>
          <w:p>
            <w:pPr>
              <w:adjustRightInd w:val="0"/>
              <w:snapToGrid w:val="0"/>
              <w:spacing w:before="156" w:beforeLines="50" w:after="156" w:afterLines="50" w:line="300" w:lineRule="exact"/>
              <w:ind w:left="0" w:leftChars="0" w:firstLine="0" w:firstLineChars="0"/>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成品仓库</w:t>
            </w:r>
          </w:p>
        </w:tc>
      </w:tr>
    </w:tbl>
    <w:p>
      <w:pPr>
        <w:adjustRightInd w:val="0"/>
        <w:snapToGrid w:val="0"/>
        <w:spacing w:line="480" w:lineRule="exact"/>
        <w:ind w:firstLine="540" w:firstLineChars="225"/>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装卸情况说明：含NaHS工业化纤废液由槽车运输至储罐区，由罐区液体泵输送至原料储罐。由于该废液不属于易燃易爆液体，相对来说卸车过程较为安全。</w:t>
      </w:r>
    </w:p>
    <w:p>
      <w:pPr>
        <w:adjustRightInd w:val="0"/>
        <w:snapToGrid w:val="0"/>
        <w:spacing w:line="480" w:lineRule="exact"/>
        <w:ind w:firstLine="540" w:firstLineChars="225"/>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成品硫氢化钠、硫化钠包装为塑料袋</w:t>
      </w:r>
      <w:r>
        <w:rPr>
          <w:rFonts w:hint="eastAsia" w:ascii="宋体" w:hAnsi="宋体" w:eastAsia="宋体" w:cs="宋体"/>
          <w:b w:val="0"/>
          <w:bCs/>
          <w:color w:val="auto"/>
          <w:sz w:val="24"/>
          <w:szCs w:val="24"/>
          <w:lang w:eastAsia="zh-CN"/>
        </w:rPr>
        <w:t>包装</w:t>
      </w:r>
      <w:r>
        <w:rPr>
          <w:rFonts w:hint="eastAsia" w:ascii="宋体" w:hAnsi="宋体" w:eastAsia="宋体" w:cs="宋体"/>
          <w:b w:val="0"/>
          <w:bCs/>
          <w:color w:val="auto"/>
          <w:sz w:val="24"/>
          <w:szCs w:val="24"/>
        </w:rPr>
        <w:t>。</w:t>
      </w:r>
    </w:p>
    <w:p>
      <w:pPr>
        <w:pStyle w:val="3"/>
        <w:rPr>
          <w:rFonts w:hint="eastAsia"/>
          <w:lang w:val="en-US" w:eastAsia="zh-CN"/>
        </w:rPr>
      </w:pPr>
      <w:bookmarkStart w:id="16" w:name="_Toc30542"/>
      <w:r>
        <w:rPr>
          <w:rFonts w:hint="eastAsia"/>
          <w:lang w:val="en-US" w:eastAsia="zh-CN"/>
        </w:rPr>
        <w:t>2.4行政组织机构概况</w:t>
      </w:r>
      <w:bookmarkEnd w:id="16"/>
    </w:p>
    <w:p>
      <w:pPr>
        <w:pStyle w:val="23"/>
        <w:ind w:firstLine="480"/>
      </w:pPr>
      <w:r>
        <w:rPr>
          <w:rFonts w:hint="eastAsia"/>
          <w:lang w:eastAsia="zh-CN"/>
        </w:rPr>
        <w:t>乔旭（九江）企业</w:t>
      </w:r>
      <w:r>
        <w:t>有限公司现行职能部门包括：</w:t>
      </w:r>
      <w:r>
        <w:rPr>
          <w:rFonts w:hint="eastAsia"/>
          <w:lang w:eastAsia="zh-CN"/>
        </w:rPr>
        <w:t>人事部</w:t>
      </w:r>
      <w:r>
        <w:t>、</w:t>
      </w:r>
      <w:r>
        <w:rPr>
          <w:rFonts w:hint="eastAsia"/>
        </w:rPr>
        <w:t>财务部、</w:t>
      </w:r>
      <w:r>
        <w:rPr>
          <w:rFonts w:hint="eastAsia"/>
          <w:lang w:eastAsia="zh-CN"/>
        </w:rPr>
        <w:t>品管部</w:t>
      </w:r>
      <w:r>
        <w:rPr>
          <w:rFonts w:hint="eastAsia"/>
        </w:rPr>
        <w:t>、、生产</w:t>
      </w:r>
      <w:r>
        <w:rPr>
          <w:rFonts w:hint="eastAsia"/>
          <w:lang w:eastAsia="zh-CN"/>
        </w:rPr>
        <w:t>管理</w:t>
      </w:r>
      <w:r>
        <w:rPr>
          <w:rFonts w:hint="eastAsia"/>
        </w:rPr>
        <w:t>部。</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textAlignment w:val="auto"/>
        <w:outlineLvl w:val="9"/>
      </w:pPr>
      <w:r>
        <w:rPr>
          <w:sz w:val="24"/>
          <w:szCs w:val="24"/>
        </w:rPr>
        <w:t>具体见图</w:t>
      </w:r>
      <w:r>
        <w:rPr>
          <w:rFonts w:hint="eastAsia"/>
          <w:sz w:val="24"/>
          <w:szCs w:val="24"/>
        </w:rPr>
        <w:t>2.</w:t>
      </w:r>
      <w:r>
        <w:rPr>
          <w:rFonts w:hint="eastAsia"/>
          <w:sz w:val="24"/>
          <w:szCs w:val="24"/>
          <w:lang w:val="en-US" w:eastAsia="zh-CN"/>
        </w:rPr>
        <w:t>4</w:t>
      </w:r>
      <w:r>
        <w:rPr>
          <w:rFonts w:hint="eastAsia"/>
          <w:sz w:val="24"/>
          <w:szCs w:val="24"/>
        </w:rPr>
        <w:t>-</w:t>
      </w:r>
      <w:r>
        <w:rPr>
          <w:sz w:val="24"/>
          <w:szCs w:val="24"/>
        </w:rPr>
        <w:t>1</w:t>
      </w:r>
      <w:r>
        <w:rPr>
          <w:rFonts w:hint="eastAsia"/>
          <w:sz w:val="24"/>
          <w:szCs w:val="24"/>
          <w:lang w:eastAsia="zh-CN"/>
        </w:rPr>
        <w:t>乔旭（九江）企业</w:t>
      </w:r>
      <w:r>
        <w:rPr>
          <w:sz w:val="24"/>
          <w:szCs w:val="24"/>
        </w:rPr>
        <w:t>组织机构图。</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textAlignment w:val="auto"/>
        <w:outlineLvl w:val="9"/>
        <w:rPr>
          <w:rFonts w:hint="eastAsia" w:eastAsia="宋体"/>
          <w:lang w:eastAsia="zh-CN"/>
        </w:rPr>
      </w:pPr>
      <w:r>
        <w:rPr>
          <w:rFonts w:hint="eastAsia" w:eastAsia="宋体"/>
          <w:lang w:eastAsia="zh-CN"/>
        </w:rPr>
        <w:drawing>
          <wp:inline distT="0" distB="0" distL="114300" distR="114300">
            <wp:extent cx="5718810" cy="6639560"/>
            <wp:effectExtent l="0" t="0" r="15240" b="8890"/>
            <wp:docPr id="2" name="图片 2" descr="15323960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532396031(1)"/>
                    <pic:cNvPicPr>
                      <a:picLocks noChangeAspect="1"/>
                    </pic:cNvPicPr>
                  </pic:nvPicPr>
                  <pic:blipFill>
                    <a:blip r:embed="rId5"/>
                    <a:stretch>
                      <a:fillRect/>
                    </a:stretch>
                  </pic:blipFill>
                  <pic:spPr>
                    <a:xfrm>
                      <a:off x="0" y="0"/>
                      <a:ext cx="5718810" cy="6639560"/>
                    </a:xfrm>
                    <a:prstGeom prst="rect">
                      <a:avLst/>
                    </a:prstGeom>
                  </pic:spPr>
                </pic:pic>
              </a:graphicData>
            </a:graphic>
          </wp:inline>
        </w:drawing>
      </w: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pPr>
    </w:p>
    <w:p>
      <w:pPr>
        <w:pStyle w:val="7"/>
        <w:keepNext w:val="0"/>
        <w:keepLines w:val="0"/>
        <w:pageBreakBefore w:val="0"/>
        <w:widowControl w:val="0"/>
        <w:kinsoku/>
        <w:wordWrap/>
        <w:overflowPunct/>
        <w:topLinePunct w:val="0"/>
        <w:autoSpaceDE w:val="0"/>
        <w:autoSpaceDN w:val="0"/>
        <w:bidi w:val="0"/>
        <w:adjustRightInd/>
        <w:snapToGrid/>
        <w:spacing w:line="360" w:lineRule="auto"/>
        <w:ind w:left="0" w:firstLine="560" w:firstLineChars="200"/>
        <w:textAlignment w:val="auto"/>
        <w:outlineLvl w:val="9"/>
        <w:rPr>
          <w:rFonts w:hint="eastAsia"/>
        </w:rPr>
      </w:pPr>
    </w:p>
    <w:p>
      <w:pPr>
        <w:pStyle w:val="2"/>
        <w:jc w:val="left"/>
        <w:rPr>
          <w:rFonts w:hint="eastAsia" w:ascii="宋体" w:hAnsi="宋体" w:eastAsia="宋体" w:cs="宋体"/>
          <w:lang w:val="en-US" w:eastAsia="zh-CN"/>
        </w:rPr>
      </w:pPr>
      <w:bookmarkStart w:id="17" w:name="_Toc25177"/>
      <w:r>
        <w:rPr>
          <w:rFonts w:hint="eastAsia" w:ascii="宋体" w:hAnsi="宋体" w:eastAsia="宋体" w:cs="宋体"/>
          <w:lang w:val="en-US" w:eastAsia="zh-CN"/>
        </w:rPr>
        <w:t>3、企业应急资源调查</w:t>
      </w:r>
      <w:bookmarkEnd w:id="17"/>
    </w:p>
    <w:p>
      <w:pPr>
        <w:pStyle w:val="3"/>
        <w:rPr>
          <w:rFonts w:hint="eastAsia"/>
        </w:rPr>
      </w:pPr>
      <w:bookmarkStart w:id="18" w:name="_Toc7282"/>
      <w:r>
        <w:rPr>
          <w:rFonts w:hint="eastAsia"/>
          <w:lang w:val="en-US" w:eastAsia="zh-CN"/>
        </w:rPr>
        <w:t>3</w:t>
      </w:r>
      <w:r>
        <w:rPr>
          <w:rFonts w:hint="eastAsia"/>
        </w:rPr>
        <w:t>.</w:t>
      </w:r>
      <w:r>
        <w:rPr>
          <w:rFonts w:hint="eastAsia"/>
          <w:lang w:val="en-US" w:eastAsia="zh-CN"/>
        </w:rPr>
        <w:t>1</w:t>
      </w:r>
      <w:r>
        <w:rPr>
          <w:rFonts w:hint="eastAsia"/>
        </w:rPr>
        <w:t>环境应急队伍调查</w:t>
      </w:r>
      <w:bookmarkEnd w:id="18"/>
    </w:p>
    <w:p>
      <w:pP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.1.</w:t>
      </w: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rPr>
        <w:t>调查因子</w:t>
      </w:r>
    </w:p>
    <w:p>
      <w:pPr>
        <w:rPr>
          <w:rFonts w:hint="eastAsia" w:ascii="宋体" w:hAnsi="宋体" w:eastAsia="宋体" w:cs="宋体"/>
          <w:b w:val="0"/>
          <w:bCs/>
          <w:sz w:val="24"/>
          <w:szCs w:val="24"/>
        </w:rPr>
      </w:pPr>
      <w:r>
        <w:rPr>
          <w:rFonts w:hint="eastAsia" w:ascii="宋体" w:hAnsi="宋体" w:eastAsia="宋体" w:cs="宋体"/>
          <w:b w:val="0"/>
          <w:bCs/>
          <w:sz w:val="24"/>
          <w:szCs w:val="24"/>
        </w:rPr>
        <w:t>调查确定环境应急队伍的组织构成、日常管理、应急分工、人员、人数、联系方式等。</w:t>
      </w:r>
    </w:p>
    <w:p>
      <w:pP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.1.2 调查内容</w:t>
      </w:r>
    </w:p>
    <w:p>
      <w:pPr>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组织体系</w:t>
      </w:r>
    </w:p>
    <w:p>
      <w:pPr>
        <w:rPr>
          <w:rFonts w:hint="eastAsia" w:ascii="宋体" w:hAnsi="宋体" w:eastAsia="宋体" w:cs="宋体"/>
          <w:b w:val="0"/>
          <w:bCs/>
          <w:sz w:val="24"/>
          <w:szCs w:val="24"/>
        </w:rPr>
      </w:pPr>
      <w:r>
        <w:rPr>
          <w:rFonts w:hint="eastAsia" w:ascii="宋体" w:hAnsi="宋体" w:eastAsia="宋体" w:cs="宋体"/>
          <w:b w:val="0"/>
          <w:bCs/>
          <w:sz w:val="24"/>
          <w:szCs w:val="24"/>
        </w:rPr>
        <w:drawing>
          <wp:inline distT="0" distB="0" distL="114300" distR="114300">
            <wp:extent cx="4677410" cy="2924810"/>
            <wp:effectExtent l="0" t="0" r="8890" b="8890"/>
            <wp:docPr id="1" name="图片 1" descr="1531185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31185933"/>
                    <pic:cNvPicPr>
                      <a:picLocks noChangeAspect="1"/>
                    </pic:cNvPicPr>
                  </pic:nvPicPr>
                  <pic:blipFill>
                    <a:blip r:embed="rId6"/>
                    <a:stretch>
                      <a:fillRect/>
                    </a:stretch>
                  </pic:blipFill>
                  <pic:spPr>
                    <a:xfrm>
                      <a:off x="0" y="0"/>
                      <a:ext cx="4677410" cy="2924810"/>
                    </a:xfrm>
                    <a:prstGeom prst="rect">
                      <a:avLst/>
                    </a:prstGeom>
                  </pic:spPr>
                </pic:pic>
              </a:graphicData>
            </a:graphic>
          </wp:inline>
        </w:drawing>
      </w:r>
    </w:p>
    <w:p>
      <w:pP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应急指挥体系</w:t>
      </w:r>
    </w:p>
    <w:p>
      <w:pP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rPr>
        <w:t>本公司成立事故应急救援处置指挥领导小组，负责组织实施环境污染事故应急处置工作，由公司主要负责人任小组组长。</w:t>
      </w:r>
    </w:p>
    <w:p>
      <w:pP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夜间紧急指挥系统，由夜间值班值班领导组成临时指挥系统，在公司指挥系统人员未到之前行使指挥系统职责、权力，并负责向公司指挥系统汇报事故、抢险有关情况。各救援小组在临时指挥系统的组织指挥下按常规运行，直到应急救援处置指挥领导小组人员赶到。</w:t>
      </w:r>
    </w:p>
    <w:p>
      <w:pPr>
        <w:rPr>
          <w:rFonts w:hint="eastAsia" w:ascii="宋体" w:hAnsi="宋体" w:eastAsia="宋体" w:cs="宋体"/>
          <w:b w:val="0"/>
          <w:bCs/>
          <w:sz w:val="24"/>
          <w:szCs w:val="24"/>
        </w:rPr>
      </w:pPr>
      <w:r>
        <w:rPr>
          <w:rFonts w:hint="eastAsia" w:ascii="宋体" w:hAnsi="宋体" w:eastAsia="宋体" w:cs="宋体"/>
          <w:b w:val="0"/>
          <w:bCs/>
          <w:sz w:val="24"/>
          <w:szCs w:val="24"/>
        </w:rPr>
        <w:t>应急救援指挥部的组成</w:t>
      </w:r>
    </w:p>
    <w:p>
      <w:pPr>
        <w:rPr>
          <w:rFonts w:hint="eastAsia" w:ascii="宋体" w:hAnsi="宋体" w:eastAsia="宋体" w:cs="宋体"/>
          <w:b w:val="0"/>
          <w:bCs/>
          <w:sz w:val="24"/>
          <w:szCs w:val="24"/>
        </w:rPr>
      </w:pPr>
      <w:r>
        <w:rPr>
          <w:rFonts w:hint="eastAsia" w:ascii="宋体" w:hAnsi="宋体" w:eastAsia="宋体" w:cs="宋体"/>
          <w:b w:val="0"/>
          <w:bCs/>
          <w:sz w:val="24"/>
          <w:szCs w:val="24"/>
        </w:rPr>
        <w:t>总指挥：</w:t>
      </w:r>
      <w:r>
        <w:rPr>
          <w:rFonts w:hint="eastAsia" w:ascii="宋体" w:hAnsi="宋体" w:eastAsia="宋体" w:cs="宋体"/>
          <w:b w:val="0"/>
          <w:bCs w:val="0"/>
          <w:sz w:val="24"/>
          <w:szCs w:val="24"/>
          <w:shd w:val="clear" w:color="auto" w:fill="auto"/>
        </w:rPr>
        <w:t xml:space="preserve">黄国勋 </w:t>
      </w:r>
    </w:p>
    <w:p>
      <w:pPr>
        <w:rPr>
          <w:rFonts w:hint="eastAsia" w:ascii="宋体" w:hAnsi="宋体" w:eastAsia="宋体" w:cs="宋体"/>
          <w:b w:val="0"/>
          <w:bCs/>
          <w:sz w:val="24"/>
          <w:szCs w:val="24"/>
        </w:rPr>
      </w:pPr>
      <w:r>
        <w:rPr>
          <w:rFonts w:hint="eastAsia" w:ascii="宋体" w:hAnsi="宋体" w:eastAsia="宋体" w:cs="宋体"/>
          <w:b w:val="0"/>
          <w:bCs/>
          <w:sz w:val="24"/>
          <w:szCs w:val="24"/>
        </w:rPr>
        <w:t>副总指挥：</w:t>
      </w:r>
      <w:r>
        <w:rPr>
          <w:rFonts w:hint="eastAsia" w:ascii="宋体" w:hAnsi="宋体" w:eastAsia="宋体" w:cs="宋体"/>
          <w:b w:val="0"/>
          <w:bCs w:val="0"/>
          <w:sz w:val="24"/>
          <w:szCs w:val="24"/>
          <w:shd w:val="clear" w:color="auto" w:fill="auto"/>
        </w:rPr>
        <w:t>李秋松</w:t>
      </w:r>
    </w:p>
    <w:p>
      <w:pPr>
        <w:rPr>
          <w:rFonts w:hint="eastAsia" w:ascii="宋体" w:hAnsi="宋体" w:eastAsia="宋体" w:cs="宋体"/>
          <w:b w:val="0"/>
          <w:bCs/>
          <w:sz w:val="24"/>
          <w:szCs w:val="24"/>
        </w:rPr>
      </w:pPr>
      <w:r>
        <w:rPr>
          <w:rFonts w:hint="eastAsia" w:ascii="宋体" w:hAnsi="宋体" w:eastAsia="宋体" w:cs="宋体"/>
          <w:b w:val="0"/>
          <w:bCs/>
          <w:sz w:val="24"/>
          <w:szCs w:val="24"/>
        </w:rPr>
        <w:t>现场协调人：</w:t>
      </w:r>
      <w:r>
        <w:rPr>
          <w:rFonts w:hint="eastAsia" w:ascii="宋体" w:hAnsi="宋体" w:eastAsia="宋体" w:cs="宋体"/>
          <w:b w:val="0"/>
          <w:bCs w:val="0"/>
          <w:sz w:val="24"/>
          <w:szCs w:val="24"/>
          <w:shd w:val="clear" w:color="auto" w:fill="auto"/>
        </w:rPr>
        <w:t xml:space="preserve">杨庭宗 </w:t>
      </w:r>
    </w:p>
    <w:p>
      <w:r>
        <w:rPr>
          <w:rFonts w:hint="eastAsia"/>
          <w:lang w:eastAsia="zh-CN"/>
        </w:rPr>
        <w:t>（</w:t>
      </w:r>
      <w:r>
        <w:rPr>
          <w:rFonts w:hint="eastAsia"/>
          <w:lang w:val="en-US" w:eastAsia="zh-CN"/>
        </w:rPr>
        <w:t>3</w:t>
      </w:r>
      <w:r>
        <w:rPr>
          <w:rFonts w:hint="eastAsia"/>
          <w:lang w:eastAsia="zh-CN"/>
        </w:rPr>
        <w:t>）</w:t>
      </w:r>
      <w:r>
        <w:rPr>
          <w:rFonts w:hint="eastAsia"/>
        </w:rPr>
        <w:t>应急救援指挥部职责</w:t>
      </w:r>
    </w:p>
    <w:p>
      <w:r>
        <w:rPr>
          <w:rFonts w:hint="eastAsia"/>
        </w:rPr>
        <w:t>贯彻执行国家、当地政府、上级主管部门关于突发环境污染事件发生和应急救援的方针、政策及有关规定。</w:t>
      </w:r>
    </w:p>
    <w:p>
      <w:r>
        <w:rPr>
          <w:rFonts w:hint="eastAsia"/>
        </w:rPr>
        <w:t>组织制定、修改环境污染事件应急救援预案，组建环境污染事件应急救援队伍，有计划地组织实施环境污染事件应急救援的培训和演习。</w:t>
      </w:r>
    </w:p>
    <w:p>
      <w:r>
        <w:rPr>
          <w:rFonts w:hint="eastAsia"/>
        </w:rPr>
        <w:t>审批并落实环境污染事件应急救援所需的监测仪器、防护器材、救援器材等的购置。</w:t>
      </w:r>
    </w:p>
    <w:p>
      <w:r>
        <w:rPr>
          <w:rFonts w:hint="eastAsia"/>
        </w:rPr>
        <w:t>检查、督促做好环境污染事件的预防措施和应急救援的各项准备工作，督促、协助有关部门及时消除有毒有害介质的跑、冒、滴、漏。</w:t>
      </w:r>
    </w:p>
    <w:p>
      <w:r>
        <w:rPr>
          <w:rFonts w:hint="eastAsia"/>
        </w:rPr>
        <w:t>批准应急救援的启动和终止。</w:t>
      </w:r>
    </w:p>
    <w:p>
      <w:r>
        <w:rPr>
          <w:rFonts w:hint="eastAsia"/>
        </w:rPr>
        <w:t>及时向上级报告环境污染事件的具体情况，必要时向有关单位发出增援请求，并向周边单位通报相关情况。</w:t>
      </w:r>
    </w:p>
    <w:p>
      <w:r>
        <w:rPr>
          <w:rFonts w:hint="eastAsia"/>
        </w:rPr>
        <w:t>组织指挥救援队伍实施救援行动，负责人员、资源配置、应急队伍的调动。</w:t>
      </w:r>
    </w:p>
    <w:p>
      <w:r>
        <w:rPr>
          <w:rFonts w:hint="eastAsia"/>
        </w:rPr>
        <w:t>协调事件现场有关工作。配合政府部门对环境进行恢复、事件调查、经验教训总结。</w:t>
      </w:r>
    </w:p>
    <w:p>
      <w:r>
        <w:rPr>
          <w:rFonts w:hint="eastAsia"/>
        </w:rPr>
        <w:t>负责对员工进行应急知识和基本防护方法的培训，向周边企业、村落提供本单位有关危险化学品特性、救援知识等的宣传材料。</w:t>
      </w:r>
    </w:p>
    <w:p>
      <w:r>
        <w:rPr>
          <w:rFonts w:hint="eastAsia"/>
          <w:lang w:eastAsia="zh-CN"/>
        </w:rPr>
        <w:t>（</w:t>
      </w:r>
      <w:r>
        <w:rPr>
          <w:rFonts w:hint="eastAsia"/>
          <w:lang w:val="en-US" w:eastAsia="zh-CN"/>
        </w:rPr>
        <w:t>4</w:t>
      </w:r>
      <w:r>
        <w:rPr>
          <w:rFonts w:hint="eastAsia"/>
          <w:lang w:eastAsia="zh-CN"/>
        </w:rPr>
        <w:t>）</w:t>
      </w:r>
      <w:r>
        <w:rPr>
          <w:rFonts w:hint="eastAsia"/>
        </w:rPr>
        <w:t>指挥人员分工及职责</w:t>
      </w:r>
    </w:p>
    <w:p>
      <w:r>
        <w:rPr>
          <w:rFonts w:hint="eastAsia"/>
          <w:lang w:val="en-US" w:eastAsia="zh-CN"/>
        </w:rPr>
        <w:t>1.</w:t>
      </w:r>
      <w:r>
        <w:rPr>
          <w:rFonts w:hint="eastAsia"/>
        </w:rPr>
        <w:t>总指挥：</w:t>
      </w:r>
      <w:r>
        <w:rPr>
          <w:rFonts w:hint="eastAsia" w:ascii="宋体" w:hAnsi="宋体" w:eastAsia="宋体" w:cs="宋体"/>
          <w:b w:val="0"/>
          <w:bCs w:val="0"/>
          <w:sz w:val="24"/>
          <w:szCs w:val="24"/>
          <w:shd w:val="clear" w:color="auto" w:fill="auto"/>
        </w:rPr>
        <w:t xml:space="preserve">黄国勋 </w:t>
      </w:r>
      <w:r>
        <w:rPr>
          <w:rFonts w:hint="eastAsia"/>
        </w:rPr>
        <w:t>，组织指挥全公司的应急救援工作。</w:t>
      </w:r>
    </w:p>
    <w:p>
      <w:r>
        <w:rPr>
          <w:rFonts w:hint="eastAsia"/>
          <w:lang w:val="en-US" w:eastAsia="zh-CN"/>
        </w:rPr>
        <w:t>2.</w:t>
      </w:r>
      <w:r>
        <w:rPr>
          <w:rFonts w:hint="eastAsia"/>
        </w:rPr>
        <w:t>副总指挥：</w:t>
      </w:r>
      <w:r>
        <w:rPr>
          <w:rFonts w:hint="eastAsia" w:ascii="宋体" w:hAnsi="宋体" w:eastAsia="宋体" w:cs="宋体"/>
          <w:b w:val="0"/>
          <w:bCs w:val="0"/>
          <w:sz w:val="24"/>
          <w:szCs w:val="24"/>
          <w:shd w:val="clear" w:color="auto" w:fill="auto"/>
        </w:rPr>
        <w:t>李秋松</w:t>
      </w:r>
      <w:r>
        <w:rPr>
          <w:rFonts w:hint="eastAsia"/>
        </w:rPr>
        <w:t>，协助总指挥负责应急救援的具体指挥工作，总指挥无法实行指挥责任时，替代行使总指挥职责。</w:t>
      </w:r>
    </w:p>
    <w:p>
      <w:r>
        <w:t>3</w:t>
      </w:r>
      <w:r>
        <w:rPr>
          <w:rFonts w:hint="eastAsia"/>
          <w:lang w:val="en-US" w:eastAsia="zh-CN"/>
        </w:rPr>
        <w:t>.</w:t>
      </w:r>
      <w:r>
        <w:rPr>
          <w:rFonts w:hint="eastAsia"/>
        </w:rPr>
        <w:t>现场指挥协调：</w:t>
      </w:r>
      <w:r>
        <w:rPr>
          <w:rFonts w:hint="eastAsia" w:ascii="宋体" w:hAnsi="宋体" w:eastAsia="宋体" w:cs="宋体"/>
          <w:b w:val="0"/>
          <w:bCs w:val="0"/>
          <w:sz w:val="24"/>
          <w:szCs w:val="24"/>
          <w:shd w:val="clear" w:color="auto" w:fill="auto"/>
        </w:rPr>
        <w:t>杨庭宗</w:t>
      </w:r>
      <w:r>
        <w:rPr>
          <w:rFonts w:hint="eastAsia"/>
        </w:rPr>
        <w:t>，负责总协调工作（负责应急救援工作的调度，指挥和协调救援工作的开展）。</w:t>
      </w:r>
    </w:p>
    <w:p>
      <w:r>
        <w:rPr>
          <w:rFonts w:hint="eastAsia"/>
          <w:lang w:eastAsia="zh-CN"/>
        </w:rPr>
        <w:t>（</w:t>
      </w:r>
      <w:r>
        <w:rPr>
          <w:rFonts w:hint="eastAsia"/>
          <w:lang w:val="en-US" w:eastAsia="zh-CN"/>
        </w:rPr>
        <w:t>5</w:t>
      </w:r>
      <w:r>
        <w:rPr>
          <w:rFonts w:hint="eastAsia"/>
          <w:lang w:eastAsia="zh-CN"/>
        </w:rPr>
        <w:t>）</w:t>
      </w:r>
      <w:r>
        <w:rPr>
          <w:rFonts w:hint="eastAsia"/>
        </w:rPr>
        <w:t>应急救援小组的组成</w:t>
      </w:r>
    </w:p>
    <w:p>
      <w:r>
        <w:rPr>
          <w:rFonts w:hint="eastAsia"/>
          <w:lang w:val="en-US" w:eastAsia="zh-CN"/>
        </w:rPr>
        <w:t>1.警戒保卫</w:t>
      </w:r>
      <w:r>
        <w:rPr>
          <w:rFonts w:hint="eastAsia"/>
        </w:rPr>
        <w:t>组：由艾平洋担任组长</w:t>
      </w:r>
    </w:p>
    <w:p>
      <w:r>
        <w:rPr>
          <w:rFonts w:hint="eastAsia"/>
        </w:rPr>
        <w:t>组员：王宇 刘坚</w:t>
      </w:r>
    </w:p>
    <w:p>
      <w:r>
        <w:rPr>
          <w:rFonts w:hint="eastAsia"/>
        </w:rPr>
        <w:t>主要职责如下：</w:t>
      </w:r>
    </w:p>
    <w:p>
      <w:r>
        <w:rPr>
          <w:rFonts w:hint="eastAsia"/>
        </w:rPr>
        <w:t>①组织人员撤离现场，并做好各类安全保障工作；</w:t>
      </w:r>
    </w:p>
    <w:p>
      <w:r>
        <w:rPr>
          <w:rFonts w:hint="eastAsia"/>
        </w:rPr>
        <w:t>②设置警戒、防护区域；</w:t>
      </w:r>
    </w:p>
    <w:p>
      <w:r>
        <w:rPr>
          <w:rFonts w:hint="eastAsia"/>
        </w:rPr>
        <w:t>③协助周边单位和群众的安全疏散和撤离。</w:t>
      </w:r>
    </w:p>
    <w:p>
      <w:r>
        <w:rPr>
          <w:rFonts w:hint="eastAsia"/>
          <w:lang w:val="en-US" w:eastAsia="zh-CN"/>
        </w:rPr>
        <w:t>2.</w:t>
      </w:r>
      <w:r>
        <w:rPr>
          <w:rFonts w:hint="eastAsia"/>
        </w:rPr>
        <w:t>抢险救援组：由杨华兵担任组长</w:t>
      </w:r>
    </w:p>
    <w:p>
      <w:r>
        <w:rPr>
          <w:rFonts w:hint="eastAsia"/>
        </w:rPr>
        <w:t>组员：谢禄生 徐勇 梅爱兵 曹小兵 谢显明 梅春阳</w:t>
      </w:r>
    </w:p>
    <w:p>
      <w:r>
        <w:rPr>
          <w:rFonts w:hint="eastAsia"/>
        </w:rPr>
        <w:t>主要职责如下：</w:t>
      </w:r>
    </w:p>
    <w:p>
      <w:r>
        <w:rPr>
          <w:rFonts w:hint="eastAsia"/>
        </w:rPr>
        <w:t>①在指挥部的指挥下参加抢险救援；</w:t>
      </w:r>
    </w:p>
    <w:p>
      <w:r>
        <w:rPr>
          <w:rFonts w:hint="eastAsia"/>
        </w:rPr>
        <w:t>②负责组织当班人员在事件发生时将发生区域内的人员、物资抢救到安全地点，防止事态扩大。</w:t>
      </w:r>
    </w:p>
    <w:p>
      <w:r>
        <w:rPr>
          <w:rFonts w:hint="eastAsia"/>
          <w:lang w:val="en-US" w:eastAsia="zh-CN"/>
        </w:rPr>
        <w:t>3.</w:t>
      </w:r>
      <w:r>
        <w:rPr>
          <w:rFonts w:hint="eastAsia"/>
        </w:rPr>
        <w:t>物资</w:t>
      </w:r>
      <w:r>
        <w:rPr>
          <w:rFonts w:hint="eastAsia"/>
          <w:lang w:eastAsia="zh-CN"/>
        </w:rPr>
        <w:t>供应</w:t>
      </w:r>
      <w:r>
        <w:rPr>
          <w:rFonts w:hint="eastAsia"/>
        </w:rPr>
        <w:t>组：由廖雪燕担任组长</w:t>
      </w:r>
    </w:p>
    <w:p>
      <w:pPr>
        <w:rPr>
          <w:rFonts w:hint="eastAsia"/>
        </w:rPr>
      </w:pPr>
      <w:r>
        <w:rPr>
          <w:rFonts w:hint="eastAsia"/>
        </w:rPr>
        <w:t>组员：陈岗 柳芬 秦海英</w:t>
      </w:r>
    </w:p>
    <w:p>
      <w:r>
        <w:rPr>
          <w:rFonts w:hint="eastAsia"/>
        </w:rPr>
        <w:t>主要职责如下：</w:t>
      </w:r>
    </w:p>
    <w:p>
      <w:r>
        <w:rPr>
          <w:rFonts w:hint="eastAsia"/>
        </w:rPr>
        <w:t>①负责厂区应急后勤保障工作。包括：现场医疗救护指挥及中毒、受伤人员分类抢救和护送转院；准备抢救受伤、中毒人员的生活必需品供应。</w:t>
      </w:r>
    </w:p>
    <w:p>
      <w:r>
        <w:rPr>
          <w:rFonts w:hint="eastAsia"/>
        </w:rPr>
        <w:t>②负责应急救援现场人员疏散，车辆准备，组织受伤人员的急救。</w:t>
      </w:r>
    </w:p>
    <w:p>
      <w:r>
        <w:rPr>
          <w:rFonts w:hint="eastAsia"/>
          <w:lang w:val="en-US" w:eastAsia="zh-CN"/>
        </w:rPr>
        <w:t>4.</w:t>
      </w:r>
      <w:r>
        <w:rPr>
          <w:rFonts w:hint="eastAsia"/>
        </w:rPr>
        <w:t>医疗救护组：由杨志华担任组长</w:t>
      </w:r>
    </w:p>
    <w:p>
      <w:r>
        <w:rPr>
          <w:rFonts w:hint="eastAsia"/>
        </w:rPr>
        <w:t>组员：汪峰 曹艳国</w:t>
      </w:r>
    </w:p>
    <w:p>
      <w:r>
        <w:rPr>
          <w:rFonts w:hint="eastAsia"/>
        </w:rPr>
        <w:t>主要职责如下：</w:t>
      </w:r>
    </w:p>
    <w:p>
      <w:r>
        <w:rPr>
          <w:rFonts w:hint="eastAsia"/>
        </w:rPr>
        <w:t>①负责事件现场的伤员转移、救助工作；</w:t>
      </w:r>
    </w:p>
    <w:p>
      <w:r>
        <w:rPr>
          <w:rFonts w:hint="eastAsia"/>
        </w:rPr>
        <w:t>②协助医疗救护部门将伤员护送到相关单位进行抢救和安置；</w:t>
      </w:r>
    </w:p>
    <w:p>
      <w:r>
        <w:rPr>
          <w:rFonts w:hint="eastAsia"/>
        </w:rPr>
        <w:t>③发生重大污染事件时，组织厂区人员安全撤离现场。</w:t>
      </w:r>
    </w:p>
    <w:p>
      <w:r>
        <w:rPr>
          <w:rFonts w:hint="eastAsia"/>
          <w:lang w:val="en-US" w:eastAsia="zh-CN"/>
        </w:rPr>
        <w:t>5.通信</w:t>
      </w:r>
      <w:r>
        <w:rPr>
          <w:rFonts w:hint="eastAsia"/>
        </w:rPr>
        <w:t>联络组：由沈友龙担任组长</w:t>
      </w:r>
    </w:p>
    <w:p>
      <w:r>
        <w:rPr>
          <w:rFonts w:hint="eastAsia"/>
        </w:rPr>
        <w:t>组员：邹国辉</w:t>
      </w:r>
      <w:r>
        <w:rPr>
          <w:rFonts w:hint="eastAsia"/>
          <w:lang w:val="en-US" w:eastAsia="zh-CN"/>
        </w:rPr>
        <w:t xml:space="preserve"> </w:t>
      </w:r>
      <w:r>
        <w:rPr>
          <w:rFonts w:hint="eastAsia"/>
        </w:rPr>
        <w:t>高峰 许晓勤</w:t>
      </w:r>
    </w:p>
    <w:p>
      <w:r>
        <w:rPr>
          <w:rFonts w:hint="eastAsia"/>
        </w:rPr>
        <w:t>由公司行政部人员组成和内勤组成。联络组接到报警后，立即采取措施中断一般外线电话，确保事件处理畅通，应急指挥部处理事件所用电讯迅速、准备无误。</w:t>
      </w:r>
    </w:p>
    <w:p>
      <w:r>
        <w:rPr>
          <w:rFonts w:hint="eastAsia"/>
        </w:rPr>
        <w:t>在紧急应变时通讯的正常，通知全公司员工紧急，接受指挥部指令对外信息发布。</w:t>
      </w:r>
    </w:p>
    <w:p>
      <w:r>
        <w:rPr>
          <w:rFonts w:hint="eastAsia"/>
          <w:lang w:val="en-US" w:eastAsia="zh-CN"/>
        </w:rPr>
        <w:t>6.</w:t>
      </w:r>
      <w:r>
        <w:rPr>
          <w:rFonts w:hint="eastAsia"/>
          <w:lang w:eastAsia="zh-CN"/>
        </w:rPr>
        <w:t>环境监测组</w:t>
      </w:r>
      <w:r>
        <w:rPr>
          <w:rFonts w:hint="eastAsia"/>
        </w:rPr>
        <w:t>：由周  勇担任组长</w:t>
      </w:r>
    </w:p>
    <w:p>
      <w:pPr>
        <w:rPr>
          <w:rFonts w:hint="eastAsia"/>
        </w:rPr>
      </w:pPr>
      <w:r>
        <w:rPr>
          <w:rFonts w:hint="eastAsia"/>
        </w:rPr>
        <w:t>组员：曹海霞</w:t>
      </w:r>
    </w:p>
    <w:p>
      <w:r>
        <w:rPr>
          <w:rFonts w:hint="eastAsia"/>
        </w:rPr>
        <w:t>主要职责如下：</w:t>
      </w:r>
    </w:p>
    <w:p>
      <w:pPr>
        <w:snapToGrid w:val="0"/>
        <w:spacing w:line="360" w:lineRule="auto"/>
        <w:ind w:firstLine="480" w:firstLineChars="200"/>
        <w:rPr>
          <w:sz w:val="24"/>
        </w:rPr>
      </w:pPr>
      <w:bookmarkStart w:id="19" w:name="_Toc425525802"/>
      <w:bookmarkStart w:id="20" w:name="_Toc423935614"/>
      <w:r>
        <w:rPr>
          <w:rFonts w:hint="eastAsia"/>
        </w:rPr>
        <w:t>①</w:t>
      </w:r>
      <w:r>
        <w:rPr>
          <w:sz w:val="24"/>
        </w:rPr>
        <w:t>协调事件调查；总结应急检测经验，做好现场配合工作，为指挥部提供真实有效的监测数据。</w:t>
      </w:r>
    </w:p>
    <w:p>
      <w:pPr>
        <w:snapToGrid w:val="0"/>
        <w:spacing w:line="360" w:lineRule="auto"/>
        <w:ind w:firstLine="480" w:firstLineChars="200"/>
        <w:rPr>
          <w:sz w:val="24"/>
        </w:rPr>
      </w:pPr>
      <w:r>
        <w:rPr>
          <w:rFonts w:hint="eastAsia"/>
        </w:rPr>
        <w:t>②</w:t>
      </w:r>
      <w:r>
        <w:rPr>
          <w:sz w:val="24"/>
        </w:rPr>
        <w:t>在本企业无法满足并提供环境监测工作时应急时做好与当地环境监测部门申请支援联络工作。</w:t>
      </w:r>
    </w:p>
    <w:bookmarkEnd w:id="19"/>
    <w:bookmarkEnd w:id="20"/>
    <w:p>
      <w:pPr>
        <w:pStyle w:val="3"/>
      </w:pPr>
      <w:bookmarkStart w:id="21" w:name="_Toc29094"/>
      <w:r>
        <w:rPr>
          <w:rFonts w:hint="eastAsia"/>
          <w:lang w:val="en-US" w:eastAsia="zh-CN"/>
        </w:rPr>
        <w:t>3</w:t>
      </w:r>
      <w:r>
        <w:rPr>
          <w:rFonts w:hint="eastAsia"/>
        </w:rPr>
        <w:t>.2 环境应急装备/物资</w:t>
      </w:r>
      <w:r>
        <w:t>调查</w:t>
      </w:r>
      <w:bookmarkEnd w:id="21"/>
    </w:p>
    <w:p>
      <w:r>
        <w:rPr>
          <w:rFonts w:hint="eastAsia"/>
          <w:lang w:val="en-US" w:eastAsia="zh-CN"/>
        </w:rPr>
        <w:t>3</w:t>
      </w:r>
      <w:r>
        <w:rPr>
          <w:rFonts w:hint="eastAsia"/>
        </w:rPr>
        <w:t>.2.1 调查因子</w:t>
      </w:r>
    </w:p>
    <w:p>
      <w:pPr>
        <w:rPr>
          <w:rFonts w:hint="eastAsia"/>
        </w:rPr>
      </w:pPr>
      <w:r>
        <w:rPr>
          <w:rFonts w:hint="eastAsia"/>
        </w:rPr>
        <w:t>调查确定应急控制装备、应急收容装备、应急洗消装备、应急监测装备、应急防护装备等。</w:t>
      </w:r>
    </w:p>
    <w:p>
      <w:r>
        <w:rPr>
          <w:rFonts w:hint="eastAsia"/>
          <w:lang w:val="en-US" w:eastAsia="zh-CN"/>
        </w:rPr>
        <w:t>3</w:t>
      </w:r>
      <w:r>
        <w:rPr>
          <w:rFonts w:hint="eastAsia"/>
        </w:rPr>
        <w:t>.2.2 调查内容</w:t>
      </w:r>
    </w:p>
    <w:p>
      <w:pPr>
        <w:keepNext w:val="0"/>
        <w:keepLines w:val="0"/>
        <w:pageBreakBefore w:val="0"/>
        <w:widowControl w:val="0"/>
        <w:tabs>
          <w:tab w:val="left" w:pos="1021"/>
        </w:tabs>
        <w:kinsoku/>
        <w:wordWrap/>
        <w:overflowPunct/>
        <w:topLinePunct w:val="0"/>
        <w:autoSpaceDE w:val="0"/>
        <w:autoSpaceDN w:val="0"/>
        <w:bidi w:val="0"/>
        <w:adjustRightInd/>
        <w:snapToGrid w:val="0"/>
        <w:spacing w:line="360" w:lineRule="auto"/>
        <w:textAlignment w:val="auto"/>
        <w:outlineLvl w:val="9"/>
        <w:rPr>
          <w:rFonts w:hint="eastAsia"/>
          <w:sz w:val="24"/>
          <w:szCs w:val="24"/>
        </w:rPr>
      </w:pPr>
      <w:r>
        <w:rPr>
          <w:rFonts w:hint="eastAsia"/>
          <w:sz w:val="24"/>
          <w:szCs w:val="24"/>
        </w:rPr>
        <w:t>1. 应急防控设施：</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olor w:val="auto"/>
          <w:lang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ascii="宋体" w:hAnsi="宋体"/>
          <w:color w:val="auto"/>
        </w:rPr>
        <w:t>对具有危险和有害因素的生产过程</w:t>
      </w:r>
      <w:r>
        <w:rPr>
          <w:rFonts w:hint="eastAsia"/>
          <w:color w:val="auto"/>
          <w:lang w:eastAsia="zh-CN"/>
        </w:rPr>
        <w:t>，</w:t>
      </w:r>
      <w:r>
        <w:rPr>
          <w:rFonts w:hint="eastAsia" w:ascii="宋体" w:hAnsi="宋体"/>
          <w:color w:val="auto"/>
        </w:rPr>
        <w:t>整个过程采用泵送加料、流转、过滤，机械切片、包装；导热油炉设有温度监视、温度报警和自动连锁装置</w:t>
      </w:r>
      <w:r>
        <w:rPr>
          <w:rFonts w:hint="eastAsia"/>
          <w:color w:val="auto"/>
          <w:lang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olor w:val="auto"/>
          <w:lang w:eastAsia="zh-CN"/>
        </w:rPr>
      </w:pPr>
      <w:r>
        <w:rPr>
          <w:rFonts w:hint="eastAsia"/>
          <w:color w:val="auto"/>
          <w:lang w:eastAsia="zh-CN"/>
        </w:rPr>
        <w:t>（</w:t>
      </w:r>
      <w:r>
        <w:rPr>
          <w:rFonts w:hint="eastAsia"/>
          <w:color w:val="auto"/>
          <w:lang w:val="en-US" w:eastAsia="zh-CN"/>
        </w:rPr>
        <w:t>2</w:t>
      </w:r>
      <w:r>
        <w:rPr>
          <w:rFonts w:hint="eastAsia"/>
          <w:color w:val="auto"/>
          <w:lang w:eastAsia="zh-CN"/>
        </w:rPr>
        <w:t>）</w:t>
      </w:r>
      <w:r>
        <w:rPr>
          <w:color w:val="auto"/>
          <w:szCs w:val="21"/>
        </w:rPr>
        <w:t>对尘毒危害严重的生产装置内的设备和管道</w:t>
      </w:r>
      <w:r>
        <w:rPr>
          <w:rFonts w:hint="eastAsia"/>
          <w:color w:val="auto"/>
          <w:szCs w:val="21"/>
          <w:lang w:eastAsia="zh-CN"/>
        </w:rPr>
        <w:t>，</w:t>
      </w:r>
      <w:r>
        <w:rPr>
          <w:rFonts w:hint="eastAsia" w:ascii="宋体" w:hAnsi="宋体"/>
          <w:color w:val="auto"/>
        </w:rPr>
        <w:t>密闭化进行生产，生产厂房主要采用自然通风；设有尾气硫化氢吸收装置</w:t>
      </w:r>
      <w:r>
        <w:rPr>
          <w:rFonts w:hint="eastAsia"/>
          <w:color w:val="auto"/>
          <w:lang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color w:val="auto"/>
          <w:szCs w:val="21"/>
          <w:lang w:eastAsia="zh-CN"/>
        </w:rPr>
      </w:pPr>
      <w:r>
        <w:rPr>
          <w:rFonts w:hint="eastAsia"/>
          <w:color w:val="auto"/>
          <w:lang w:eastAsia="zh-CN"/>
        </w:rPr>
        <w:t>（</w:t>
      </w:r>
      <w:r>
        <w:rPr>
          <w:rFonts w:hint="eastAsia"/>
          <w:color w:val="auto"/>
          <w:lang w:val="en-US" w:eastAsia="zh-CN"/>
        </w:rPr>
        <w:t>3</w:t>
      </w:r>
      <w:r>
        <w:rPr>
          <w:rFonts w:hint="eastAsia"/>
          <w:color w:val="auto"/>
          <w:lang w:eastAsia="zh-CN"/>
        </w:rPr>
        <w:t>）</w:t>
      </w:r>
      <w:r>
        <w:rPr>
          <w:rFonts w:hint="eastAsia" w:ascii="宋体" w:hAnsi="宋体"/>
          <w:color w:val="auto"/>
        </w:rPr>
        <w:t>车间、储罐区设有</w:t>
      </w:r>
      <w:r>
        <w:rPr>
          <w:color w:val="auto"/>
          <w:szCs w:val="21"/>
        </w:rPr>
        <w:t>淋洗器、洗眼器</w:t>
      </w:r>
      <w:r>
        <w:rPr>
          <w:rFonts w:hint="eastAsia"/>
          <w:color w:val="auto"/>
          <w:szCs w:val="21"/>
        </w:rPr>
        <w:t>，共有8处，服务半径可满足</w:t>
      </w:r>
      <w:r>
        <w:rPr>
          <w:rFonts w:hint="eastAsia"/>
          <w:color w:val="auto"/>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eastAsia="宋体"/>
          <w:color w:val="auto"/>
          <w:szCs w:val="21"/>
          <w:lang w:eastAsia="zh-CN"/>
        </w:rPr>
      </w:pPr>
      <w:r>
        <w:rPr>
          <w:rFonts w:hint="eastAsia"/>
          <w:color w:val="auto"/>
          <w:szCs w:val="21"/>
          <w:lang w:eastAsia="zh-CN"/>
        </w:rPr>
        <w:t>（</w:t>
      </w:r>
      <w:r>
        <w:rPr>
          <w:rFonts w:hint="eastAsia"/>
          <w:color w:val="auto"/>
          <w:szCs w:val="21"/>
          <w:lang w:val="en-US" w:eastAsia="zh-CN"/>
        </w:rPr>
        <w:t>4</w:t>
      </w:r>
      <w:r>
        <w:rPr>
          <w:rFonts w:hint="eastAsia"/>
          <w:color w:val="auto"/>
          <w:szCs w:val="21"/>
          <w:lang w:eastAsia="zh-CN"/>
        </w:rPr>
        <w:t>）</w:t>
      </w:r>
      <w:r>
        <w:rPr>
          <w:rFonts w:hint="eastAsia"/>
          <w:color w:val="auto"/>
          <w:szCs w:val="21"/>
        </w:rPr>
        <w:t>消防水压可满足，管网呈环形，经消防部门验收全厂区设5个消防栓，保护半径可满足消防要求</w:t>
      </w:r>
      <w:r>
        <w:rPr>
          <w:rFonts w:hint="eastAsia"/>
          <w:color w:val="auto"/>
          <w:szCs w:val="21"/>
          <w:lang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eastAsia="宋体"/>
          <w:color w:val="auto"/>
          <w:szCs w:val="21"/>
          <w:lang w:eastAsia="zh-CN"/>
        </w:rPr>
      </w:pPr>
      <w:r>
        <w:rPr>
          <w:rFonts w:hint="eastAsia"/>
          <w:color w:val="auto"/>
          <w:szCs w:val="21"/>
          <w:lang w:eastAsia="zh-CN"/>
        </w:rPr>
        <w:t>（</w:t>
      </w:r>
      <w:r>
        <w:rPr>
          <w:rFonts w:hint="eastAsia"/>
          <w:color w:val="auto"/>
          <w:szCs w:val="21"/>
          <w:lang w:val="en-US" w:eastAsia="zh-CN"/>
        </w:rPr>
        <w:t>5</w:t>
      </w:r>
      <w:r>
        <w:rPr>
          <w:rFonts w:hint="eastAsia"/>
          <w:color w:val="auto"/>
          <w:szCs w:val="21"/>
          <w:lang w:eastAsia="zh-CN"/>
        </w:rPr>
        <w:t>）</w:t>
      </w:r>
      <w:r>
        <w:rPr>
          <w:rFonts w:hint="eastAsia"/>
          <w:color w:val="auto"/>
          <w:szCs w:val="21"/>
        </w:rPr>
        <w:t>由前面消防用水计算，该装置区一次消防用水最大量为324m</w:t>
      </w:r>
      <w:r>
        <w:rPr>
          <w:rFonts w:hint="eastAsia"/>
          <w:color w:val="auto"/>
          <w:szCs w:val="21"/>
          <w:vertAlign w:val="superscript"/>
        </w:rPr>
        <w:t>3</w:t>
      </w:r>
      <w:r>
        <w:rPr>
          <w:rFonts w:hint="eastAsia"/>
          <w:color w:val="auto"/>
          <w:szCs w:val="21"/>
        </w:rPr>
        <w:t>。企业建有300m</w:t>
      </w:r>
      <w:r>
        <w:rPr>
          <w:rFonts w:hint="eastAsia"/>
          <w:color w:val="auto"/>
          <w:szCs w:val="21"/>
          <w:vertAlign w:val="superscript"/>
        </w:rPr>
        <w:t>3</w:t>
      </w:r>
      <w:r>
        <w:rPr>
          <w:rFonts w:hint="eastAsia"/>
          <w:color w:val="auto"/>
          <w:szCs w:val="21"/>
        </w:rPr>
        <w:t>的消防水池一个，考虑到消防水池可及时补水，可满足消防用水。</w:t>
      </w:r>
    </w:p>
    <w:p>
      <w:pPr>
        <w:spacing w:line="360" w:lineRule="auto"/>
        <w:ind w:firstLine="480" w:firstLineChars="200"/>
        <w:rPr>
          <w:rFonts w:hint="eastAsia"/>
        </w:rPr>
      </w:pPr>
      <w:r>
        <w:rPr>
          <w:rFonts w:hint="eastAsia"/>
        </w:rPr>
        <w:t>2. 应急处置装备：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szCs w:val="21"/>
        </w:rPr>
      </w:pPr>
      <w:r>
        <w:rPr>
          <w:rFonts w:hint="eastAsia"/>
          <w:lang w:eastAsia="zh-CN"/>
        </w:rPr>
        <w:t>（</w:t>
      </w:r>
      <w:r>
        <w:rPr>
          <w:rFonts w:hint="eastAsia"/>
          <w:lang w:val="en-US" w:eastAsia="zh-CN"/>
        </w:rPr>
        <w:t>1</w:t>
      </w:r>
      <w:r>
        <w:rPr>
          <w:rFonts w:hint="eastAsia"/>
          <w:lang w:eastAsia="zh-CN"/>
        </w:rPr>
        <w:t>）</w:t>
      </w:r>
      <w:r>
        <w:rPr>
          <w:rFonts w:hint="eastAsia" w:ascii="宋体" w:hAnsi="宋体"/>
          <w:szCs w:val="21"/>
        </w:rPr>
        <w:t>各应急通道均设有应急照明灯，作为现场紧急撤离时照明，生产系统在突然断电时，所有岗位人员由当班班长组织按照应急撤离路线有序撤离。在事故的抢险和伤员救护过程中，由技术专家组根据情况，从其他生产系统供电，在确定安全的情况下，对事故单位的各个岗位进行选择性供电，保证应急和照明电源的使用。</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color w:val="auto"/>
          <w:szCs w:val="21"/>
        </w:rPr>
      </w:pPr>
      <w:r>
        <w:rPr>
          <w:rFonts w:hint="eastAsia"/>
          <w:szCs w:val="21"/>
          <w:lang w:eastAsia="zh-CN"/>
        </w:rPr>
        <w:t>（</w:t>
      </w:r>
      <w:r>
        <w:rPr>
          <w:rFonts w:hint="eastAsia"/>
          <w:szCs w:val="21"/>
          <w:lang w:val="en-US" w:eastAsia="zh-CN"/>
        </w:rPr>
        <w:t>2</w:t>
      </w:r>
      <w:r>
        <w:rPr>
          <w:rFonts w:hint="eastAsia"/>
          <w:szCs w:val="21"/>
          <w:lang w:eastAsia="zh-CN"/>
        </w:rPr>
        <w:t>）</w:t>
      </w:r>
      <w:r>
        <w:rPr>
          <w:rFonts w:hint="eastAsia"/>
          <w:color w:val="auto"/>
          <w:szCs w:val="21"/>
        </w:rPr>
        <w:t>厂区设有5个室外消防栓；设有300m</w:t>
      </w:r>
      <w:r>
        <w:rPr>
          <w:rFonts w:hint="eastAsia"/>
          <w:color w:val="auto"/>
          <w:szCs w:val="21"/>
          <w:vertAlign w:val="superscript"/>
        </w:rPr>
        <w:t>3</w:t>
      </w:r>
      <w:r>
        <w:rPr>
          <w:rFonts w:hint="eastAsia"/>
          <w:color w:val="auto"/>
          <w:szCs w:val="21"/>
        </w:rPr>
        <w:t>消防水池；配置</w:t>
      </w:r>
      <w:r>
        <w:rPr>
          <w:rFonts w:hint="eastAsia" w:ascii="宋体" w:hAnsi="宋体"/>
          <w:color w:val="auto"/>
          <w:szCs w:val="21"/>
        </w:rPr>
        <w:t>消防泵2台，（流量为20L／S、压力为0.42Mpa，功率为15KW）；MFZ4</w:t>
      </w:r>
      <w:r>
        <w:rPr>
          <w:rFonts w:hint="eastAsia" w:ascii="宋体" w:hAnsi="宋体"/>
          <w:color w:val="auto"/>
          <w:szCs w:val="21"/>
          <w:lang w:eastAsia="zh-CN"/>
        </w:rPr>
        <w:t>灭火器</w:t>
      </w:r>
      <w:r>
        <w:rPr>
          <w:rFonts w:hint="eastAsia" w:ascii="宋体" w:hAnsi="宋体"/>
          <w:color w:val="auto"/>
          <w:szCs w:val="21"/>
          <w:lang w:val="en-US" w:eastAsia="zh-CN"/>
        </w:rPr>
        <w:t>40</w:t>
      </w:r>
      <w:r>
        <w:rPr>
          <w:rFonts w:hint="eastAsia" w:ascii="宋体" w:hAnsi="宋体"/>
          <w:color w:val="auto"/>
          <w:szCs w:val="21"/>
        </w:rPr>
        <w:t>个。</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color w:val="auto"/>
          <w:szCs w:val="21"/>
        </w:rPr>
      </w:pPr>
      <w:r>
        <w:rPr>
          <w:rFonts w:hint="eastAsia"/>
          <w:color w:val="auto"/>
          <w:szCs w:val="21"/>
          <w:lang w:eastAsia="zh-CN"/>
        </w:rPr>
        <w:t>（</w:t>
      </w:r>
      <w:r>
        <w:rPr>
          <w:rFonts w:hint="eastAsia"/>
          <w:color w:val="auto"/>
          <w:szCs w:val="21"/>
          <w:lang w:val="en-US" w:eastAsia="zh-CN"/>
        </w:rPr>
        <w:t>3</w:t>
      </w:r>
      <w:r>
        <w:rPr>
          <w:rFonts w:hint="eastAsia"/>
          <w:color w:val="auto"/>
          <w:szCs w:val="21"/>
          <w:lang w:eastAsia="zh-CN"/>
        </w:rPr>
        <w:t>）</w:t>
      </w:r>
      <w:r>
        <w:rPr>
          <w:rFonts w:hint="eastAsia"/>
          <w:color w:val="auto"/>
          <w:szCs w:val="21"/>
        </w:rPr>
        <w:t>生产厂房设有洗眼器、喷淋器（总8处）；</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color w:val="auto"/>
          <w:szCs w:val="21"/>
        </w:rPr>
      </w:pPr>
      <w:r>
        <w:rPr>
          <w:rFonts w:hint="eastAsia"/>
          <w:color w:val="auto"/>
          <w:szCs w:val="21"/>
          <w:lang w:eastAsia="zh-CN"/>
        </w:rPr>
        <w:t>（</w:t>
      </w:r>
      <w:r>
        <w:rPr>
          <w:rFonts w:hint="eastAsia"/>
          <w:color w:val="auto"/>
          <w:szCs w:val="21"/>
          <w:lang w:val="en-US" w:eastAsia="zh-CN"/>
        </w:rPr>
        <w:t>4</w:t>
      </w:r>
      <w:r>
        <w:rPr>
          <w:rFonts w:hint="eastAsia"/>
          <w:color w:val="auto"/>
          <w:szCs w:val="21"/>
          <w:lang w:eastAsia="zh-CN"/>
        </w:rPr>
        <w:t>）</w:t>
      </w:r>
      <w:r>
        <w:rPr>
          <w:rFonts w:hint="eastAsia"/>
          <w:color w:val="auto"/>
          <w:szCs w:val="21"/>
        </w:rPr>
        <w:t>急救药箱4只；防毒面具2个；警戒线2盘；铁锹5把；有堵漏的沙；厂部小车可应急用；</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eastAsia="宋体"/>
          <w:color w:val="auto"/>
          <w:szCs w:val="21"/>
          <w:lang w:eastAsia="zh-CN"/>
        </w:rPr>
      </w:pPr>
      <w:r>
        <w:rPr>
          <w:rFonts w:hint="eastAsia"/>
          <w:color w:val="auto"/>
          <w:szCs w:val="21"/>
          <w:lang w:eastAsia="zh-CN"/>
        </w:rPr>
        <w:t>（</w:t>
      </w:r>
      <w:r>
        <w:rPr>
          <w:rFonts w:hint="eastAsia"/>
          <w:color w:val="auto"/>
          <w:szCs w:val="21"/>
          <w:lang w:val="en-US" w:eastAsia="zh-CN"/>
        </w:rPr>
        <w:t>5</w:t>
      </w:r>
      <w:r>
        <w:rPr>
          <w:rFonts w:hint="eastAsia"/>
          <w:color w:val="auto"/>
          <w:szCs w:val="21"/>
          <w:lang w:eastAsia="zh-CN"/>
        </w:rPr>
        <w:t>）</w:t>
      </w:r>
      <w:r>
        <w:rPr>
          <w:rFonts w:hint="eastAsia"/>
          <w:color w:val="auto"/>
          <w:szCs w:val="21"/>
        </w:rPr>
        <w:t>为员工发放:乳胶防护手套、防毒口罩（15套）、护目镜、耐酸碱工作服、锅炉手套、氩弧焊手套、安全帽、防静电工作服</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rPr>
      </w:pPr>
      <w:r>
        <w:rPr>
          <w:rFonts w:hint="eastAsia"/>
        </w:rPr>
        <w:t>3.应急处置物资：</w:t>
      </w:r>
      <w:r>
        <w:rPr>
          <w:rFonts w:hint="eastAsia" w:ascii="宋体" w:hAnsi="宋体"/>
          <w:szCs w:val="21"/>
        </w:rPr>
        <w:t>公司主要涉及风险源为</w:t>
      </w:r>
      <w:r>
        <w:rPr>
          <w:rFonts w:hint="eastAsia"/>
          <w:szCs w:val="21"/>
          <w:lang w:eastAsia="zh-CN"/>
        </w:rPr>
        <w:t>车间</w:t>
      </w:r>
      <w:r>
        <w:rPr>
          <w:rFonts w:hint="eastAsia" w:ascii="宋体" w:hAnsi="宋体"/>
          <w:szCs w:val="21"/>
        </w:rPr>
        <w:t>发生火灾引发的次生衍生环境事故，公司配备应急保障物资主要有</w:t>
      </w:r>
      <w:r>
        <w:rPr>
          <w:rFonts w:hint="eastAsia"/>
          <w:color w:val="auto"/>
          <w:szCs w:val="21"/>
        </w:rPr>
        <w:t>乳胶防护手套、防毒口罩、护目镜、耐酸碱工作服、锅炉手套、氩弧焊手套、安全帽、防静电工作服</w:t>
      </w:r>
      <w:r>
        <w:rPr>
          <w:rFonts w:hint="eastAsia" w:ascii="宋体" w:hAnsi="宋体"/>
          <w:szCs w:val="21"/>
        </w:rPr>
        <w:t>、干粉灭火器、消防栓、消防沙等。</w:t>
      </w: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spacing w:line="360" w:lineRule="auto"/>
        <w:ind w:firstLine="560" w:firstLineChars="200"/>
        <w:rPr>
          <w:rFonts w:hint="eastAsia" w:eastAsia="仿宋_GB2312"/>
          <w:color w:val="000000"/>
          <w:sz w:val="28"/>
          <w:szCs w:val="28"/>
          <w:lang w:val="en-US" w:eastAsia="zh-CN"/>
        </w:rPr>
      </w:pPr>
    </w:p>
    <w:p>
      <w:pPr>
        <w:pStyle w:val="2"/>
        <w:numPr>
          <w:ilvl w:val="0"/>
          <w:numId w:val="0"/>
        </w:numPr>
        <w:ind w:right="0" w:rightChars="0"/>
        <w:jc w:val="left"/>
        <w:rPr>
          <w:rFonts w:hint="eastAsia"/>
        </w:rPr>
      </w:pPr>
      <w:bookmarkStart w:id="22" w:name="_Toc18435"/>
      <w:bookmarkStart w:id="23" w:name="_Toc425525805"/>
      <w:r>
        <w:rPr>
          <w:rFonts w:hint="eastAsia"/>
          <w:lang w:val="en-US" w:eastAsia="zh-CN"/>
        </w:rPr>
        <w:t>4、</w:t>
      </w:r>
      <w:r>
        <w:rPr>
          <w:rFonts w:hint="eastAsia"/>
        </w:rPr>
        <w:t>外协应急资源调查内容</w:t>
      </w:r>
      <w:bookmarkEnd w:id="22"/>
    </w:p>
    <w:bookmarkEnd w:id="23"/>
    <w:p>
      <w:pPr>
        <w:pStyle w:val="3"/>
        <w:rPr>
          <w:rFonts w:hint="eastAsia"/>
        </w:rPr>
      </w:pPr>
      <w:bookmarkStart w:id="24" w:name="_Toc25010"/>
      <w:r>
        <w:rPr>
          <w:rFonts w:hint="eastAsia"/>
          <w:lang w:val="en-US" w:eastAsia="zh-CN"/>
        </w:rPr>
        <w:t>4</w:t>
      </w:r>
      <w:r>
        <w:rPr>
          <w:rFonts w:hint="eastAsia"/>
        </w:rPr>
        <w:t>.1 可请求援助部门应急资源调查</w:t>
      </w:r>
      <w:bookmarkEnd w:id="24"/>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外部救援工作具体由指挥部负责，指挥部门负责与外部救援单位及时取得联系，并将具体地点、路线、发生事故的情况，救援所需器材的种类与外部救援单位讲清楚，同时应安排专人去接应并引路。</w:t>
      </w:r>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主要参与部门有：</w:t>
      </w:r>
    </w:p>
    <w:p>
      <w:pPr>
        <w:pStyle w:val="19"/>
        <w:pageBreakBefore w:val="0"/>
        <w:widowControl w:val="0"/>
        <w:numPr>
          <w:ilvl w:val="0"/>
          <w:numId w:val="1"/>
        </w:numPr>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25" w:name="_Toc11884_WPSOffice_Level3"/>
      <w:r>
        <w:rPr>
          <w:rFonts w:hint="eastAsia" w:ascii="宋体" w:hAnsi="宋体" w:eastAsia="宋体" w:cs="宋体"/>
          <w:sz w:val="24"/>
          <w:szCs w:val="24"/>
        </w:rPr>
        <w:t>公安部门</w:t>
      </w:r>
      <w:bookmarkEnd w:id="25"/>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协助公司进行警戒，封锁相关要道，防止无关人员进入事故现场和污染区。</w:t>
      </w:r>
    </w:p>
    <w:p>
      <w:pPr>
        <w:pStyle w:val="19"/>
        <w:pageBreakBefore w:val="0"/>
        <w:widowControl w:val="0"/>
        <w:numPr>
          <w:ilvl w:val="0"/>
          <w:numId w:val="1"/>
        </w:numPr>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26" w:name="_Toc26550_WPSOffice_Level3"/>
      <w:r>
        <w:rPr>
          <w:rFonts w:hint="eastAsia" w:ascii="宋体" w:hAnsi="宋体" w:eastAsia="宋体" w:cs="宋体"/>
          <w:sz w:val="24"/>
          <w:szCs w:val="24"/>
        </w:rPr>
        <w:t>消防队</w:t>
      </w:r>
      <w:bookmarkEnd w:id="26"/>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发生火灾事故时，进行灭火的救护。</w:t>
      </w:r>
    </w:p>
    <w:p>
      <w:pPr>
        <w:pStyle w:val="19"/>
        <w:pageBreakBefore w:val="0"/>
        <w:widowControl w:val="0"/>
        <w:numPr>
          <w:ilvl w:val="0"/>
          <w:numId w:val="1"/>
        </w:numPr>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27" w:name="_Toc23656_WPSOffice_Level3"/>
      <w:r>
        <w:rPr>
          <w:rFonts w:hint="eastAsia" w:ascii="宋体" w:hAnsi="宋体" w:eastAsia="宋体" w:cs="宋体"/>
          <w:color w:val="000000"/>
          <w:kern w:val="0"/>
          <w:sz w:val="24"/>
          <w:szCs w:val="24"/>
        </w:rPr>
        <w:t>环保部门</w:t>
      </w:r>
      <w:bookmarkEnd w:id="27"/>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提供事故时的实时监测和污染区的处理工作。</w:t>
      </w:r>
    </w:p>
    <w:p>
      <w:pPr>
        <w:pStyle w:val="19"/>
        <w:pageBreakBefore w:val="0"/>
        <w:widowControl w:val="0"/>
        <w:numPr>
          <w:ilvl w:val="0"/>
          <w:numId w:val="1"/>
        </w:numPr>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28" w:name="_Toc4364_WPSOffice_Level3"/>
      <w:r>
        <w:rPr>
          <w:rFonts w:hint="eastAsia" w:ascii="宋体" w:hAnsi="宋体" w:eastAsia="宋体" w:cs="宋体"/>
          <w:sz w:val="24"/>
          <w:szCs w:val="24"/>
        </w:rPr>
        <w:t>电信部门</w:t>
      </w:r>
      <w:bookmarkEnd w:id="28"/>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保障外部通讯系统的正常运转，</w:t>
      </w:r>
      <w:r>
        <w:rPr>
          <w:rFonts w:hint="eastAsia" w:ascii="宋体" w:hAnsi="宋体" w:eastAsia="宋体" w:cs="宋体"/>
          <w:color w:val="000000"/>
          <w:kern w:val="0"/>
          <w:sz w:val="24"/>
          <w:szCs w:val="24"/>
        </w:rPr>
        <w:t>能够及时准确发布事故的消息和发布有关命令。</w:t>
      </w:r>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⑤医疗单位</w:t>
      </w:r>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提供伤员、中毒救护的治疗服务和现场救护所需要的药品和人员。</w:t>
      </w:r>
      <w:bookmarkStart w:id="29" w:name="_Toc423935619"/>
      <w:bookmarkStart w:id="30" w:name="_Toc425525806"/>
    </w:p>
    <w:p>
      <w:pPr>
        <w:pStyle w:val="3"/>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rPr>
      </w:pPr>
      <w:bookmarkStart w:id="31" w:name="_Toc8764"/>
      <w:r>
        <w:rPr>
          <w:rFonts w:hint="eastAsia"/>
        </w:rPr>
        <w:t>4.2外部应急有关单位联系电话</w:t>
      </w:r>
      <w:bookmarkEnd w:id="29"/>
      <w:bookmarkEnd w:id="30"/>
      <w:bookmarkEnd w:id="31"/>
    </w:p>
    <w:p>
      <w:pPr>
        <w:keepNext w:val="0"/>
        <w:keepLines w:val="0"/>
        <w:pageBreakBefore w:val="0"/>
        <w:widowControl w:val="0"/>
        <w:kinsoku/>
        <w:wordWrap/>
        <w:overflowPunct/>
        <w:topLinePunct w:val="0"/>
        <w:autoSpaceDE w:val="0"/>
        <w:autoSpaceDN w:val="0"/>
        <w:bidi w:val="0"/>
        <w:adjustRightInd/>
        <w:snapToGrid/>
        <w:spacing w:line="360" w:lineRule="auto"/>
        <w:ind w:left="0" w:firstLine="0" w:firstLineChars="0"/>
        <w:jc w:val="center"/>
        <w:textAlignment w:val="auto"/>
        <w:outlineLvl w:val="9"/>
        <w:rPr>
          <w:rFonts w:hint="eastAsia" w:ascii="宋体" w:hAnsi="宋体" w:eastAsia="宋体" w:cs="宋体"/>
          <w:b/>
          <w:bCs/>
          <w:sz w:val="24"/>
          <w:szCs w:val="24"/>
        </w:rPr>
      </w:pPr>
      <w:bookmarkStart w:id="32" w:name="_Toc7589_WPSOffice_Level3"/>
      <w:r>
        <w:rPr>
          <w:rFonts w:hint="eastAsia" w:ascii="宋体" w:hAnsi="宋体" w:eastAsia="宋体" w:cs="宋体"/>
          <w:b/>
          <w:bCs/>
          <w:sz w:val="24"/>
          <w:szCs w:val="24"/>
        </w:rPr>
        <w:t>表4.</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-1外部应急联络通讯录</w:t>
      </w:r>
      <w:bookmarkEnd w:id="32"/>
    </w:p>
    <w:tbl>
      <w:tblPr>
        <w:tblStyle w:val="16"/>
        <w:tblW w:w="8313"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655"/>
        <w:gridCol w:w="5400"/>
        <w:gridCol w:w="2258"/>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b/>
                <w:szCs w:val="21"/>
              </w:rPr>
            </w:pPr>
            <w:r>
              <w:rPr>
                <w:b/>
                <w:szCs w:val="21"/>
              </w:rPr>
              <w:t>序号</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b/>
                <w:szCs w:val="21"/>
              </w:rPr>
            </w:pPr>
            <w:r>
              <w:rPr>
                <w:b/>
                <w:szCs w:val="21"/>
              </w:rPr>
              <w:t>主管部门或应急机构</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b/>
                <w:szCs w:val="21"/>
              </w:rPr>
            </w:pPr>
            <w:r>
              <w:rPr>
                <w:b/>
                <w:szCs w:val="21"/>
              </w:rPr>
              <w:t>应急电话</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1</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九江</w:t>
            </w:r>
            <w:r>
              <w:rPr>
                <w:szCs w:val="21"/>
              </w:rPr>
              <w:t>市人民政府</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8223172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2</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湖口县</w:t>
            </w:r>
            <w:r>
              <w:rPr>
                <w:szCs w:val="21"/>
              </w:rPr>
              <w:t>人民政府</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0792-6332113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3</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九江市</w:t>
            </w:r>
            <w:r>
              <w:rPr>
                <w:rFonts w:hint="eastAsia"/>
                <w:szCs w:val="21"/>
              </w:rPr>
              <w:t>安全生产监督管理局</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8983436</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4</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湖口县安全生产监督管理局</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0792</w:t>
            </w:r>
            <w:r>
              <w:rPr>
                <w:rFonts w:hint="eastAsia"/>
                <w:szCs w:val="21"/>
              </w:rPr>
              <w:t>-</w:t>
            </w:r>
            <w:r>
              <w:rPr>
                <w:szCs w:val="21"/>
              </w:rPr>
              <w:t>6336505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5</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九江市</w:t>
            </w:r>
            <w:r>
              <w:rPr>
                <w:rFonts w:hint="eastAsia"/>
                <w:szCs w:val="21"/>
              </w:rPr>
              <w:t>环境</w:t>
            </w:r>
            <w:r>
              <w:rPr>
                <w:szCs w:val="21"/>
              </w:rPr>
              <w:t>保护局</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8584349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6</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湖口县环境</w:t>
            </w:r>
            <w:r>
              <w:rPr>
                <w:szCs w:val="21"/>
              </w:rPr>
              <w:t>保护局</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0</w:t>
            </w:r>
            <w:r>
              <w:rPr>
                <w:szCs w:val="21"/>
              </w:rPr>
              <w:t>792</w:t>
            </w:r>
            <w:r>
              <w:rPr>
                <w:rFonts w:hint="eastAsia"/>
                <w:szCs w:val="21"/>
              </w:rPr>
              <w:t>-</w:t>
            </w:r>
            <w:r>
              <w:rPr>
                <w:szCs w:val="21"/>
              </w:rPr>
              <w:t>6329579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7</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九江</w:t>
            </w:r>
            <w:r>
              <w:rPr>
                <w:szCs w:val="21"/>
              </w:rPr>
              <w:t>市环保局应急办</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0792-8577773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8</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湖口县环保局应急办</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0792</w:t>
            </w:r>
            <w:r>
              <w:rPr>
                <w:rFonts w:hint="eastAsia"/>
                <w:szCs w:val="21"/>
              </w:rPr>
              <w:t>-</w:t>
            </w:r>
            <w:r>
              <w:rPr>
                <w:szCs w:val="21"/>
              </w:rPr>
              <w:t>6566211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9</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九江市</w:t>
            </w:r>
            <w:r>
              <w:rPr>
                <w:szCs w:val="21"/>
              </w:rPr>
              <w:t>消防救援大队</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8333655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10</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湖口县消防救援大队</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0</w:t>
            </w:r>
            <w:r>
              <w:rPr>
                <w:szCs w:val="21"/>
              </w:rPr>
              <w:t>792</w:t>
            </w:r>
            <w:r>
              <w:rPr>
                <w:rFonts w:hint="eastAsia"/>
                <w:szCs w:val="21"/>
              </w:rPr>
              <w:t>-</w:t>
            </w:r>
            <w:r>
              <w:rPr>
                <w:szCs w:val="21"/>
              </w:rPr>
              <w:t>6329950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11</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九江</w:t>
            </w:r>
            <w:r>
              <w:rPr>
                <w:szCs w:val="21"/>
              </w:rPr>
              <w:t>市第</w:t>
            </w:r>
            <w:r>
              <w:rPr>
                <w:rFonts w:hint="eastAsia"/>
                <w:szCs w:val="21"/>
              </w:rPr>
              <w:t>一</w:t>
            </w:r>
            <w:r>
              <w:rPr>
                <w:szCs w:val="21"/>
              </w:rPr>
              <w:t>人民医院</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0792-8177120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12</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湖口县</w:t>
            </w:r>
            <w:r>
              <w:rPr>
                <w:szCs w:val="21"/>
              </w:rPr>
              <w:t>人民医院</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0792</w:t>
            </w:r>
            <w:r>
              <w:rPr>
                <w:rFonts w:hint="eastAsia"/>
                <w:szCs w:val="21"/>
              </w:rPr>
              <w:t>-</w:t>
            </w:r>
            <w:r>
              <w:rPr>
                <w:szCs w:val="21"/>
              </w:rPr>
              <w:t>6310953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13</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急救.公安.消防.交通事故</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120 110 119 122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655"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14</w:t>
            </w:r>
          </w:p>
        </w:tc>
        <w:tc>
          <w:tcPr>
            <w:tcW w:w="5400"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rFonts w:hint="eastAsia"/>
                <w:szCs w:val="21"/>
              </w:rPr>
              <w:t>国家化学事故应急咨询服务热线</w:t>
            </w:r>
          </w:p>
        </w:tc>
        <w:tc>
          <w:tcPr>
            <w:tcW w:w="2258"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outlineLvl w:val="9"/>
              <w:rPr>
                <w:szCs w:val="21"/>
              </w:rPr>
            </w:pPr>
            <w:r>
              <w:rPr>
                <w:szCs w:val="21"/>
              </w:rPr>
              <w:t>0532-3889090</w:t>
            </w:r>
          </w:p>
        </w:tc>
      </w:tr>
    </w:tbl>
    <w:p>
      <w:pPr>
        <w:pageBreakBefore w:val="0"/>
        <w:widowControl w:val="0"/>
        <w:kinsoku/>
        <w:wordWrap/>
        <w:overflowPunct/>
        <w:topLinePunct w:val="0"/>
        <w:autoSpaceDE w:val="0"/>
        <w:autoSpaceDN w:val="0"/>
        <w:bidi w:val="0"/>
        <w:adjustRightInd/>
        <w:snapToGrid/>
        <w:spacing w:line="360" w:lineRule="auto"/>
        <w:ind w:left="0" w:firstLine="480" w:firstLineChars="200"/>
        <w:jc w:val="center"/>
        <w:textAlignment w:val="auto"/>
        <w:rPr>
          <w:rFonts w:hint="eastAsia" w:ascii="宋体" w:hAnsi="宋体" w:eastAsia="宋体" w:cs="宋体"/>
          <w:sz w:val="24"/>
          <w:szCs w:val="24"/>
        </w:rPr>
      </w:pPr>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outlineLvl w:val="1"/>
        <w:rPr>
          <w:rFonts w:hint="eastAsia" w:ascii="宋体" w:hAnsi="宋体" w:eastAsia="宋体" w:cs="宋体"/>
          <w:color w:val="000000"/>
          <w:kern w:val="0"/>
          <w:sz w:val="24"/>
          <w:szCs w:val="24"/>
        </w:rPr>
      </w:pPr>
      <w:bookmarkStart w:id="33" w:name="_Toc425525807"/>
      <w:bookmarkStart w:id="34" w:name="_Toc19464"/>
      <w:bookmarkStart w:id="35" w:name="_Toc423935620"/>
      <w:r>
        <w:rPr>
          <w:rFonts w:hint="eastAsia" w:ascii="宋体" w:hAnsi="宋体" w:eastAsia="宋体" w:cs="宋体"/>
          <w:color w:val="000000"/>
          <w:kern w:val="0"/>
          <w:sz w:val="24"/>
          <w:szCs w:val="24"/>
        </w:rPr>
        <w:t>4.3专职队伍救援</w:t>
      </w:r>
      <w:bookmarkEnd w:id="33"/>
      <w:bookmarkEnd w:id="34"/>
      <w:bookmarkEnd w:id="35"/>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旦发生重大环境事件时，应急救援指挥部应及时组织应急救援组队事故进行抢险救援。一旦事件危害超过本公司应急救援能力时，应及时向政府部门求援，并联络外部救援单位，请求外部救援单位的支援。在联络的同时，需同时通告内容包括但不限于以下内容：</w:t>
      </w:r>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36" w:name="_Toc4154_WPSOffice_Level3"/>
      <w:r>
        <w:rPr>
          <w:rFonts w:hint="eastAsia" w:ascii="宋体" w:hAnsi="宋体" w:eastAsia="宋体" w:cs="宋体"/>
          <w:sz w:val="24"/>
          <w:szCs w:val="24"/>
        </w:rPr>
        <w:t>a、事件发生的时间和地点；</w:t>
      </w:r>
      <w:bookmarkEnd w:id="36"/>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37" w:name="_Toc26507_WPSOffice_Level3"/>
      <w:r>
        <w:rPr>
          <w:rFonts w:hint="eastAsia" w:ascii="宋体" w:hAnsi="宋体" w:eastAsia="宋体" w:cs="宋体"/>
          <w:sz w:val="24"/>
          <w:szCs w:val="24"/>
        </w:rPr>
        <w:t>b、事件类型：火灾、爆炸、泄漏（暂时状态、连续状态）；</w:t>
      </w:r>
      <w:bookmarkEnd w:id="37"/>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38" w:name="_Toc11228_WPSOffice_Level3"/>
      <w:r>
        <w:rPr>
          <w:rFonts w:hint="eastAsia" w:ascii="宋体" w:hAnsi="宋体" w:eastAsia="宋体" w:cs="宋体"/>
          <w:sz w:val="24"/>
          <w:szCs w:val="24"/>
        </w:rPr>
        <w:t>c、估计造成事件的泄漏量；</w:t>
      </w:r>
      <w:bookmarkEnd w:id="38"/>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39" w:name="_Toc14800_WPSOffice_Level3"/>
      <w:r>
        <w:rPr>
          <w:rFonts w:hint="eastAsia" w:ascii="宋体" w:hAnsi="宋体" w:eastAsia="宋体" w:cs="宋体"/>
          <w:sz w:val="24"/>
          <w:szCs w:val="24"/>
        </w:rPr>
        <w:t>d、已采取的应急措施；</w:t>
      </w:r>
      <w:bookmarkEnd w:id="39"/>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40" w:name="_Toc4652_WPSOffice_Level3"/>
      <w:r>
        <w:rPr>
          <w:rFonts w:hint="eastAsia" w:ascii="宋体" w:hAnsi="宋体" w:eastAsia="宋体" w:cs="宋体"/>
          <w:sz w:val="24"/>
          <w:szCs w:val="24"/>
        </w:rPr>
        <w:t>e、已污染的范围、潜在的危害程度、转化方式趋向；</w:t>
      </w:r>
      <w:bookmarkEnd w:id="40"/>
      <w:r>
        <w:rPr>
          <w:rFonts w:hint="eastAsia" w:ascii="宋体" w:hAnsi="宋体" w:eastAsia="宋体" w:cs="宋体"/>
          <w:sz w:val="24"/>
          <w:szCs w:val="24"/>
        </w:rPr>
        <w:t xml:space="preserve"> </w:t>
      </w:r>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41" w:name="_Toc2465_WPSOffice_Level3"/>
      <w:r>
        <w:rPr>
          <w:rFonts w:hint="eastAsia" w:ascii="宋体" w:hAnsi="宋体" w:eastAsia="宋体" w:cs="宋体"/>
          <w:sz w:val="24"/>
          <w:szCs w:val="24"/>
        </w:rPr>
        <w:t>f、健康危害与必要的医疗措施；</w:t>
      </w:r>
      <w:bookmarkEnd w:id="41"/>
      <w:r>
        <w:rPr>
          <w:rFonts w:hint="eastAsia" w:ascii="宋体" w:hAnsi="宋体" w:eastAsia="宋体" w:cs="宋体"/>
          <w:sz w:val="24"/>
          <w:szCs w:val="24"/>
        </w:rPr>
        <w:t xml:space="preserve"> </w:t>
      </w:r>
    </w:p>
    <w:p>
      <w:pPr>
        <w:pageBreakBefore w:val="0"/>
        <w:widowControl w:val="0"/>
        <w:kinsoku/>
        <w:wordWrap/>
        <w:overflowPunct/>
        <w:topLinePunct w:val="0"/>
        <w:autoSpaceDE w:val="0"/>
        <w:autoSpaceDN w:val="0"/>
        <w:bidi w:val="0"/>
        <w:adjustRightInd/>
        <w:snapToGrid/>
        <w:spacing w:line="360" w:lineRule="auto"/>
        <w:ind w:left="0" w:firstLine="480" w:firstLineChars="200"/>
        <w:textAlignment w:val="auto"/>
        <w:rPr>
          <w:rFonts w:hint="eastAsia" w:ascii="宋体" w:hAnsi="宋体" w:eastAsia="宋体" w:cs="宋体"/>
          <w:sz w:val="24"/>
          <w:szCs w:val="24"/>
        </w:rPr>
      </w:pPr>
      <w:bookmarkStart w:id="42" w:name="_Toc19481_WPSOffice_Level3"/>
      <w:r>
        <w:rPr>
          <w:rFonts w:hint="eastAsia" w:ascii="宋体" w:hAnsi="宋体" w:eastAsia="宋体" w:cs="宋体"/>
          <w:sz w:val="24"/>
          <w:szCs w:val="24"/>
        </w:rPr>
        <w:t>g、联系人姓名和电话。</w:t>
      </w:r>
      <w:bookmarkEnd w:id="42"/>
    </w:p>
    <w:p>
      <w:pPr>
        <w:pStyle w:val="2"/>
        <w:jc w:val="both"/>
      </w:pPr>
      <w:bookmarkStart w:id="43" w:name="_Toc4055"/>
      <w:r>
        <w:rPr>
          <w:rFonts w:hint="eastAsia"/>
          <w:lang w:val="en-US" w:eastAsia="zh-CN"/>
        </w:rPr>
        <w:t>5</w:t>
      </w:r>
      <w:r>
        <w:rPr>
          <w:rFonts w:hint="eastAsia"/>
          <w:lang w:eastAsia="zh-CN"/>
        </w:rPr>
        <w:t>、</w:t>
      </w:r>
      <w:bookmarkStart w:id="44" w:name="_Toc518976844"/>
      <w:r>
        <w:t>应急资源调查主要结论</w:t>
      </w:r>
      <w:bookmarkEnd w:id="43"/>
      <w:bookmarkEnd w:id="44"/>
    </w:p>
    <w:p>
      <w:r>
        <w:rPr>
          <w:rFonts w:hint="eastAsia"/>
        </w:rPr>
        <w:t>乔旭（九江）企业有限公司</w:t>
      </w:r>
      <w:r>
        <w:t>环保应急资源充足，涵盖应急队伍、物资装备、通信与信息、技术、财力、人员防护等方面的保障，由相应的职能处室组织落实，听从</w:t>
      </w:r>
      <w:r>
        <w:rPr>
          <w:rFonts w:hint="eastAsia"/>
        </w:rPr>
        <w:t>乔旭（九江）企业</w:t>
      </w:r>
      <w:r>
        <w:t>应急指挥中心的统一调配指令。</w:t>
      </w:r>
    </w:p>
    <w:p>
      <w:r>
        <w:t>常规的抢险救灾力量主要依靠企业自身，紧急情况下可以向地方政府求援，医疗急救力量与九江湖口人民医院合作。平时注重加强应急队伍的业务培训和应急演练，鼓励义务志愿者参与应急工作。</w:t>
      </w:r>
    </w:p>
    <w:p>
      <w:r>
        <w:t>应急物资储备以自身为主，完善应急物资储备，做到</w:t>
      </w:r>
      <w:r>
        <w:rPr>
          <w:rFonts w:hint="eastAsia"/>
        </w:rPr>
        <w:t>乔旭（九江）企业有限公司</w:t>
      </w:r>
      <w:r>
        <w:t>应急物质资源共享、动态管理。在应急状态下，由</w:t>
      </w:r>
      <w:r>
        <w:rPr>
          <w:rFonts w:hint="eastAsia"/>
        </w:rPr>
        <w:t>乔旭（九江）</w:t>
      </w:r>
      <w:r>
        <w:t>应急指挥中心统一调配使用。各应急专业小组、各职能部门、各基层单位应根据应急预案处置需要和应急职责的要求，配备、储备适量的应急物资并建立台帐，加强管理和维护。</w:t>
      </w:r>
    </w:p>
    <w:p>
      <w:r>
        <w:t>全方位、多角度进行通信与信息保障，建有现代化的应急指挥中心。</w:t>
      </w:r>
    </w:p>
    <w:p/>
    <w:p/>
    <w:p/>
    <w:p/>
    <w:p/>
    <w:p/>
    <w:p/>
    <w:p/>
    <w:p/>
    <w:p/>
    <w:p/>
    <w:p/>
    <w:p/>
    <w:p/>
    <w:p/>
    <w:p/>
    <w:p/>
    <w:p/>
    <w:p/>
    <w:p/>
    <w:p>
      <w:pPr>
        <w:pStyle w:val="2"/>
        <w:ind w:left="0" w:leftChars="0" w:firstLine="0" w:firstLineChars="0"/>
        <w:jc w:val="both"/>
      </w:pPr>
      <w:bookmarkStart w:id="45" w:name="_Toc13956"/>
      <w:bookmarkStart w:id="46" w:name="_Toc518976845"/>
      <w:r>
        <w:rPr>
          <w:rFonts w:hint="eastAsia"/>
          <w:lang w:val="en-US" w:eastAsia="zh-CN"/>
        </w:rPr>
        <w:t>6、</w:t>
      </w:r>
      <w:r>
        <w:t>附件</w:t>
      </w:r>
      <w:bookmarkEnd w:id="45"/>
      <w:bookmarkEnd w:id="46"/>
    </w:p>
    <w:p>
      <w:pPr>
        <w:pStyle w:val="23"/>
        <w:ind w:firstLine="480"/>
      </w:pPr>
      <w:r>
        <w:t>附件1</w:t>
      </w:r>
      <w:r>
        <w:rPr>
          <w:rFonts w:hint="eastAsia"/>
        </w:rPr>
        <w:t>乔旭（九江）企业有限公司</w:t>
      </w:r>
      <w:r>
        <w:t>内部应急通讯</w:t>
      </w:r>
    </w:p>
    <w:tbl>
      <w:tblPr>
        <w:tblStyle w:val="16"/>
        <w:tblW w:w="8313"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849"/>
        <w:gridCol w:w="3108"/>
        <w:gridCol w:w="1664"/>
        <w:gridCol w:w="2692"/>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ind w:left="0" w:leftChars="0" w:firstLine="0" w:firstLineChars="0"/>
              <w:jc w:val="both"/>
              <w:rPr>
                <w:b/>
                <w:szCs w:val="21"/>
              </w:rPr>
            </w:pPr>
            <w:r>
              <w:rPr>
                <w:b/>
                <w:szCs w:val="21"/>
              </w:rPr>
              <w:t>序号</w:t>
            </w:r>
          </w:p>
        </w:tc>
        <w:tc>
          <w:tcPr>
            <w:tcW w:w="3108" w:type="dxa"/>
            <w:shd w:val="clear" w:color="auto" w:fill="auto"/>
            <w:vAlign w:val="center"/>
          </w:tcPr>
          <w:p>
            <w:pPr>
              <w:jc w:val="center"/>
              <w:rPr>
                <w:b/>
                <w:szCs w:val="21"/>
              </w:rPr>
            </w:pPr>
            <w:r>
              <w:rPr>
                <w:b/>
                <w:szCs w:val="21"/>
              </w:rPr>
              <w:t>单位</w:t>
            </w:r>
          </w:p>
        </w:tc>
        <w:tc>
          <w:tcPr>
            <w:tcW w:w="1664" w:type="dxa"/>
            <w:shd w:val="clear" w:color="auto" w:fill="auto"/>
            <w:vAlign w:val="center"/>
          </w:tcPr>
          <w:p>
            <w:pPr>
              <w:jc w:val="center"/>
              <w:rPr>
                <w:b/>
                <w:szCs w:val="21"/>
              </w:rPr>
            </w:pPr>
            <w:r>
              <w:rPr>
                <w:b/>
                <w:szCs w:val="21"/>
              </w:rPr>
              <w:t>姓名</w:t>
            </w:r>
          </w:p>
        </w:tc>
        <w:tc>
          <w:tcPr>
            <w:tcW w:w="2692" w:type="dxa"/>
            <w:shd w:val="clear" w:color="auto" w:fill="auto"/>
            <w:vAlign w:val="center"/>
          </w:tcPr>
          <w:p>
            <w:pPr>
              <w:jc w:val="center"/>
              <w:rPr>
                <w:b/>
                <w:szCs w:val="21"/>
              </w:rPr>
            </w:pPr>
            <w:r>
              <w:rPr>
                <w:b/>
                <w:szCs w:val="21"/>
              </w:rPr>
              <w:t>手机号码</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r>
              <w:t>1</w:t>
            </w:r>
          </w:p>
        </w:tc>
        <w:tc>
          <w:tcPr>
            <w:tcW w:w="3108" w:type="dxa"/>
            <w:shd w:val="clear" w:color="auto" w:fill="auto"/>
            <w:vAlign w:val="center"/>
          </w:tcPr>
          <w:p>
            <w:r>
              <w:t>环境监测组</w:t>
            </w:r>
          </w:p>
        </w:tc>
        <w:tc>
          <w:tcPr>
            <w:tcW w:w="1664" w:type="dxa"/>
            <w:shd w:val="clear" w:color="auto" w:fill="auto"/>
            <w:vAlign w:val="center"/>
          </w:tcPr>
          <w:p>
            <w:r>
              <w:rPr>
                <w:rFonts w:hint="eastAsia"/>
              </w:rPr>
              <w:t>周  勇</w:t>
            </w:r>
          </w:p>
        </w:tc>
        <w:tc>
          <w:tcPr>
            <w:tcW w:w="2692" w:type="dxa"/>
            <w:shd w:val="clear" w:color="auto" w:fill="auto"/>
            <w:vAlign w:val="center"/>
          </w:tcPr>
          <w:p>
            <w:r>
              <w:rPr>
                <w:rFonts w:hint="eastAsia"/>
              </w:rPr>
              <w:t>13767200070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r>
              <w:t>2</w:t>
            </w:r>
          </w:p>
        </w:tc>
        <w:tc>
          <w:tcPr>
            <w:tcW w:w="3108" w:type="dxa"/>
            <w:shd w:val="clear" w:color="auto" w:fill="auto"/>
            <w:vAlign w:val="center"/>
          </w:tcPr>
          <w:p>
            <w:r>
              <w:t>警戒保卫组</w:t>
            </w:r>
          </w:p>
        </w:tc>
        <w:tc>
          <w:tcPr>
            <w:tcW w:w="1664" w:type="dxa"/>
            <w:shd w:val="clear" w:color="auto" w:fill="auto"/>
            <w:vAlign w:val="center"/>
          </w:tcPr>
          <w:p>
            <w:r>
              <w:rPr>
                <w:rFonts w:hint="eastAsia"/>
              </w:rPr>
              <w:t>艾平洋</w:t>
            </w:r>
          </w:p>
        </w:tc>
        <w:tc>
          <w:tcPr>
            <w:tcW w:w="2692" w:type="dxa"/>
            <w:shd w:val="clear" w:color="auto" w:fill="auto"/>
            <w:vAlign w:val="center"/>
          </w:tcPr>
          <w:p>
            <w:r>
              <w:rPr>
                <w:rFonts w:hint="eastAsia"/>
              </w:rPr>
              <w:t>13979205258</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3</w:t>
            </w:r>
          </w:p>
        </w:tc>
        <w:tc>
          <w:tcPr>
            <w:tcW w:w="3108" w:type="dxa"/>
            <w:shd w:val="clear" w:color="auto" w:fill="auto"/>
            <w:vAlign w:val="center"/>
          </w:tcPr>
          <w:p>
            <w:r>
              <w:t>抢险</w:t>
            </w:r>
            <w:r>
              <w:rPr>
                <w:rFonts w:hint="eastAsia"/>
                <w:lang w:eastAsia="zh-CN"/>
              </w:rPr>
              <w:t>救援</w:t>
            </w:r>
            <w:r>
              <w:t>组</w:t>
            </w:r>
          </w:p>
        </w:tc>
        <w:tc>
          <w:tcPr>
            <w:tcW w:w="1664" w:type="dxa"/>
            <w:shd w:val="clear" w:color="auto" w:fill="auto"/>
            <w:vAlign w:val="center"/>
          </w:tcPr>
          <w:p>
            <w:r>
              <w:rPr>
                <w:rFonts w:hint="eastAsia"/>
              </w:rPr>
              <w:t>杨华兵</w:t>
            </w:r>
          </w:p>
        </w:tc>
        <w:tc>
          <w:tcPr>
            <w:tcW w:w="2692" w:type="dxa"/>
            <w:shd w:val="clear" w:color="auto" w:fill="auto"/>
            <w:vAlign w:val="center"/>
          </w:tcPr>
          <w:p>
            <w:r>
              <w:rPr>
                <w:rFonts w:hint="eastAsia"/>
              </w:rPr>
              <w:t>13479880877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4</w:t>
            </w:r>
          </w:p>
        </w:tc>
        <w:tc>
          <w:tcPr>
            <w:tcW w:w="3108" w:type="dxa"/>
            <w:shd w:val="clear" w:color="auto" w:fill="auto"/>
            <w:vAlign w:val="center"/>
          </w:tcPr>
          <w:p>
            <w:r>
              <w:rPr>
                <w:rFonts w:hint="eastAsia"/>
              </w:rPr>
              <w:t>通信联络组</w:t>
            </w:r>
          </w:p>
        </w:tc>
        <w:tc>
          <w:tcPr>
            <w:tcW w:w="1664" w:type="dxa"/>
            <w:shd w:val="clear" w:color="auto" w:fill="auto"/>
            <w:vAlign w:val="center"/>
          </w:tcPr>
          <w:p>
            <w:r>
              <w:rPr>
                <w:rFonts w:hint="eastAsia"/>
              </w:rPr>
              <w:t>沈友龙</w:t>
            </w:r>
          </w:p>
        </w:tc>
        <w:tc>
          <w:tcPr>
            <w:tcW w:w="2692" w:type="dxa"/>
            <w:shd w:val="clear" w:color="auto" w:fill="auto"/>
            <w:vAlign w:val="center"/>
          </w:tcPr>
          <w:p>
            <w:r>
              <w:rPr>
                <w:rFonts w:hint="eastAsia"/>
              </w:rPr>
              <w:t>13879276057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5</w:t>
            </w:r>
          </w:p>
        </w:tc>
        <w:tc>
          <w:tcPr>
            <w:tcW w:w="3108" w:type="dxa"/>
            <w:shd w:val="clear" w:color="auto" w:fill="auto"/>
            <w:vAlign w:val="center"/>
          </w:tcPr>
          <w:p>
            <w:r>
              <w:t>物资供应组</w:t>
            </w:r>
          </w:p>
        </w:tc>
        <w:tc>
          <w:tcPr>
            <w:tcW w:w="1664" w:type="dxa"/>
            <w:shd w:val="clear" w:color="auto" w:fill="auto"/>
            <w:vAlign w:val="center"/>
          </w:tcPr>
          <w:p>
            <w:r>
              <w:rPr>
                <w:rFonts w:hint="eastAsia"/>
              </w:rPr>
              <w:t>廖雪燕</w:t>
            </w:r>
          </w:p>
        </w:tc>
        <w:tc>
          <w:tcPr>
            <w:tcW w:w="2692" w:type="dxa"/>
            <w:shd w:val="clear" w:color="auto" w:fill="auto"/>
            <w:vAlign w:val="center"/>
          </w:tcPr>
          <w:p>
            <w:r>
              <w:rPr>
                <w:rFonts w:hint="eastAsia"/>
              </w:rPr>
              <w:t>13755278021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6</w:t>
            </w:r>
          </w:p>
        </w:tc>
        <w:tc>
          <w:tcPr>
            <w:tcW w:w="3108" w:type="dxa"/>
            <w:shd w:val="clear" w:color="auto" w:fill="auto"/>
            <w:vAlign w:val="center"/>
          </w:tcPr>
          <w:p>
            <w:r>
              <w:t>医疗救护组</w:t>
            </w:r>
          </w:p>
        </w:tc>
        <w:tc>
          <w:tcPr>
            <w:tcW w:w="1664" w:type="dxa"/>
            <w:shd w:val="clear" w:color="auto" w:fill="auto"/>
            <w:vAlign w:val="center"/>
          </w:tcPr>
          <w:p>
            <w:r>
              <w:rPr>
                <w:rFonts w:hint="eastAsia"/>
              </w:rPr>
              <w:t>杨志华</w:t>
            </w:r>
          </w:p>
        </w:tc>
        <w:tc>
          <w:tcPr>
            <w:tcW w:w="2692" w:type="dxa"/>
            <w:shd w:val="clear" w:color="auto" w:fill="auto"/>
            <w:vAlign w:val="center"/>
          </w:tcPr>
          <w:p>
            <w:r>
              <w:rPr>
                <w:rFonts w:hint="eastAsia"/>
              </w:rPr>
              <w:t>13479880335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val="en-US" w:eastAsia="zh-CN"/>
              </w:rPr>
            </w:pPr>
            <w:r>
              <w:rPr>
                <w:rFonts w:hint="eastAsia"/>
                <w:lang w:val="en-US" w:eastAsia="zh-CN"/>
              </w:rPr>
              <w:t>7</w:t>
            </w:r>
          </w:p>
        </w:tc>
        <w:tc>
          <w:tcPr>
            <w:tcW w:w="3108" w:type="dxa"/>
            <w:shd w:val="clear" w:color="auto" w:fill="auto"/>
            <w:vAlign w:val="center"/>
          </w:tcPr>
          <w:p>
            <w:pPr>
              <w:rPr>
                <w:rFonts w:hint="eastAsia" w:eastAsia="宋体"/>
                <w:lang w:eastAsia="zh-CN"/>
              </w:rPr>
            </w:pPr>
            <w:r>
              <w:rPr>
                <w:rFonts w:hint="eastAsia"/>
                <w:lang w:eastAsia="zh-CN"/>
              </w:rPr>
              <w:t>总指挥</w:t>
            </w:r>
          </w:p>
        </w:tc>
        <w:tc>
          <w:tcPr>
            <w:tcW w:w="1664" w:type="dxa"/>
            <w:shd w:val="clear" w:color="auto" w:fill="auto"/>
            <w:vAlign w:val="center"/>
          </w:tcPr>
          <w:p>
            <w:pPr>
              <w:ind w:left="0" w:leftChars="0" w:right="0" w:rightChars="0" w:firstLine="480" w:firstLineChars="200"/>
              <w:rPr>
                <w:rFonts w:hint="eastAsia"/>
              </w:rPr>
            </w:pPr>
            <w:r>
              <w:rPr>
                <w:rFonts w:hint="eastAsia"/>
              </w:rPr>
              <w:t>黄国勋</w:t>
            </w:r>
          </w:p>
        </w:tc>
        <w:tc>
          <w:tcPr>
            <w:tcW w:w="2692" w:type="dxa"/>
            <w:shd w:val="clear" w:color="auto" w:fill="auto"/>
            <w:vAlign w:val="center"/>
          </w:tcPr>
          <w:p>
            <w:pPr>
              <w:ind w:left="0" w:leftChars="0" w:right="0" w:rightChars="0" w:firstLine="480" w:firstLineChars="200"/>
              <w:rPr>
                <w:rFonts w:hint="eastAsia"/>
              </w:rPr>
            </w:pPr>
            <w:r>
              <w:rPr>
                <w:rFonts w:hint="eastAsia"/>
              </w:rPr>
              <w:t>13979261633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val="en-US" w:eastAsia="zh-CN"/>
              </w:rPr>
            </w:pPr>
            <w:r>
              <w:rPr>
                <w:rFonts w:hint="eastAsia"/>
                <w:lang w:val="en-US" w:eastAsia="zh-CN"/>
              </w:rPr>
              <w:t>8</w:t>
            </w:r>
          </w:p>
        </w:tc>
        <w:tc>
          <w:tcPr>
            <w:tcW w:w="3108" w:type="dxa"/>
            <w:shd w:val="clear" w:color="auto" w:fill="auto"/>
            <w:vAlign w:val="center"/>
          </w:tcPr>
          <w:p>
            <w:pPr>
              <w:rPr>
                <w:rFonts w:hint="eastAsia" w:eastAsia="宋体"/>
                <w:lang w:eastAsia="zh-CN"/>
              </w:rPr>
            </w:pPr>
            <w:r>
              <w:rPr>
                <w:rFonts w:hint="eastAsia"/>
                <w:lang w:eastAsia="zh-CN"/>
              </w:rPr>
              <w:t>副总指挥</w:t>
            </w:r>
          </w:p>
        </w:tc>
        <w:tc>
          <w:tcPr>
            <w:tcW w:w="1664" w:type="dxa"/>
            <w:shd w:val="clear" w:color="auto" w:fill="auto"/>
            <w:vAlign w:val="center"/>
          </w:tcPr>
          <w:p>
            <w:pPr>
              <w:ind w:left="0" w:leftChars="0" w:right="0" w:rightChars="0" w:firstLine="480" w:firstLineChars="200"/>
              <w:rPr>
                <w:rFonts w:hint="eastAsia"/>
              </w:rPr>
            </w:pPr>
            <w:r>
              <w:rPr>
                <w:rFonts w:hint="eastAsia"/>
              </w:rPr>
              <w:t>杨庭宗</w:t>
            </w:r>
          </w:p>
        </w:tc>
        <w:tc>
          <w:tcPr>
            <w:tcW w:w="2692" w:type="dxa"/>
            <w:shd w:val="clear" w:color="auto" w:fill="auto"/>
            <w:vAlign w:val="center"/>
          </w:tcPr>
          <w:p>
            <w:pPr>
              <w:ind w:left="0" w:leftChars="0" w:right="0" w:rightChars="0" w:firstLine="480" w:firstLineChars="200"/>
              <w:rPr>
                <w:rFonts w:hint="eastAsia"/>
              </w:rPr>
            </w:pPr>
            <w:bookmarkStart w:id="47" w:name="_GoBack"/>
            <w:bookmarkEnd w:id="47"/>
            <w:r>
              <w:rPr>
                <w:rFonts w:hint="eastAsia"/>
              </w:rPr>
              <w:t>13979285846</w:t>
            </w:r>
          </w:p>
        </w:tc>
      </w:tr>
    </w:tbl>
    <w:p>
      <w:pPr>
        <w:pStyle w:val="2"/>
        <w:ind w:left="0" w:leftChars="0" w:firstLine="0" w:firstLineChars="0"/>
        <w:jc w:val="left"/>
        <w:rPr>
          <w:rFonts w:hint="eastAsia"/>
          <w:szCs w:val="21"/>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Microsoft JhengHei">
    <w:panose1 w:val="020B0604030504040204"/>
    <w:charset w:val="88"/>
    <w:family w:val="swiss"/>
    <w:pitch w:val="default"/>
    <w:sig w:usb0="00000087" w:usb1="28AF4000" w:usb2="00000016" w:usb3="00000000" w:csb0="00100009"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E73B6"/>
    <w:multiLevelType w:val="multilevel"/>
    <w:tmpl w:val="1B2E73B6"/>
    <w:lvl w:ilvl="0" w:tentative="0">
      <w:start w:val="1"/>
      <w:numFmt w:val="decimalEnclosedCircle"/>
      <w:lvlText w:val="%1"/>
      <w:lvlJc w:val="left"/>
      <w:pPr>
        <w:ind w:left="920" w:hanging="360"/>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8B2AA8"/>
    <w:rsid w:val="014D0AA2"/>
    <w:rsid w:val="0453124D"/>
    <w:rsid w:val="08B97F9F"/>
    <w:rsid w:val="0F7037EB"/>
    <w:rsid w:val="10D72A3F"/>
    <w:rsid w:val="1F014AAF"/>
    <w:rsid w:val="26056C91"/>
    <w:rsid w:val="28AC7705"/>
    <w:rsid w:val="34816362"/>
    <w:rsid w:val="3A7A0F17"/>
    <w:rsid w:val="471D09D6"/>
    <w:rsid w:val="5EC91521"/>
    <w:rsid w:val="5F721518"/>
    <w:rsid w:val="62A620F3"/>
    <w:rsid w:val="62B47442"/>
    <w:rsid w:val="67193DEC"/>
    <w:rsid w:val="67AC0370"/>
    <w:rsid w:val="6D535020"/>
    <w:rsid w:val="72B51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012" w:firstLineChars="200"/>
      <w:jc w:val="left"/>
    </w:pPr>
    <w:rPr>
      <w:rFonts w:ascii="宋体" w:hAnsi="宋体" w:eastAsia="宋体" w:cs="宋体"/>
      <w:sz w:val="24"/>
      <w:szCs w:val="22"/>
      <w:lang w:val="zh-CN" w:eastAsia="zh-CN" w:bidi="zh-CN"/>
    </w:rPr>
  </w:style>
  <w:style w:type="paragraph" w:styleId="2">
    <w:name w:val="heading 1"/>
    <w:basedOn w:val="1"/>
    <w:next w:val="1"/>
    <w:qFormat/>
    <w:uiPriority w:val="0"/>
    <w:pPr>
      <w:keepNext/>
      <w:keepLines/>
      <w:spacing w:before="340" w:after="330" w:line="578" w:lineRule="atLeast"/>
      <w:jc w:val="center"/>
      <w:outlineLvl w:val="0"/>
    </w:pPr>
    <w:rPr>
      <w:rFonts w:ascii="楷体_GB2312" w:hAnsi="楷体_GB2312"/>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b/>
      <w:sz w:val="30"/>
    </w:rPr>
  </w:style>
  <w:style w:type="paragraph" w:styleId="4">
    <w:name w:val="heading 3"/>
    <w:basedOn w:val="1"/>
    <w:next w:val="1"/>
    <w:qFormat/>
    <w:uiPriority w:val="0"/>
    <w:pPr>
      <w:keepNext/>
      <w:keepLines/>
      <w:wordWrap w:val="0"/>
      <w:autoSpaceDE w:val="0"/>
      <w:spacing w:before="260" w:after="260" w:line="416" w:lineRule="atLeast"/>
      <w:ind w:firstLine="567"/>
      <w:outlineLvl w:val="2"/>
    </w:pPr>
    <w:rPr>
      <w:rFonts w:ascii="宋体"/>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Body Text"/>
    <w:basedOn w:val="1"/>
    <w:qFormat/>
    <w:uiPriority w:val="1"/>
    <w:rPr>
      <w:rFonts w:ascii="宋体" w:hAnsi="宋体" w:eastAsia="宋体" w:cs="宋体"/>
      <w:sz w:val="28"/>
      <w:szCs w:val="28"/>
      <w:lang w:val="zh-CN" w:eastAsia="zh-CN" w:bidi="zh-CN"/>
    </w:rPr>
  </w:style>
  <w:style w:type="paragraph" w:styleId="8">
    <w:name w:val="toc 3"/>
    <w:basedOn w:val="1"/>
    <w:next w:val="1"/>
    <w:qFormat/>
    <w:uiPriority w:val="1"/>
    <w:pPr>
      <w:spacing w:before="30"/>
      <w:ind w:left="1004" w:hanging="646"/>
    </w:pPr>
    <w:rPr>
      <w:rFonts w:ascii="Microsoft JhengHei" w:hAnsi="Microsoft JhengHei" w:eastAsia="Microsoft JhengHei" w:cs="Microsoft JhengHei"/>
      <w:b/>
      <w:bCs/>
      <w:i/>
      <w:lang w:val="zh-CN" w:eastAsia="zh-CN" w:bidi="zh-C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1"/>
    <w:pPr>
      <w:spacing w:before="242"/>
      <w:ind w:left="543" w:hanging="425"/>
    </w:pPr>
    <w:rPr>
      <w:rFonts w:ascii="宋体" w:hAnsi="宋体" w:eastAsia="宋体" w:cs="宋体"/>
      <w:b/>
      <w:bCs/>
      <w:sz w:val="28"/>
      <w:szCs w:val="28"/>
      <w:lang w:val="zh-CN" w:eastAsia="zh-CN" w:bidi="zh-CN"/>
    </w:rPr>
  </w:style>
  <w:style w:type="paragraph" w:styleId="12">
    <w:name w:val="toc 2"/>
    <w:basedOn w:val="1"/>
    <w:next w:val="1"/>
    <w:qFormat/>
    <w:uiPriority w:val="1"/>
    <w:pPr>
      <w:spacing w:before="30"/>
      <w:ind w:left="1004" w:hanging="646"/>
    </w:pPr>
    <w:rPr>
      <w:rFonts w:ascii="Microsoft JhengHei" w:hAnsi="Microsoft JhengHei" w:eastAsia="Microsoft JhengHei" w:cs="Microsoft JhengHei"/>
      <w:b/>
      <w:bCs/>
      <w:sz w:val="28"/>
      <w:szCs w:val="28"/>
      <w:lang w:val="zh-CN" w:eastAsia="zh-CN" w:bidi="zh-CN"/>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5">
    <w:name w:val="Hyperlink"/>
    <w:qFormat/>
    <w:uiPriority w:val="99"/>
    <w:rPr>
      <w:color w:val="0000FF"/>
      <w:u w:val="single"/>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8">
    <w:name w:val="Table Theme"/>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
    <w:name w:val="样式"/>
    <w:basedOn w:val="1"/>
    <w:qFormat/>
    <w:uiPriority w:val="99"/>
    <w:pPr>
      <w:ind w:firstLine="420" w:firstLineChars="200"/>
    </w:p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 w:type="paragraph" w:customStyle="1" w:styleId="23">
    <w:name w:val="aa正文"/>
    <w:basedOn w:val="1"/>
    <w:qFormat/>
    <w:uiPriority w:val="0"/>
    <w:pPr>
      <w:spacing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2018-07-09T02:04:00Z</dcterms:created>
  <dc:creator>时生</dc:creator>
  <cp:lastModifiedBy>时生</cp:lastModifiedBy>
  <dcterms:modified xsi:type="dcterms:W3CDTF">2018-08-13T02:04:14Z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