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outlineLvl w:val="0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黑体" w:hAnsi="黑体" w:eastAsia="黑体" w:cs="黑体"/>
          <w:color w:val="0D0D0D"/>
          <w:sz w:val="36"/>
          <w:szCs w:val="36"/>
          <w:lang w:val="en-US" w:eastAsia="zh-CN"/>
        </w:rPr>
        <w:t>江西省交通重点建设项目档案验收评分标准</w:t>
      </w:r>
    </w:p>
    <w:tbl>
      <w:tblPr>
        <w:tblW w:w="14700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110"/>
        <w:gridCol w:w="3960"/>
        <w:gridCol w:w="1180"/>
        <w:gridCol w:w="3820"/>
        <w:gridCol w:w="776"/>
        <w:gridCol w:w="776"/>
        <w:gridCol w:w="778"/>
        <w:gridCol w:w="79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tblHeader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验收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项目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验收内容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备查材料或方法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评分标准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标准分值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自检得分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验收评分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1"/>
                <w:szCs w:val="21"/>
                <w:lang w:val="en-US" w:eastAsia="zh-CN"/>
              </w:rPr>
              <w:t>扣分原因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eastAsia="zh-CN"/>
              </w:rPr>
              <w:t>基础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管理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项目法人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（建设单位）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对项目档案负总责，在制度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、</w:t>
            </w:r>
            <w:r>
              <w:rPr>
                <w:rFonts w:hint="eastAsia" w:ascii="仿宋_GB2312" w:hAnsi="黑体" w:eastAsia="仿宋_GB2312"/>
                <w:sz w:val="21"/>
                <w:szCs w:val="21"/>
              </w:rPr>
              <w:t>同步开展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、</w:t>
            </w:r>
            <w:r>
              <w:rPr>
                <w:rFonts w:hint="eastAsia" w:ascii="仿宋_GB2312" w:hAnsi="黑体" w:eastAsia="仿宋_GB2312"/>
                <w:sz w:val="21"/>
                <w:szCs w:val="21"/>
              </w:rPr>
              <w:t>责任考核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、</w:t>
            </w:r>
            <w:r>
              <w:rPr>
                <w:rFonts w:hint="eastAsia" w:ascii="仿宋_GB2312" w:hAnsi="黑体" w:eastAsia="仿宋_GB2312"/>
                <w:sz w:val="21"/>
                <w:szCs w:val="21"/>
              </w:rPr>
              <w:t>人员配备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、</w:t>
            </w:r>
            <w:r>
              <w:rPr>
                <w:rFonts w:hint="eastAsia" w:ascii="仿宋_GB2312" w:hAnsi="黑体" w:eastAsia="仿宋_GB2312"/>
                <w:sz w:val="21"/>
                <w:szCs w:val="21"/>
              </w:rPr>
              <w:t>合同管理</w:t>
            </w:r>
            <w:r>
              <w:rPr>
                <w:rFonts w:hint="eastAsia" w:ascii="仿宋_GB2312" w:hAnsi="黑体" w:eastAsia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黑体" w:eastAsia="仿宋_GB2312"/>
                <w:sz w:val="21"/>
                <w:szCs w:val="21"/>
                <w:highlight w:val="none"/>
                <w:lang w:eastAsia="zh-CN"/>
              </w:rPr>
              <w:t>档案管理卷归档情况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和</w:t>
            </w: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验收组织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等方面，保障项目档案工作的顺利开展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详见以下各小项内容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1.1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组织保障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分）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明确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档案工作的分管领导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有关文件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未明确分管领导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的不得分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明确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了负责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档案工作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机构或部门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黑体" w:eastAsia="仿宋_GB2312"/>
                <w:sz w:val="21"/>
                <w:szCs w:val="21"/>
                <w:highlight w:val="none"/>
              </w:rPr>
              <w:t>配备了适应工作需要的档案管理人员</w:t>
            </w:r>
            <w:r>
              <w:rPr>
                <w:rFonts w:hint="eastAsia" w:ascii="仿宋_GB2312" w:hAnsi="黑体" w:eastAsia="仿宋_GB2312"/>
                <w:sz w:val="21"/>
                <w:szCs w:val="21"/>
                <w:highlight w:val="none"/>
                <w:lang w:eastAsia="zh-CN"/>
              </w:rPr>
              <w:t>，档案管理人员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需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参加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档案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业务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培训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71" w:rightChars="34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机构设置文件及部门、人员岗位职责和培训证明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未明确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档案工作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机构或部门的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扣0.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未明确负责档案工作具体人员的，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扣0.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分；档案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未参加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档案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业务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培训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，扣0.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分；档案管理人员更换频繁并且无交接手续的，扣0.2分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建立了由项目法人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（建设单位）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档案管理机构牵头，工程建设管理相关部门和参建单位参与、权责清晰的项目档案管理工作网络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71" w:rightChars="34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网络图表和落实相关人员责任制的文件或依据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达不到要求的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酌扣0.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0.5分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1.2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制度保障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分）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按“集中统一管理”的原则，建立了较完善的项目档案管理制度，明确规定了各责任单位的职责与任务，并有相应的控制措施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71" w:rightChars="34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制定的相关制度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未建立制度的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不得分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；制度要求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不完善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的，酌扣0.2～0.5分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制定了项目文件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材料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归档范围和保管期限表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71" w:rightChars="34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归档范围与保管期限表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无此制度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的不得分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；归档范围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未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涵盖工程项目建设管理过程中的各类应归档文件材料，且保管期限划分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不够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准确，有明显缺陷或不足的，酌扣0.2～0.5分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制定了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科学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的档案分类及档号编制方案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细则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档案接收、保管、利用、安全及统计等相关制度或工作规范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相关文件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无相关制度的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不得分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；制度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不全、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达不到要求或有明显缺陷的，酌扣0.2～0.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"/>
              </w:tabs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经费保障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分）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将档案工作所需的各项业务经费列入预算，并能满足档案工作的需要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有关凭证性材料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未列有专项经费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的不得分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；因经费原因影响到档案工作的正常开展，或已造成一定后果的，酌扣0.5～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各项管理制度或措施的实施情况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分）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黑体" w:eastAsia="仿宋_GB2312"/>
                <w:sz w:val="21"/>
                <w:szCs w:val="21"/>
                <w:highlight w:val="none"/>
              </w:rPr>
              <w:t>按规定及时填报《建设</w:t>
            </w:r>
            <w:r>
              <w:rPr>
                <w:rFonts w:hint="eastAsia" w:ascii="仿宋_GB2312" w:hAnsi="黑体" w:eastAsia="仿宋_GB2312"/>
                <w:sz w:val="21"/>
                <w:szCs w:val="21"/>
                <w:highlight w:val="none"/>
                <w:lang w:eastAsia="zh-CN"/>
              </w:rPr>
              <w:t>项目</w:t>
            </w:r>
            <w:r>
              <w:rPr>
                <w:rFonts w:hint="eastAsia" w:ascii="仿宋_GB2312" w:hAnsi="黑体" w:eastAsia="仿宋_GB2312"/>
                <w:sz w:val="21"/>
                <w:szCs w:val="21"/>
                <w:highlight w:val="none"/>
              </w:rPr>
              <w:t>档案管理登记表》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档案管理登记表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未及时填报的不得分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与参建单位签订合同、协议时，明确提出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档案管理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要求；监理合同还应明确对所监理项目的归档文件审核责任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相关合同协议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未纳入合同协议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不得分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检查工程进度、质量时，同时检查档案收集、整理</w:t>
            </w:r>
            <w:r>
              <w:rPr>
                <w:rFonts w:hint="eastAsia" w:ascii="仿宋_GB2312" w:hAnsi="黑体" w:eastAsia="仿宋_GB2312"/>
                <w:sz w:val="21"/>
                <w:szCs w:val="21"/>
                <w:highlight w:val="none"/>
                <w:lang w:val="en-US" w:eastAsia="zh-CN"/>
              </w:rPr>
              <w:t>和预立卷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情况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工作记录或文件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未开展此项工作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不得分；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存在一定差距的，酌扣0.2～0.5分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项目法人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（建设单位）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对施工、监理等参建单位档案收集、整理工作进行监督指导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有关证明材料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未开展此项工作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不得分；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存在一定差距的，酌扣0.2～0.5分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档案部门或档案人员对本单位各业务部门或所属分支机构档案收集、整理、归档工作进行监督指导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有关证明材料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未开展此项工作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不得分；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存在一定差距的，酌扣0.2～0.5分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"/>
              </w:tabs>
              <w:jc w:val="center"/>
              <w:rPr>
                <w:rFonts w:hint="eastAsia" w:ascii="仿宋_GB2312" w:hAnsi="黑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1.5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"/>
              </w:tabs>
              <w:jc w:val="center"/>
              <w:rPr>
                <w:rFonts w:hint="eastAsia" w:ascii="仿宋_GB2312" w:hAnsi="黑体" w:eastAsia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验收组织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分）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"/>
              </w:tabs>
              <w:jc w:val="both"/>
              <w:rPr>
                <w:rFonts w:hint="eastAsia" w:ascii="仿宋_GB2312" w:hAnsi="黑体" w:eastAsia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highlight w:val="none"/>
                <w:lang w:eastAsia="zh-CN"/>
              </w:rPr>
              <w:t>配合验收组织单位，组织项目法人（建设单位）、各参建单位</w:t>
            </w: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有关人员参加验收会议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"/>
              </w:tabs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会议指南参会人员名单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未按要求组织相关人员参会的，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酌扣0.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0.5分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2" w:hRule="atLeast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"/>
              </w:tabs>
              <w:jc w:val="center"/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"/>
              </w:tabs>
              <w:jc w:val="center"/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"/>
              </w:tabs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14）</w:t>
            </w: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各参建单位均提交档案工作汇报材料，且内容符合要求，建设单位重点汇报档案工作情况和档案利用实例，施工单位重点汇报档案编制情况，监理单位除汇报自身档案工作情况外，重点汇报对施工单位档案质量的审核情况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"/>
              </w:tabs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汇报材料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未按要求提交汇报材料的不得分；材料内容不符合要求的，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酌扣0.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案卷质量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65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应归档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文件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材料齐全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完整、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真实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准确、系统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规范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（同样适用于电子文件归档相关内容）符合要求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详见以下各小项内容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65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2.1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齐全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完整（2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分）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前期文件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黑体" w:eastAsia="仿宋_GB2312"/>
                <w:sz w:val="21"/>
                <w:szCs w:val="21"/>
                <w:lang w:eastAsia="zh-CN"/>
              </w:rPr>
              <w:t>包含立项审批、设计审批、工程准备和招投标等文件材料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归档范围与归档目录和档案实体</w:t>
            </w:r>
          </w:p>
        </w:tc>
        <w:tc>
          <w:tcPr>
            <w:tcW w:w="3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按《公路建设项目文件材料立卷归档管理办法》《水运建设项目文件材料立卷归档管理办法》所附的“建设项目文件收集归档范围”的内容进行检查。存在缺项的，所缺项不得分；各项内容存在不完整现象的，每发现一处扣0.2分，扣满各项分值为止；重要活动及事件、重要阶段、施工及设备缺陷处理、工程质量或安全事故等无</w:t>
            </w: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highlight w:val="none"/>
                <w:lang w:eastAsia="zh-CN"/>
              </w:rPr>
              <w:t>音</w:t>
            </w: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像归档文件的，每发现一处酌扣0.5～1分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管理文件（</w:t>
            </w:r>
            <w:r>
              <w:rPr>
                <w:rFonts w:hint="eastAsia" w:ascii="仿宋_GB2312" w:hAnsi="黑体" w:eastAsia="仿宋_GB2312"/>
                <w:sz w:val="21"/>
                <w:szCs w:val="21"/>
                <w:lang w:val="en-US" w:eastAsia="zh-CN"/>
              </w:rPr>
              <w:t>包含工程管理、科研、声像、资金管理等文件材料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）</w:t>
            </w:r>
          </w:p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施工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、监理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文件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eastAsia="zh-CN"/>
              </w:rPr>
              <w:t>〔</w:t>
            </w:r>
            <w:r>
              <w:rPr>
                <w:rFonts w:hint="eastAsia" w:ascii="仿宋_GB2312" w:hAnsi="黑体" w:eastAsia="仿宋_GB2312"/>
                <w:sz w:val="21"/>
                <w:szCs w:val="21"/>
                <w:highlight w:val="none"/>
                <w:lang w:eastAsia="zh-CN"/>
              </w:rPr>
              <w:t>包含各类试验报告、检测记录、施工记录、质量评定、工程变更及索赔、施工日志、</w:t>
            </w:r>
            <w:r>
              <w:rPr>
                <w:rFonts w:hint="eastAsia" w:ascii="仿宋_GB2312" w:hAnsi="黑体" w:eastAsia="仿宋_GB2312"/>
                <w:sz w:val="21"/>
                <w:szCs w:val="21"/>
                <w:highlight w:val="none"/>
                <w:lang w:val="en-US" w:eastAsia="zh-CN"/>
              </w:rPr>
              <w:t>缺陷处理、</w:t>
            </w:r>
            <w:r>
              <w:rPr>
                <w:rFonts w:hint="eastAsia" w:ascii="仿宋_GB2312" w:hAnsi="黑体" w:eastAsia="仿宋_GB2312"/>
                <w:sz w:val="21"/>
                <w:szCs w:val="21"/>
                <w:highlight w:val="none"/>
                <w:lang w:eastAsia="zh-CN"/>
              </w:rPr>
              <w:t>监理抽检记录、监理指令、旁站（巡查）记录、监理日志、声像等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eastAsia="zh-CN"/>
              </w:rPr>
              <w:t>〕</w:t>
            </w:r>
          </w:p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黑体" w:eastAsia="仿宋_GB2312"/>
                <w:sz w:val="21"/>
                <w:szCs w:val="21"/>
                <w:highlight w:val="none"/>
                <w:lang w:eastAsia="zh-CN"/>
              </w:rPr>
              <w:t>竣工图</w:t>
            </w:r>
            <w:r>
              <w:rPr>
                <w:rFonts w:hint="eastAsia" w:ascii="仿宋_GB2312" w:hAnsi="黑体" w:eastAsia="仿宋_GB2312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仿宋_GB2312" w:hAnsi="黑体" w:eastAsia="仿宋_GB2312"/>
                <w:sz w:val="21"/>
                <w:szCs w:val="21"/>
                <w:highlight w:val="none"/>
                <w:lang w:eastAsia="zh-CN"/>
              </w:rPr>
              <w:t>包</w:t>
            </w:r>
            <w:r>
              <w:rPr>
                <w:rFonts w:hint="eastAsia" w:ascii="仿宋_GB2312" w:hAnsi="黑体" w:eastAsia="仿宋_GB2312"/>
                <w:sz w:val="21"/>
                <w:szCs w:val="21"/>
                <w:highlight w:val="none"/>
              </w:rPr>
              <w:t>含</w:t>
            </w:r>
            <w:r>
              <w:rPr>
                <w:rFonts w:hint="eastAsia" w:ascii="仿宋_GB2312" w:hAnsi="黑体" w:eastAsia="仿宋_GB2312"/>
                <w:sz w:val="21"/>
                <w:szCs w:val="21"/>
                <w:highlight w:val="none"/>
                <w:lang w:eastAsia="zh-CN"/>
              </w:rPr>
              <w:t>变更对照一览表、</w:t>
            </w:r>
            <w:r>
              <w:rPr>
                <w:rFonts w:hint="eastAsia" w:ascii="仿宋_GB2312" w:hAnsi="黑体" w:eastAsia="仿宋_GB2312"/>
                <w:sz w:val="21"/>
                <w:szCs w:val="21"/>
                <w:highlight w:val="none"/>
              </w:rPr>
              <w:t>修改通知单</w:t>
            </w:r>
            <w:r>
              <w:rPr>
                <w:rFonts w:hint="eastAsia" w:ascii="仿宋_GB2312" w:hAnsi="黑体" w:eastAsia="仿宋_GB2312"/>
                <w:sz w:val="21"/>
                <w:szCs w:val="21"/>
                <w:highlight w:val="none"/>
                <w:lang w:eastAsia="zh-CN"/>
              </w:rPr>
              <w:t>等</w:t>
            </w:r>
            <w:r>
              <w:rPr>
                <w:rFonts w:hint="eastAsia" w:ascii="仿宋_GB2312" w:hAnsi="黑体" w:eastAsia="仿宋_GB2312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黑体" w:eastAsia="仿宋_GB2312"/>
                <w:sz w:val="21"/>
                <w:szCs w:val="21"/>
                <w:highlight w:val="none"/>
                <w:lang w:eastAsia="zh-CN"/>
              </w:rPr>
              <w:t>交、竣工验收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eastAsia="zh-CN"/>
              </w:rPr>
              <w:t>〔</w:t>
            </w:r>
            <w:r>
              <w:rPr>
                <w:rFonts w:hint="eastAsia" w:ascii="仿宋_GB2312" w:hAnsi="黑体" w:eastAsia="仿宋_GB2312"/>
                <w:sz w:val="21"/>
                <w:szCs w:val="21"/>
                <w:highlight w:val="none"/>
                <w:lang w:eastAsia="zh-CN"/>
              </w:rPr>
              <w:t>包含交工验收文件、各参建单位工作报告、单项（专项）验收文件、</w:t>
            </w:r>
            <w:r>
              <w:rPr>
                <w:rFonts w:hint="eastAsia" w:ascii="仿宋_GB2312" w:hAnsi="黑体" w:eastAsia="仿宋_GB2312"/>
                <w:sz w:val="21"/>
                <w:szCs w:val="21"/>
                <w:highlight w:val="none"/>
                <w:lang w:val="en-US" w:eastAsia="zh-CN"/>
              </w:rPr>
              <w:t>质量监督和质量鉴定报告、试运营相关资料等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eastAsia="zh-CN"/>
              </w:rPr>
              <w:t>〕</w:t>
            </w:r>
          </w:p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黑体" w:eastAsia="仿宋_GB2312"/>
                <w:sz w:val="21"/>
                <w:szCs w:val="21"/>
                <w:highlight w:val="none"/>
                <w:lang w:eastAsia="zh-CN"/>
              </w:rPr>
              <w:t>按规范要求完成项目档案管理卷（</w:t>
            </w:r>
            <w:r>
              <w:rPr>
                <w:rFonts w:hint="eastAsia" w:ascii="仿宋_GB2312" w:hAnsi="黑体" w:eastAsia="仿宋_GB2312"/>
                <w:sz w:val="21"/>
                <w:szCs w:val="21"/>
              </w:rPr>
              <w:t>包括项目概况、标段划分、参建单位归档情况说明、档案收集整理情况说明、交接清册</w:t>
            </w:r>
            <w:r>
              <w:rPr>
                <w:rFonts w:hint="eastAsia" w:ascii="仿宋_GB2312" w:hAnsi="黑体" w:eastAsia="仿宋_GB2312"/>
                <w:sz w:val="21"/>
                <w:szCs w:val="21"/>
                <w:lang w:eastAsia="zh-CN"/>
              </w:rPr>
              <w:t>、举办档案业务培训，开展档案业务检查与考核</w:t>
            </w:r>
            <w:r>
              <w:rPr>
                <w:rFonts w:hint="eastAsia" w:ascii="仿宋_GB2312" w:hAnsi="黑体" w:eastAsia="仿宋_GB2312"/>
                <w:sz w:val="21"/>
                <w:szCs w:val="21"/>
              </w:rPr>
              <w:t>等说明项目档案管理情况的有关材料组成的专门案卷</w:t>
            </w:r>
            <w:r>
              <w:rPr>
                <w:rFonts w:hint="eastAsia" w:ascii="仿宋_GB2312" w:hAnsi="黑体" w:eastAsia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的编制工作</w:t>
            </w:r>
          </w:p>
        </w:tc>
        <w:tc>
          <w:tcPr>
            <w:tcW w:w="11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  <w:highlight w:val="none"/>
                <w:lang w:eastAsia="zh-CN"/>
              </w:rPr>
              <w:t>项目档案管理卷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未建立项目档案管理卷的不得分；项目档案管理卷内容不完整的，每缺一项扣0.1分；编制不规范的，酌扣0.2</w:t>
            </w: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0.5分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2.2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hanging="2"/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真实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准确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0分）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黑体" w:eastAsia="仿宋_GB2312"/>
                <w:sz w:val="21"/>
                <w:szCs w:val="21"/>
              </w:rPr>
              <w:t>所有归档文件材料</w:t>
            </w:r>
            <w:r>
              <w:rPr>
                <w:rFonts w:hint="eastAsia" w:ascii="仿宋_GB2312" w:hAnsi="黑体" w:eastAsia="仿宋_GB2312"/>
                <w:sz w:val="21"/>
                <w:szCs w:val="21"/>
                <w:lang w:eastAsia="zh-CN"/>
              </w:rPr>
              <w:t>应为原件</w:t>
            </w:r>
            <w:r>
              <w:rPr>
                <w:rFonts w:hint="eastAsia" w:ascii="仿宋_GB2312" w:hAnsi="黑体" w:eastAsia="仿宋_GB2312"/>
                <w:sz w:val="21"/>
                <w:szCs w:val="21"/>
              </w:rPr>
              <w:t>，内容</w:t>
            </w:r>
            <w:r>
              <w:rPr>
                <w:rFonts w:hint="eastAsia" w:ascii="仿宋_GB2312" w:hAnsi="黑体" w:eastAsia="仿宋_GB2312"/>
                <w:sz w:val="21"/>
                <w:szCs w:val="21"/>
                <w:lang w:eastAsia="zh-CN"/>
              </w:rPr>
              <w:t>填写完整，数据真实</w:t>
            </w:r>
            <w:r>
              <w:rPr>
                <w:rFonts w:hint="eastAsia" w:ascii="仿宋_GB2312" w:hAnsi="黑体" w:eastAsia="仿宋_GB2312"/>
                <w:sz w:val="21"/>
                <w:szCs w:val="21"/>
              </w:rPr>
              <w:t>准确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已归档文件材料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归档</w:t>
            </w:r>
            <w:r>
              <w:rPr>
                <w:rFonts w:hint="eastAsia" w:ascii="仿宋_GB2312" w:hAnsi="黑体" w:eastAsia="仿宋_GB2312"/>
                <w:sz w:val="21"/>
                <w:szCs w:val="21"/>
                <w:lang w:eastAsia="zh-CN"/>
              </w:rPr>
              <w:t>文件</w:t>
            </w:r>
            <w:r>
              <w:rPr>
                <w:rFonts w:hint="eastAsia" w:ascii="仿宋_GB2312" w:hAnsi="黑体" w:eastAsia="仿宋_GB2312"/>
                <w:sz w:val="21"/>
                <w:szCs w:val="21"/>
              </w:rPr>
              <w:t>材料</w:t>
            </w:r>
            <w:r>
              <w:rPr>
                <w:rFonts w:hint="eastAsia" w:ascii="仿宋_GB2312" w:hAnsi="黑体" w:eastAsia="仿宋_GB2312"/>
                <w:sz w:val="21"/>
                <w:szCs w:val="21"/>
                <w:lang w:eastAsia="zh-CN"/>
              </w:rPr>
              <w:t>为复印件，内容填写不完整，数据</w:t>
            </w:r>
            <w:r>
              <w:rPr>
                <w:rFonts w:hint="eastAsia" w:ascii="仿宋_GB2312" w:hAnsi="黑体" w:eastAsia="仿宋_GB2312"/>
                <w:sz w:val="21"/>
                <w:szCs w:val="21"/>
              </w:rPr>
              <w:t>不真实</w:t>
            </w:r>
            <w:r>
              <w:rPr>
                <w:rFonts w:hint="eastAsia" w:ascii="仿宋_GB2312" w:hAnsi="黑体" w:eastAsia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黑体" w:eastAsia="仿宋_GB2312"/>
                <w:sz w:val="21"/>
                <w:szCs w:val="21"/>
              </w:rPr>
              <w:t>不准确</w:t>
            </w:r>
            <w:r>
              <w:rPr>
                <w:rFonts w:hint="eastAsia" w:ascii="仿宋_GB2312" w:hAnsi="黑体" w:eastAsia="仿宋_GB2312"/>
                <w:sz w:val="21"/>
                <w:szCs w:val="21"/>
                <w:lang w:eastAsia="zh-CN"/>
              </w:rPr>
              <w:t>的，</w:t>
            </w:r>
            <w:r>
              <w:rPr>
                <w:rFonts w:hint="eastAsia" w:ascii="仿宋_GB2312" w:hAnsi="黑体" w:eastAsia="仿宋_GB2312"/>
                <w:sz w:val="21"/>
                <w:szCs w:val="21"/>
              </w:rPr>
              <w:t>每发现一处扣0</w:t>
            </w:r>
            <w:r>
              <w:rPr>
                <w:rFonts w:hint="eastAsia" w:ascii="仿宋_GB2312" w:hAnsi="黑体" w:eastAsia="仿宋_GB2312"/>
                <w:sz w:val="21"/>
                <w:szCs w:val="21"/>
                <w:lang w:val="en-US" w:eastAsia="zh-CN"/>
              </w:rPr>
              <w:t>.2</w:t>
            </w:r>
            <w:r>
              <w:rPr>
                <w:rFonts w:hint="eastAsia" w:ascii="仿宋_GB2312" w:hAnsi="黑体" w:eastAsia="仿宋_GB2312"/>
                <w:sz w:val="21"/>
                <w:szCs w:val="21"/>
              </w:rPr>
              <w:t>分</w:t>
            </w:r>
            <w:r>
              <w:rPr>
                <w:rFonts w:hint="eastAsia" w:ascii="仿宋_GB2312" w:hAnsi="黑体" w:eastAsia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扣满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2分止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黑体" w:eastAsia="仿宋_GB2312"/>
                <w:sz w:val="21"/>
                <w:szCs w:val="21"/>
              </w:rPr>
              <w:t>所有归档文件材料</w:t>
            </w:r>
            <w:r>
              <w:rPr>
                <w:rFonts w:hint="eastAsia" w:ascii="仿宋_GB2312" w:hAnsi="黑体" w:eastAsia="仿宋_GB2312"/>
                <w:sz w:val="21"/>
                <w:szCs w:val="21"/>
                <w:lang w:eastAsia="zh-CN"/>
              </w:rPr>
              <w:t>应</w:t>
            </w:r>
            <w:r>
              <w:rPr>
                <w:rFonts w:hint="eastAsia" w:ascii="仿宋_GB2312" w:hAnsi="黑体" w:eastAsia="仿宋_GB2312"/>
                <w:sz w:val="21"/>
                <w:szCs w:val="21"/>
              </w:rPr>
              <w:t>签</w:t>
            </w:r>
            <w:r>
              <w:rPr>
                <w:rFonts w:hint="eastAsia" w:ascii="仿宋_GB2312" w:hAnsi="黑体" w:eastAsia="仿宋_GB2312"/>
                <w:sz w:val="21"/>
                <w:szCs w:val="21"/>
                <w:lang w:eastAsia="zh-CN"/>
              </w:rPr>
              <w:t>章</w:t>
            </w:r>
            <w:r>
              <w:rPr>
                <w:rFonts w:hint="eastAsia" w:ascii="仿宋_GB2312" w:hAnsi="黑体" w:eastAsia="仿宋_GB2312"/>
                <w:sz w:val="21"/>
                <w:szCs w:val="21"/>
              </w:rPr>
              <w:t>手续完备</w:t>
            </w:r>
            <w:r>
              <w:rPr>
                <w:rFonts w:hint="eastAsia" w:ascii="仿宋_GB2312" w:hAnsi="黑体" w:eastAsia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黑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所有电子文件的电子签名签章均合法有效，并实现图形化转化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已归档文件材料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  <w:highlight w:val="none"/>
              </w:rPr>
              <w:t>弄虚作假</w:t>
            </w:r>
            <w:r>
              <w:rPr>
                <w:rFonts w:hint="eastAsia" w:ascii="仿宋_GB2312" w:hAnsi="黑体" w:eastAsia="仿宋_GB2312"/>
                <w:sz w:val="21"/>
                <w:szCs w:val="21"/>
                <w:highlight w:val="none"/>
                <w:lang w:eastAsia="zh-CN"/>
              </w:rPr>
              <w:t>代签的（含卷内备考表</w:t>
            </w:r>
            <w:r>
              <w:rPr>
                <w:rFonts w:hint="eastAsia" w:ascii="仿宋_GB2312" w:hAnsi="黑体" w:eastAsia="仿宋_GB2312"/>
                <w:sz w:val="21"/>
                <w:szCs w:val="21"/>
                <w:highlight w:val="none"/>
              </w:rPr>
              <w:t>签署</w:t>
            </w:r>
            <w:r>
              <w:rPr>
                <w:rFonts w:hint="eastAsia" w:ascii="仿宋_GB2312" w:hAnsi="黑体" w:eastAsia="仿宋_GB2312"/>
                <w:sz w:val="21"/>
                <w:szCs w:val="21"/>
                <w:highlight w:val="none"/>
                <w:lang w:eastAsia="zh-CN"/>
              </w:rPr>
              <w:t>）一经发现本项不得分；</w:t>
            </w:r>
            <w:r>
              <w:rPr>
                <w:rFonts w:hint="eastAsia" w:ascii="仿宋_GB2312" w:hAnsi="黑体" w:eastAsia="仿宋_GB2312"/>
                <w:sz w:val="21"/>
                <w:szCs w:val="21"/>
              </w:rPr>
              <w:t>签</w:t>
            </w:r>
            <w:r>
              <w:rPr>
                <w:rFonts w:hint="eastAsia" w:ascii="仿宋_GB2312" w:hAnsi="黑体" w:eastAsia="仿宋_GB2312"/>
                <w:sz w:val="21"/>
                <w:szCs w:val="21"/>
                <w:lang w:eastAsia="zh-CN"/>
              </w:rPr>
              <w:t>章</w:t>
            </w:r>
            <w:r>
              <w:rPr>
                <w:rFonts w:hint="eastAsia" w:ascii="仿宋_GB2312" w:hAnsi="黑体" w:eastAsia="仿宋_GB2312"/>
                <w:sz w:val="21"/>
                <w:szCs w:val="21"/>
              </w:rPr>
              <w:t>手续不完备</w:t>
            </w:r>
            <w:r>
              <w:rPr>
                <w:rFonts w:hint="eastAsia" w:ascii="仿宋_GB2312" w:hAnsi="黑体" w:eastAsia="仿宋_GB2312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仿宋_GB2312" w:hAnsi="黑体" w:eastAsia="仿宋_GB2312"/>
                <w:sz w:val="21"/>
                <w:szCs w:val="21"/>
              </w:rPr>
              <w:t>，每发现一处扣0</w:t>
            </w:r>
            <w:r>
              <w:rPr>
                <w:rFonts w:hint="eastAsia" w:ascii="仿宋_GB2312" w:hAnsi="黑体" w:eastAsia="仿宋_GB2312"/>
                <w:sz w:val="21"/>
                <w:szCs w:val="21"/>
                <w:lang w:val="en-US" w:eastAsia="zh-CN"/>
              </w:rPr>
              <w:t>.2</w:t>
            </w:r>
            <w:r>
              <w:rPr>
                <w:rFonts w:hint="eastAsia" w:ascii="仿宋_GB2312" w:hAnsi="黑体" w:eastAsia="仿宋_GB2312"/>
                <w:sz w:val="21"/>
                <w:szCs w:val="21"/>
              </w:rPr>
              <w:t>分</w:t>
            </w:r>
            <w:r>
              <w:rPr>
                <w:rFonts w:hint="eastAsia" w:ascii="仿宋_GB2312" w:hAnsi="黑体" w:eastAsia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扣满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2分止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0" w:hRule="atLeast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黑体" w:eastAsia="仿宋_GB2312"/>
                <w:sz w:val="21"/>
                <w:szCs w:val="21"/>
              </w:rPr>
              <w:t>竣工图编制准确，修改到位，能真实反映项目竣工时的实际情况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竣工图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无竣工图编制说明的扣1分；竣工图如有模糊不清、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与工程实际不符、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未标注变更说明、审核签字手续不全等现象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，每发现一处扣0.2分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，扣满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2分止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；如发生结构形式、工艺、平面布置等重大变化，未重新绘制竣工图或有较大变化未能如实反映的，每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发现一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项扣0.5分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，扣满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4分止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atLeast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）归档纸质材料字迹清楚，图样清晰，页面整洁，格式规范，符合耐久要求；声像材料应保证载体的有效性，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能反映活动的全貌，且主题鲜明，影像清晰、完整，编制了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卷内目录，并逐张、逐盒（盘）标注了事由、时间、地点、人物、作者等内容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档案整编情况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纸质材料存在字迹、图样不清，页面破损、污渍，格式不规范的，每发现一处扣0.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分，扣满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2分止；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照片及音视频材料存在画面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不清晰，内容不完整，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著录不规范的，每发现一处扣0.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分，扣满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2分止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2.3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系统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规范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黑体" w:eastAsia="仿宋_GB2312"/>
                <w:sz w:val="21"/>
                <w:szCs w:val="21"/>
              </w:rPr>
              <w:t>分类清楚，组卷合理，排列系统、有序</w:t>
            </w:r>
            <w:r>
              <w:rPr>
                <w:rFonts w:hint="eastAsia" w:ascii="仿宋_GB2312" w:hAnsi="黑体" w:eastAsia="仿宋_GB2312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黑体" w:eastAsia="仿宋_GB2312"/>
                <w:sz w:val="21"/>
                <w:szCs w:val="21"/>
                <w:highlight w:val="none"/>
              </w:rPr>
              <w:t>案卷与卷内文件的排列符合国家或</w:t>
            </w:r>
            <w:r>
              <w:rPr>
                <w:rFonts w:hint="eastAsia" w:ascii="仿宋_GB2312" w:hAnsi="黑体" w:eastAsia="仿宋_GB2312"/>
                <w:sz w:val="21"/>
                <w:szCs w:val="21"/>
                <w:highlight w:val="none"/>
                <w:lang w:eastAsia="zh-CN"/>
              </w:rPr>
              <w:t>省内</w:t>
            </w:r>
            <w:r>
              <w:rPr>
                <w:rFonts w:hint="eastAsia" w:ascii="仿宋_GB2312" w:hAnsi="黑体" w:eastAsia="仿宋_GB2312"/>
                <w:sz w:val="21"/>
                <w:szCs w:val="21"/>
                <w:highlight w:val="none"/>
              </w:rPr>
              <w:t>有关</w:t>
            </w:r>
            <w:r>
              <w:rPr>
                <w:rFonts w:hint="eastAsia" w:ascii="仿宋_GB2312" w:hAnsi="黑体" w:eastAsia="仿宋_GB2312"/>
                <w:sz w:val="21"/>
                <w:szCs w:val="21"/>
              </w:rPr>
              <w:t>标准规范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案卷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文件材料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  <w:lang w:eastAsia="zh-CN"/>
              </w:rPr>
              <w:t>未达到规范要求的，每发现一处扣</w:t>
            </w:r>
            <w:r>
              <w:rPr>
                <w:rFonts w:hint="eastAsia" w:ascii="仿宋_GB2312" w:hAnsi="黑体" w:eastAsia="仿宋_GB2312"/>
                <w:sz w:val="21"/>
                <w:szCs w:val="21"/>
                <w:lang w:val="en-US" w:eastAsia="zh-CN"/>
              </w:rPr>
              <w:t>0.1分，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扣满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3分止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黑体" w:eastAsia="仿宋_GB2312"/>
                <w:sz w:val="21"/>
                <w:szCs w:val="21"/>
                <w:lang w:val="en-US" w:eastAsia="zh-CN"/>
              </w:rPr>
              <w:t>案卷题名规范，简明扼要，能准确揭示卷内文件材料的主要内容和特征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案卷题名编制情况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案卷题名拟写不够简明、准确的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每发现一处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扣0.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分，扣满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3分止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黑体" w:eastAsia="仿宋_GB2312"/>
                <w:sz w:val="21"/>
                <w:szCs w:val="21"/>
              </w:rPr>
              <w:t>卷内目录与卷内文件材料实物相符，无错漏</w:t>
            </w:r>
            <w:r>
              <w:rPr>
                <w:rFonts w:hint="eastAsia" w:ascii="仿宋_GB2312" w:hAnsi="黑体" w:eastAsia="仿宋_GB2312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黑体" w:eastAsia="仿宋_GB2312"/>
                <w:sz w:val="21"/>
                <w:szCs w:val="21"/>
              </w:rPr>
              <w:t>著录格式符合规范要求，字迹清晰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卷内目录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编制情况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卷内目录有错漏</w:t>
            </w:r>
            <w:r>
              <w:rPr>
                <w:rFonts w:hint="eastAsia" w:ascii="仿宋_GB2312" w:hAnsi="黑体" w:eastAsia="仿宋_GB2312"/>
                <w:sz w:val="21"/>
                <w:szCs w:val="21"/>
                <w:lang w:eastAsia="zh-CN"/>
              </w:rPr>
              <w:t>、不规范的，</w:t>
            </w:r>
            <w:r>
              <w:rPr>
                <w:rFonts w:hint="eastAsia" w:ascii="仿宋_GB2312" w:hAnsi="黑体" w:eastAsia="仿宋_GB2312"/>
                <w:sz w:val="21"/>
                <w:szCs w:val="21"/>
              </w:rPr>
              <w:t>每发现一</w:t>
            </w:r>
            <w:r>
              <w:rPr>
                <w:rFonts w:hint="eastAsia" w:ascii="仿宋_GB2312" w:hAnsi="黑体" w:eastAsia="仿宋_GB2312"/>
                <w:sz w:val="21"/>
                <w:szCs w:val="21"/>
                <w:lang w:eastAsia="zh-CN"/>
              </w:rPr>
              <w:t>处</w:t>
            </w:r>
            <w:r>
              <w:rPr>
                <w:rFonts w:hint="eastAsia" w:ascii="仿宋_GB2312" w:hAnsi="黑体" w:eastAsia="仿宋_GB2312"/>
                <w:sz w:val="21"/>
                <w:szCs w:val="21"/>
              </w:rPr>
              <w:t>扣0</w:t>
            </w:r>
            <w:r>
              <w:rPr>
                <w:rFonts w:hint="eastAsia" w:ascii="仿宋_GB2312" w:hAnsi="黑体" w:eastAsia="仿宋_GB2312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黑体" w:eastAsia="仿宋_GB2312"/>
                <w:sz w:val="21"/>
                <w:szCs w:val="21"/>
              </w:rPr>
              <w:t>1分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，扣满3分止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）案卷</w:t>
            </w:r>
            <w:r>
              <w:rPr>
                <w:rFonts w:hint="eastAsia" w:ascii="仿宋_GB2312" w:hAnsi="黑体" w:eastAsia="仿宋_GB2312"/>
                <w:sz w:val="21"/>
                <w:szCs w:val="21"/>
                <w:lang w:val="en-US" w:eastAsia="zh-CN"/>
              </w:rPr>
              <w:t>封面</w:t>
            </w:r>
            <w:r>
              <w:rPr>
                <w:rFonts w:hint="eastAsia" w:ascii="仿宋_GB2312" w:hAnsi="黑体" w:eastAsia="仿宋_GB2312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黑体" w:eastAsia="仿宋_GB2312"/>
                <w:sz w:val="21"/>
                <w:szCs w:val="21"/>
                <w:lang w:val="en-US" w:eastAsia="zh-CN"/>
              </w:rPr>
              <w:t>脊背、卷内备考表编制规范统一，字迹清晰美观，填写完整准确（卷内备考表需填写卷内文件的件数、页数和不同载体文件的数量）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  <w:lang w:val="en-US" w:eastAsia="zh-CN"/>
              </w:rPr>
              <w:t>封面</w:t>
            </w:r>
            <w:r>
              <w:rPr>
                <w:rFonts w:hint="eastAsia" w:ascii="仿宋_GB2312" w:hAnsi="黑体" w:eastAsia="仿宋_GB2312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黑体" w:eastAsia="仿宋_GB2312"/>
                <w:sz w:val="21"/>
                <w:szCs w:val="21"/>
                <w:lang w:val="en-US" w:eastAsia="zh-CN"/>
              </w:rPr>
              <w:t>脊背、卷内备考表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编制情况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  <w:lang w:eastAsia="zh-CN"/>
              </w:rPr>
              <w:t>未达到规范要求的，每发现一处扣</w:t>
            </w:r>
            <w:r>
              <w:rPr>
                <w:rFonts w:hint="eastAsia" w:ascii="仿宋_GB2312" w:hAnsi="黑体" w:eastAsia="仿宋_GB2312"/>
                <w:sz w:val="21"/>
                <w:szCs w:val="21"/>
                <w:lang w:val="en-US" w:eastAsia="zh-CN"/>
              </w:rPr>
              <w:t>0.1分，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扣满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3分止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8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黑体" w:eastAsia="仿宋_GB2312"/>
                <w:sz w:val="21"/>
                <w:szCs w:val="21"/>
                <w:lang w:val="en-US" w:eastAsia="zh-CN"/>
              </w:rPr>
              <w:t>案卷内不同幅面的文件材料要折叠或裱贴为统一幅面，破损的要先修复。幅面一般采用国际标准A4型，图样折叠时标题栏露在右下角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案卷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文件材料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  <w:lang w:eastAsia="zh-CN"/>
              </w:rPr>
              <w:t>未达到规范要求的，每发现一处扣</w:t>
            </w:r>
            <w:r>
              <w:rPr>
                <w:rFonts w:hint="eastAsia" w:ascii="仿宋_GB2312" w:hAnsi="黑体" w:eastAsia="仿宋_GB2312"/>
                <w:sz w:val="21"/>
                <w:szCs w:val="21"/>
                <w:lang w:val="en-US" w:eastAsia="zh-CN"/>
              </w:rPr>
              <w:t>0.1分，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扣满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1分止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黑体" w:eastAsia="仿宋_GB2312"/>
                <w:sz w:val="21"/>
                <w:szCs w:val="21"/>
                <w:highlight w:val="none"/>
                <w:lang w:val="en-US" w:eastAsia="zh-CN"/>
              </w:rPr>
              <w:t>案卷可采用整卷装订与单份文件装订两种形式。图纸可不装订，但同一项目应统一；整卷装订的案卷要整齐、牢固；不装订的成册文件材料要在每册（份）文件首页左上方加盖、填写档号章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案卷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文件材料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黑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  <w:lang w:eastAsia="zh-CN"/>
              </w:rPr>
              <w:t>未达到规范要求的，每发现一处扣</w:t>
            </w:r>
            <w:r>
              <w:rPr>
                <w:rFonts w:hint="eastAsia" w:ascii="仿宋_GB2312" w:hAnsi="黑体" w:eastAsia="仿宋_GB2312"/>
                <w:sz w:val="21"/>
                <w:szCs w:val="21"/>
                <w:lang w:val="en-US" w:eastAsia="zh-CN"/>
              </w:rPr>
              <w:t>0.1分，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扣满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1分为止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信息化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（1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项目档案信息化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与单位信息化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同步实施，满足项目档案信息化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需要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详见以下各小项内容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档案信息化工作计划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）项目档案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信息化与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信息化同步开展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，项目档案管理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系统（软件）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纳入项目建设计划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相关信息化工作计划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无档案信息化工作计划的不得分；有档案信息化工作计划，但未与业务信息化同步的，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酌扣0.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项目建设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计划同步的，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酌扣0.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0" w:hRule="atLeast"/>
        </w:trPr>
        <w:tc>
          <w:tcPr>
            <w:tcW w:w="6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  <w:t>档案数字化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项目档案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数字化率达到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100%（涉密文件除外）且质量要求达到以下要求：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全部采用彩色模式进行扫描，扫描分辨率不低于300dpi；对出现偏斜的图像应进行纠偏处理，对不符合阅读方向的数字图像应进行旋转还原；以档号为基础对数字图像命名，科学建立数字图像的存储路径；将TIFF、JPEG等通用格式作为数字图像长期保存格式，再将图像转换为双层PDF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OFD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格式，便于纸质档案数字图像利用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；目录数据与对应的数字图像进行了挂接，实现了“一文一件”数据挂接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档案数字化成果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color w:val="auto"/>
                <w:sz w:val="21"/>
                <w:szCs w:val="21"/>
                <w:lang w:val="en-US" w:eastAsia="zh-CN"/>
              </w:rPr>
              <w:t>项目档案数字化率未达到100%的，扣2分；数字化质量</w:t>
            </w:r>
            <w:r>
              <w:rPr>
                <w:rFonts w:hint="eastAsia" w:ascii="仿宋_GB2312" w:hAnsi="黑体" w:eastAsia="仿宋_GB2312"/>
                <w:sz w:val="21"/>
                <w:szCs w:val="21"/>
                <w:highlight w:val="none"/>
                <w:lang w:val="en-US" w:eastAsia="zh-CN"/>
              </w:rPr>
              <w:t>不符合</w:t>
            </w:r>
            <w:r>
              <w:rPr>
                <w:rFonts w:hint="eastAsia" w:ascii="仿宋_GB2312" w:hAnsi="黑体" w:eastAsia="仿宋_GB2312"/>
                <w:sz w:val="21"/>
                <w:szCs w:val="21"/>
                <w:lang w:eastAsia="zh-CN"/>
              </w:rPr>
              <w:t>规范要求</w:t>
            </w:r>
            <w:r>
              <w:rPr>
                <w:rFonts w:hint="eastAsia" w:ascii="仿宋_GB2312" w:hAnsi="黑体" w:eastAsia="仿宋_GB2312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仿宋_GB2312" w:hAnsi="黑体" w:eastAsia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酌扣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；目录数据与数字图像未实现文件级挂接的，酌扣0.5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2分；目录数据与数字图像挂接错误的，每发现一处，扣0.1分，扣满2分止。以上各项合计扣满5分止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3.3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21"/>
                <w:szCs w:val="21"/>
                <w:lang w:val="en-US" w:eastAsia="zh-CN"/>
              </w:rPr>
              <w:t>电子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档案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管理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5分）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（33）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配置档案管理软件，有效管理项目档案目录数据库和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电子档案（含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数字化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成果）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，满足档案查询、统计、利用等基本需求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档案管理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软件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及使用情况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未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配置档案管理软件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的不得分；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所配置的档案管理软件不符合</w:t>
            </w:r>
            <w:r>
              <w:rPr>
                <w:rFonts w:hint="eastAsia" w:ascii="仿宋_GB2312" w:hAnsi="黑体" w:eastAsia="仿宋_GB2312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eastAsia" w:ascii="仿宋_GB2312" w:hAnsi="黑体" w:eastAsia="仿宋_GB2312"/>
                <w:sz w:val="21"/>
                <w:szCs w:val="21"/>
                <w:lang w:eastAsia="zh-CN"/>
              </w:rPr>
              <w:t>要求</w:t>
            </w:r>
            <w:r>
              <w:rPr>
                <w:rFonts w:hint="eastAsia" w:ascii="仿宋_GB2312" w:hAnsi="黑体" w:eastAsia="仿宋_GB2312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仿宋_GB2312" w:hAnsi="黑体" w:eastAsia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酌扣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34）配置电子档案管理系统，且系统</w:t>
            </w:r>
            <w:r>
              <w:rPr>
                <w:rFonts w:hint="default" w:ascii="仿宋_GB2312" w:hAnsi="黑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具备采集、检测、登记、分类、编目、著录、电子签名、检索、利用、鉴定、统计、处置、格式转换、审计、移交等基本功能,</w:t>
            </w:r>
            <w:r>
              <w:rPr>
                <w:rFonts w:hint="eastAsia" w:ascii="仿宋_GB2312" w:hAnsi="黑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支持从电子文件归档</w:t>
            </w:r>
            <w:r>
              <w:rPr>
                <w:rFonts w:hint="default" w:ascii="仿宋_GB2312" w:hAnsi="黑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系统中在线接收存档信息包</w:t>
            </w:r>
            <w:r>
              <w:rPr>
                <w:rFonts w:hint="eastAsia" w:ascii="仿宋_GB2312" w:hAnsi="黑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default" w:ascii="仿宋_GB2312" w:hAnsi="黑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支持非业务系统生成的各类电子文件数据导入</w:t>
            </w:r>
            <w:r>
              <w:rPr>
                <w:rFonts w:hint="eastAsia" w:ascii="仿宋_GB2312" w:hAnsi="黑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default" w:ascii="仿宋_GB2312" w:hAnsi="黑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支持对多种门类、多种格式电子档案进行在线管理</w:t>
            </w:r>
            <w:r>
              <w:rPr>
                <w:rFonts w:hint="eastAsia" w:ascii="仿宋_GB2312" w:hAnsi="黑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，支持向数字档案馆（室)及《江西省交通重点建设项目电子档案管理服务平台》进行离线移交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电子档案管理系统及使用情况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  <w:lang w:val="en-US" w:eastAsia="zh-CN"/>
              </w:rPr>
              <w:t>未配置电子档案管理系统的不得分；所配置系统功能不完善的</w:t>
            </w:r>
            <w:r>
              <w:rPr>
                <w:rFonts w:hint="eastAsia" w:ascii="仿宋_GB2312" w:hAnsi="黑体" w:eastAsia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酌扣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电子文件形成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1.5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黑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电子文件</w:t>
            </w:r>
            <w:r>
              <w:rPr>
                <w:rFonts w:hint="eastAsia" w:ascii="仿宋_GB2312" w:hAnsi="黑体" w:eastAsia="仿宋_GB2312"/>
                <w:color w:val="auto"/>
                <w:sz w:val="21"/>
                <w:szCs w:val="21"/>
                <w:highlight w:val="none"/>
              </w:rPr>
              <w:t>通过</w:t>
            </w:r>
            <w:r>
              <w:rPr>
                <w:rFonts w:hint="eastAsia" w:ascii="仿宋_GB2312" w:hAnsi="黑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业务</w:t>
            </w:r>
            <w:r>
              <w:rPr>
                <w:rFonts w:hint="eastAsia" w:ascii="仿宋_GB2312" w:hAnsi="黑体" w:eastAsia="仿宋_GB2312"/>
                <w:color w:val="auto"/>
                <w:sz w:val="21"/>
                <w:szCs w:val="21"/>
                <w:highlight w:val="none"/>
              </w:rPr>
              <w:t>系统直接</w:t>
            </w:r>
            <w:r>
              <w:rPr>
                <w:rFonts w:hint="eastAsia" w:ascii="仿宋_GB2312" w:hAnsi="黑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形</w:t>
            </w:r>
            <w:r>
              <w:rPr>
                <w:rFonts w:hint="eastAsia" w:ascii="仿宋_GB2312" w:hAnsi="黑体" w:eastAsia="仿宋_GB2312"/>
                <w:color w:val="auto"/>
                <w:sz w:val="21"/>
                <w:szCs w:val="21"/>
                <w:highlight w:val="none"/>
              </w:rPr>
              <w:t>成、未经人工转换或扫描</w:t>
            </w:r>
            <w:r>
              <w:rPr>
                <w:rFonts w:hint="eastAsia" w:ascii="仿宋_GB2312" w:hAnsi="黑体" w:eastAsia="仿宋_GB2312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黑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所有电子文件在形成和流转过程中自动采集电子文件元数据,并形成规范的结构化数据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文件形成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情况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未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通过业务系统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形成电子文件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不得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；所形成电子文件不符合相关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要求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酌扣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</w:trPr>
        <w:tc>
          <w:tcPr>
            <w:tcW w:w="6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3.5</w:t>
            </w: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电子文件归档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（1.5分）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36）具备</w:t>
            </w:r>
            <w:r>
              <w:rPr>
                <w:rFonts w:hint="eastAsia" w:ascii="仿宋_GB2312" w:hAnsi="黑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电子文件归档功能，并与业务系统进行了对接，能够实现电子文件在线收集、整理和预归档，且具备自动组卷（件）功能；归档电子文件可向电子档案管理系统进行在线或离线移交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文件归档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不具备</w:t>
            </w:r>
            <w:r>
              <w:rPr>
                <w:rFonts w:hint="eastAsia" w:ascii="仿宋_GB2312" w:hAnsi="黑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电子文件归档功能的不得分；电子文件在线收集、整理和预归档不符合要求，不具备自动组卷（件）功能，不能实现在线移交或离线移交的，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酌扣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1.5分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档案安全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（1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分）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档案库房、档案装具、安全措施等符合相关规范要求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详见以下各小项内容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  <w:lang w:val="en-US" w:eastAsia="zh-CN"/>
              </w:rPr>
              <w:t>用房设施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分）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设置符合项目档案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安全保管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要求的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专用档案库房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实地检查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库房楼面承重不符合要求，或未按规范设置的不得分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黑体" w:eastAsia="仿宋_GB2312"/>
                <w:sz w:val="21"/>
                <w:szCs w:val="21"/>
                <w:lang w:val="en-US" w:eastAsia="zh-CN"/>
              </w:rPr>
              <w:t>档案库房配置有</w:t>
            </w:r>
            <w:r>
              <w:rPr>
                <w:rFonts w:hint="eastAsia" w:ascii="仿宋_GB2312" w:hAnsi="黑体" w:eastAsia="仿宋_GB2312"/>
                <w:szCs w:val="21"/>
                <w:highlight w:val="none"/>
              </w:rPr>
              <w:t>防火、防盗、防紫外线、防有害生物、防水、防潮、防尘、防高温、防污染</w:t>
            </w:r>
            <w:r>
              <w:rPr>
                <w:rFonts w:hint="eastAsia" w:ascii="仿宋_GB2312" w:hAnsi="黑体" w:eastAsia="仿宋_GB2312"/>
                <w:sz w:val="21"/>
                <w:szCs w:val="21"/>
                <w:highlight w:val="none"/>
                <w:lang w:val="en-US" w:eastAsia="zh-CN"/>
              </w:rPr>
              <w:t>等防护设施</w:t>
            </w:r>
          </w:p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库房防护措施不到位的，每发现一项扣0.5分，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扣满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2分止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64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4.2</w:t>
            </w:r>
          </w:p>
        </w:tc>
        <w:tc>
          <w:tcPr>
            <w:tcW w:w="111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  <w:lang w:val="en-US" w:eastAsia="zh-CN"/>
              </w:rPr>
              <w:t>档案装具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分）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档案柜、架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应牢固耐用、数量充足，并符合国家有关标准</w:t>
            </w:r>
          </w:p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不符合标准的，每发现一项扣0.2分，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扣满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1分止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1.5分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黑体" w:eastAsia="仿宋_GB2312"/>
                <w:sz w:val="21"/>
                <w:szCs w:val="21"/>
                <w:lang w:val="en-US" w:eastAsia="zh-CN"/>
              </w:rPr>
              <w:t>卷盒、卷皮</w:t>
            </w:r>
            <w:r>
              <w:rPr>
                <w:rFonts w:hint="eastAsia" w:ascii="仿宋_GB2312" w:hAnsi="黑体" w:eastAsia="仿宋_GB2312"/>
                <w:color w:val="auto"/>
                <w:kern w:val="2"/>
                <w:sz w:val="21"/>
                <w:szCs w:val="21"/>
              </w:rPr>
              <w:t>的印制使用应符合</w:t>
            </w:r>
            <w:r>
              <w:rPr>
                <w:rFonts w:hint="eastAsia" w:ascii="仿宋_GB2312" w:hAnsi="黑体" w:eastAsia="仿宋_GB2312"/>
                <w:sz w:val="21"/>
                <w:szCs w:val="21"/>
              </w:rPr>
              <w:t>国家</w:t>
            </w:r>
            <w:r>
              <w:rPr>
                <w:rFonts w:hint="eastAsia" w:ascii="仿宋_GB2312" w:hAnsi="黑体" w:eastAsia="仿宋_GB2312"/>
                <w:color w:val="auto"/>
                <w:kern w:val="2"/>
                <w:sz w:val="21"/>
                <w:szCs w:val="21"/>
              </w:rPr>
              <w:t>有关标准</w:t>
            </w: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不符合标准的，每发现一项扣0.2分，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扣满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1分止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1.5分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64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4.3</w:t>
            </w:r>
          </w:p>
        </w:tc>
        <w:tc>
          <w:tcPr>
            <w:tcW w:w="111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  <w:lang w:val="en-US" w:eastAsia="zh-CN"/>
              </w:rPr>
              <w:t>安全措施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分）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黑体" w:eastAsia="仿宋_GB2312"/>
                <w:sz w:val="21"/>
                <w:szCs w:val="21"/>
                <w:lang w:val="en-US" w:eastAsia="zh-CN"/>
              </w:rPr>
              <w:t>41</w:t>
            </w:r>
            <w:r>
              <w:rPr>
                <w:rFonts w:hint="eastAsia" w:ascii="仿宋_GB2312" w:hAnsi="黑体" w:eastAsia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黑体" w:eastAsia="仿宋_GB2312"/>
                <w:sz w:val="21"/>
                <w:szCs w:val="21"/>
                <w:lang w:val="en-US" w:eastAsia="zh-CN"/>
              </w:rPr>
              <w:t>配置防磁柜，确保磁带、</w:t>
            </w:r>
            <w:r>
              <w:rPr>
                <w:rFonts w:hint="eastAsia" w:ascii="仿宋_GB2312" w:hAnsi="黑体" w:eastAsia="仿宋_GB2312"/>
                <w:sz w:val="21"/>
                <w:szCs w:val="21"/>
                <w:lang w:eastAsia="zh-CN"/>
              </w:rPr>
              <w:t>光盘、</w:t>
            </w:r>
            <w:r>
              <w:rPr>
                <w:rFonts w:hint="eastAsia" w:ascii="仿宋_GB2312" w:hAnsi="黑体" w:eastAsia="仿宋_GB2312"/>
                <w:sz w:val="21"/>
                <w:szCs w:val="21"/>
                <w:lang w:val="en-US" w:eastAsia="zh-CN"/>
              </w:rPr>
              <w:t>硬盘</w:t>
            </w:r>
            <w:r>
              <w:rPr>
                <w:rFonts w:hint="eastAsia" w:ascii="仿宋_GB2312" w:hAnsi="黑体" w:eastAsia="仿宋_GB2312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仿宋_GB2312" w:hAnsi="黑体" w:eastAsia="仿宋_GB2312"/>
                <w:sz w:val="21"/>
                <w:szCs w:val="21"/>
                <w:lang w:val="en-US" w:eastAsia="zh-CN"/>
              </w:rPr>
              <w:t>载体档案安全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安全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措施及其执行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情况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  <w:lang w:eastAsia="zh-CN"/>
              </w:rPr>
              <w:t>未达到规范要求的，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酌扣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1.5分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黑体" w:eastAsia="仿宋_GB2312"/>
                <w:sz w:val="21"/>
                <w:szCs w:val="21"/>
              </w:rPr>
              <w:t>使用不可擦除型</w:t>
            </w:r>
            <w:r>
              <w:rPr>
                <w:rFonts w:hint="eastAsia" w:ascii="仿宋_GB2312" w:hAnsi="黑体" w:eastAsia="仿宋_GB2312"/>
                <w:sz w:val="21"/>
                <w:szCs w:val="21"/>
                <w:lang w:val="en-US" w:eastAsia="zh-CN"/>
              </w:rPr>
              <w:t>档案级蓝光</w:t>
            </w:r>
            <w:r>
              <w:rPr>
                <w:rFonts w:hint="eastAsia" w:ascii="仿宋_GB2312" w:hAnsi="黑体" w:eastAsia="仿宋_GB2312"/>
                <w:sz w:val="21"/>
                <w:szCs w:val="21"/>
              </w:rPr>
              <w:t>光盘</w:t>
            </w:r>
            <w:r>
              <w:rPr>
                <w:rFonts w:hint="eastAsia" w:ascii="仿宋_GB2312" w:hAnsi="黑体" w:eastAsia="仿宋_GB2312"/>
                <w:sz w:val="21"/>
                <w:szCs w:val="21"/>
                <w:highlight w:val="none"/>
                <w:lang w:eastAsia="zh-CN"/>
              </w:rPr>
              <w:t>和硬盘</w:t>
            </w:r>
            <w:r>
              <w:rPr>
                <w:rFonts w:hint="eastAsia" w:ascii="仿宋_GB2312" w:hAnsi="黑体" w:eastAsia="仿宋_GB2312"/>
                <w:sz w:val="21"/>
                <w:szCs w:val="21"/>
                <w:lang w:val="en-US" w:eastAsia="zh-CN"/>
              </w:rPr>
              <w:t>作为</w:t>
            </w:r>
            <w:r>
              <w:rPr>
                <w:rFonts w:hint="eastAsia" w:ascii="仿宋_GB2312" w:hAnsi="黑体" w:eastAsia="仿宋_GB2312"/>
                <w:sz w:val="21"/>
                <w:szCs w:val="21"/>
              </w:rPr>
              <w:t>存储</w:t>
            </w:r>
            <w:r>
              <w:rPr>
                <w:rFonts w:hint="eastAsia" w:ascii="仿宋_GB2312" w:hAnsi="黑体" w:eastAsia="仿宋_GB2312"/>
                <w:sz w:val="21"/>
                <w:szCs w:val="21"/>
                <w:lang w:val="en-US" w:eastAsia="zh-CN"/>
              </w:rPr>
              <w:t>载体</w:t>
            </w:r>
            <w:r>
              <w:rPr>
                <w:rFonts w:hint="eastAsia" w:ascii="仿宋_GB2312" w:hAnsi="黑体" w:eastAsia="仿宋_GB2312"/>
                <w:sz w:val="21"/>
                <w:szCs w:val="21"/>
                <w:lang w:eastAsia="zh-CN"/>
              </w:rPr>
              <w:t>，对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数字化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成果和电子档案</w:t>
            </w:r>
            <w:r>
              <w:rPr>
                <w:rFonts w:hint="eastAsia" w:ascii="仿宋_GB2312" w:hAnsi="黑体" w:eastAsia="仿宋_GB2312"/>
                <w:sz w:val="21"/>
                <w:szCs w:val="21"/>
                <w:lang w:eastAsia="zh-CN"/>
              </w:rPr>
              <w:t>进行双介质离线备份</w:t>
            </w: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  <w:lang w:eastAsia="zh-CN"/>
              </w:rPr>
              <w:t>未达到规范要求的，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酌扣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1.5分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071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100分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评定等级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21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注：</w:t>
      </w:r>
      <w:r>
        <w:rPr>
          <w:rFonts w:hint="eastAsia" w:ascii="仿宋_GB2312" w:hAnsi="仿宋_GB2312" w:eastAsia="仿宋_GB2312" w:cs="仿宋_GB231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1"/>
          <w:szCs w:val="20"/>
          <w:lang w:val="en-US" w:eastAsia="zh-CN"/>
        </w:rPr>
        <w:t>得分≥90为优秀；80≤得分&lt;90为良好；70≤得分&lt;80为合格；得分&lt;70或得分≥70但“案卷质量”&lt;50为不合格。</w:t>
      </w:r>
    </w:p>
    <w:p>
      <w:r>
        <w:rPr>
          <w:rFonts w:hint="eastAsia" w:ascii="仿宋_GB2312" w:hAnsi="仿宋_GB2312" w:eastAsia="仿宋_GB2312" w:cs="仿宋_GB2312"/>
          <w:color w:val="auto"/>
          <w:sz w:val="21"/>
          <w:szCs w:val="2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lang w:eastAsia="zh-CN"/>
        </w:rPr>
        <w:t>自评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70分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以上且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“案卷质量”达到50分以上才能申请档案验收</w:t>
      </w:r>
      <w:r>
        <w:rPr>
          <w:rFonts w:hint="eastAsia" w:ascii="仿宋_GB2312" w:hAnsi="仿宋_GB2312" w:eastAsia="仿宋_GB2312" w:cs="仿宋_GB2312"/>
          <w:lang w:val="en-US" w:eastAsia="zh-CN"/>
        </w:rPr>
        <w:t>。</w:t>
      </w:r>
    </w:p>
    <w:p>
      <w:pPr>
        <w:pStyle w:val="9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 w:val="0"/>
        <w:spacing w:before="0" w:beforeAutospacing="0" w:after="0" w:afterAutospacing="0" w:line="240" w:lineRule="auto"/>
        <w:ind w:right="0"/>
        <w:jc w:val="both"/>
        <w:textAlignment w:val="auto"/>
        <w:outlineLvl w:val="9"/>
        <w:rPr>
          <w:rFonts w:hint="eastAsia" w:ascii="黑体" w:hAnsi="黑体" w:eastAsia="黑体" w:cs="黑体"/>
          <w:sz w:val="10"/>
          <w:szCs w:val="10"/>
          <w:lang w:val="en-US" w:eastAsia="zh-CN"/>
        </w:rPr>
      </w:pPr>
      <w:bookmarkStart w:id="0" w:name="_GoBack"/>
      <w:bookmarkEnd w:id="0"/>
    </w:p>
    <w:sectPr>
      <w:headerReference r:id="rId4" w:type="default"/>
      <w:footerReference r:id="rId5" w:type="default"/>
      <w:pgSz w:w="16838" w:h="11906" w:orient="landscape"/>
      <w:pgMar w:top="1800" w:right="1440" w:bottom="1800" w:left="144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GWZT-EN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小标宋_GBK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Quad Arrow 3073" o:spid="_x0000_s1025" type="#_x0000_t202" style="position:absolute;left:0;margin-top:-8.75pt;height:20.75pt;width:8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TIxNmRmYmZlMGQ3ODQ0ZTU2NjIxNjYzNGYxZGJjYWI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/>
    </w:rPr>
  </w:style>
  <w:style w:type="paragraph" w:styleId="3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 w:cs="Times New Roman"/>
      <w:kern w:val="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qFormat/>
    <w:uiPriority w:val="0"/>
    <w:pPr>
      <w:widowControl w:val="0"/>
      <w:overflowPunct w:val="0"/>
      <w:topLinePunct w:val="1"/>
      <w:spacing w:afterAutospacing="0"/>
      <w:ind w:firstLine="632" w:firstLineChars="200"/>
      <w:jc w:val="both"/>
    </w:pPr>
    <w:rPr>
      <w:rFonts w:ascii="GWZT-E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Body Text 2"/>
    <w:qFormat/>
    <w:uiPriority w:val="0"/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8467</Words>
  <Characters>8779</Characters>
  <Lines>0</Lines>
  <Paragraphs>0</Paragraphs>
  <ScaleCrop>false</ScaleCrop>
  <LinksUpToDate>false</LinksUpToDate>
  <CharactersWithSpaces>0</CharactersWithSpaces>
  <Application>WPS Office 专业版_8.1.0.3000_{F1E327BC-269C-435d-A152-05C5408002CA}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2023-06-26T03:29:00Z</dcterms:created>
  <dc:creator>周鹏</dc:creator>
  <cp:lastModifiedBy>执法监督处收发</cp:lastModifiedBy>
  <cp:lastPrinted>2025-09-02T02:59:00Z</cp:lastPrinted>
  <dcterms:modified xsi:type="dcterms:W3CDTF">2025-09-15T02:09:24Z</dcterms:modified>
  <dc:title>江西省交通运输厅 江西省档案局关于印发《江西省交通建设项目档案验收办法》的通知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2052-8.1.0.3000</vt:lpwstr>
  </property>
  <property fmtid="{D5CDD505-2E9C-101B-9397-08002B2CF9AE}" pid="3" name="ICV">
    <vt:lpwstr>8FB5CA6C4F5648D4AFC6D01F67E44804_11</vt:lpwstr>
  </property>
  <property fmtid="{D5CDD505-2E9C-101B-9397-08002B2CF9AE}" pid="4" name="KSOTemplateDocerSaveRecord">
    <vt:lpwstr>eyJoZGlkIjoiY2U3YzMxZjBhNzUxM2U2NWM4OWFlYjExODBkMzIxZmIiLCJ1c2VySWQiOiIxNDY2OTM0NzQ1In0=</vt:lpwstr>
  </property>
</Properties>
</file>