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586DD">
      <w:pPr>
        <w:spacing w:line="580" w:lineRule="exact"/>
        <w:ind w:firstLine="0" w:firstLineChars="0"/>
        <w:jc w:val="center"/>
        <w:rPr>
          <w:rStyle w:val="12"/>
          <w:rFonts w:hint="eastAsia" w:ascii="仿宋" w:hAnsi="仿宋" w:eastAsia="仿宋" w:cs="仿宋"/>
          <w:b/>
          <w:bCs/>
          <w:i w:val="0"/>
          <w:iCs w:val="0"/>
          <w:caps w:val="0"/>
          <w:color w:val="434343"/>
          <w:spacing w:val="0"/>
          <w:sz w:val="56"/>
          <w:szCs w:val="56"/>
          <w:highlight w:val="none"/>
          <w:shd w:val="clear" w:fill="FFFFFF"/>
        </w:rPr>
      </w:pPr>
      <w:r>
        <w:rPr>
          <w:rStyle w:val="12"/>
          <w:rFonts w:ascii="仿宋" w:hAnsi="仿宋" w:eastAsia="仿宋" w:cs="仿宋"/>
          <w:b/>
          <w:bCs/>
          <w:i w:val="0"/>
          <w:iCs w:val="0"/>
          <w:caps w:val="0"/>
          <w:color w:val="434343"/>
          <w:spacing w:val="0"/>
          <w:sz w:val="56"/>
          <w:szCs w:val="56"/>
          <w:highlight w:val="none"/>
          <w:shd w:val="clear" w:fill="FFFFFF"/>
        </w:rPr>
        <w:t>湖口县政府</w:t>
      </w:r>
      <w:r>
        <w:rPr>
          <w:rStyle w:val="12"/>
          <w:rFonts w:hint="default" w:ascii="Times New Roman" w:hAnsi="Times New Roman" w:eastAsia="宋体" w:cs="Times New Roman"/>
          <w:b/>
          <w:bCs/>
          <w:i w:val="0"/>
          <w:iCs w:val="0"/>
          <w:caps w:val="0"/>
          <w:color w:val="434343"/>
          <w:spacing w:val="0"/>
          <w:sz w:val="56"/>
          <w:szCs w:val="56"/>
          <w:highlight w:val="none"/>
          <w:shd w:val="clear" w:fill="FFFFFF"/>
        </w:rPr>
        <w:t>202</w:t>
      </w:r>
      <w:r>
        <w:rPr>
          <w:rStyle w:val="12"/>
          <w:rFonts w:hint="eastAsia" w:ascii="Times New Roman" w:hAnsi="Times New Roman" w:eastAsia="宋体" w:cs="Times New Roman"/>
          <w:b/>
          <w:bCs/>
          <w:i w:val="0"/>
          <w:iCs w:val="0"/>
          <w:caps w:val="0"/>
          <w:color w:val="434343"/>
          <w:spacing w:val="0"/>
          <w:sz w:val="56"/>
          <w:szCs w:val="56"/>
          <w:highlight w:val="none"/>
          <w:shd w:val="clear" w:fill="FFFFFF"/>
          <w:lang w:val="en-US" w:eastAsia="zh-CN"/>
        </w:rPr>
        <w:t>6</w:t>
      </w:r>
      <w:r>
        <w:rPr>
          <w:rStyle w:val="12"/>
          <w:rFonts w:hint="eastAsia" w:ascii="仿宋" w:hAnsi="仿宋" w:eastAsia="仿宋" w:cs="仿宋"/>
          <w:b/>
          <w:bCs/>
          <w:i w:val="0"/>
          <w:iCs w:val="0"/>
          <w:caps w:val="0"/>
          <w:color w:val="434343"/>
          <w:spacing w:val="0"/>
          <w:sz w:val="56"/>
          <w:szCs w:val="56"/>
          <w:highlight w:val="none"/>
          <w:shd w:val="clear" w:fill="FFFFFF"/>
        </w:rPr>
        <w:t>年度财政预算和“三公”经费公开</w:t>
      </w:r>
    </w:p>
    <w:p w14:paraId="2E665E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Style w:val="12"/>
          <w:rFonts w:ascii="仿宋" w:hAnsi="仿宋" w:eastAsia="仿宋" w:cs="仿宋"/>
          <w:b/>
          <w:bCs/>
          <w:i w:val="0"/>
          <w:iCs w:val="0"/>
          <w:caps w:val="0"/>
          <w:color w:val="434343"/>
          <w:spacing w:val="0"/>
          <w:sz w:val="32"/>
          <w:szCs w:val="32"/>
          <w:highlight w:val="none"/>
          <w:shd w:val="clear" w:fill="FFFFFF"/>
        </w:rPr>
      </w:pPr>
    </w:p>
    <w:p w14:paraId="7F0368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黑体" w:hAnsi="黑体" w:eastAsia="黑体" w:cs="黑体"/>
          <w:i w:val="0"/>
          <w:iCs w:val="0"/>
          <w:caps w:val="0"/>
          <w:color w:val="434343"/>
          <w:spacing w:val="0"/>
          <w:sz w:val="20"/>
          <w:szCs w:val="20"/>
          <w:highlight w:val="none"/>
        </w:rPr>
      </w:pPr>
      <w:r>
        <w:rPr>
          <w:rStyle w:val="12"/>
          <w:rFonts w:hint="eastAsia" w:ascii="黑体" w:hAnsi="黑体" w:eastAsia="黑体" w:cs="黑体"/>
          <w:b/>
          <w:bCs/>
          <w:i w:val="0"/>
          <w:iCs w:val="0"/>
          <w:caps w:val="0"/>
          <w:color w:val="434343"/>
          <w:spacing w:val="0"/>
          <w:sz w:val="36"/>
          <w:szCs w:val="36"/>
          <w:highlight w:val="none"/>
          <w:shd w:val="clear" w:fill="FFFFFF"/>
        </w:rPr>
        <w:t>目录</w:t>
      </w:r>
    </w:p>
    <w:p w14:paraId="195935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20"/>
          <w:szCs w:val="20"/>
          <w:highlight w:val="none"/>
        </w:rPr>
      </w:pPr>
      <w:r>
        <w:rPr>
          <w:rStyle w:val="12"/>
          <w:rFonts w:hint="eastAsia" w:ascii="仿宋" w:hAnsi="仿宋" w:eastAsia="仿宋" w:cs="仿宋"/>
          <w:b/>
          <w:bCs/>
          <w:i w:val="0"/>
          <w:iCs w:val="0"/>
          <w:caps w:val="0"/>
          <w:color w:val="434343"/>
          <w:spacing w:val="0"/>
          <w:sz w:val="36"/>
          <w:szCs w:val="36"/>
          <w:highlight w:val="none"/>
          <w:shd w:val="clear" w:fill="FFFFFF"/>
        </w:rPr>
        <w:t>第一部分湖口县政府概况 </w:t>
      </w:r>
    </w:p>
    <w:p w14:paraId="2ED842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一、部门主要职责  </w:t>
      </w:r>
    </w:p>
    <w:p w14:paraId="63BFCD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二、部门基本情况 </w:t>
      </w:r>
    </w:p>
    <w:p w14:paraId="0797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20"/>
          <w:szCs w:val="20"/>
          <w:highlight w:val="none"/>
        </w:rPr>
      </w:pPr>
      <w:r>
        <w:rPr>
          <w:rStyle w:val="12"/>
          <w:rFonts w:hint="eastAsia" w:ascii="仿宋" w:hAnsi="仿宋" w:eastAsia="仿宋" w:cs="仿宋"/>
          <w:b/>
          <w:bCs/>
          <w:i w:val="0"/>
          <w:iCs w:val="0"/>
          <w:caps w:val="0"/>
          <w:color w:val="434343"/>
          <w:spacing w:val="0"/>
          <w:sz w:val="36"/>
          <w:szCs w:val="36"/>
          <w:highlight w:val="none"/>
          <w:shd w:val="clear" w:fill="FFFFFF"/>
        </w:rPr>
        <w:t>第二部分湖口县</w:t>
      </w:r>
      <w:r>
        <w:rPr>
          <w:rStyle w:val="12"/>
          <w:rFonts w:hint="default" w:ascii="Times New Roman" w:hAnsi="Times New Roman" w:eastAsia="微软雅黑" w:cs="Times New Roman"/>
          <w:b/>
          <w:bCs/>
          <w:i w:val="0"/>
          <w:iCs w:val="0"/>
          <w:caps w:val="0"/>
          <w:color w:val="434343"/>
          <w:spacing w:val="0"/>
          <w:sz w:val="36"/>
          <w:szCs w:val="36"/>
          <w:highlight w:val="none"/>
          <w:shd w:val="clear" w:fill="FFFFFF"/>
        </w:rPr>
        <w:t>202</w:t>
      </w:r>
      <w:r>
        <w:rPr>
          <w:rStyle w:val="12"/>
          <w:rFonts w:hint="eastAsia" w:ascii="Times New Roman" w:hAnsi="Times New Roman" w:eastAsia="微软雅黑" w:cs="Times New Roman"/>
          <w:b/>
          <w:bCs/>
          <w:i w:val="0"/>
          <w:iCs w:val="0"/>
          <w:caps w:val="0"/>
          <w:color w:val="434343"/>
          <w:spacing w:val="0"/>
          <w:sz w:val="36"/>
          <w:szCs w:val="36"/>
          <w:highlight w:val="none"/>
          <w:shd w:val="clear" w:fill="FFFFFF"/>
          <w:lang w:val="en-US" w:eastAsia="zh-CN"/>
        </w:rPr>
        <w:t>6</w:t>
      </w:r>
      <w:r>
        <w:rPr>
          <w:rStyle w:val="12"/>
          <w:rFonts w:hint="eastAsia" w:ascii="仿宋" w:hAnsi="仿宋" w:eastAsia="仿宋" w:cs="仿宋"/>
          <w:b/>
          <w:bCs/>
          <w:i w:val="0"/>
          <w:iCs w:val="0"/>
          <w:caps w:val="0"/>
          <w:color w:val="434343"/>
          <w:spacing w:val="0"/>
          <w:sz w:val="36"/>
          <w:szCs w:val="36"/>
          <w:highlight w:val="none"/>
          <w:shd w:val="clear" w:fill="FFFFFF"/>
        </w:rPr>
        <w:t>年政府预算情况说明 </w:t>
      </w:r>
    </w:p>
    <w:p w14:paraId="15B85A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一、</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年政府预算草案报告（人大报告）</w:t>
      </w:r>
    </w:p>
    <w:p w14:paraId="39ED71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二、</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年转移支付情况说明</w:t>
      </w:r>
    </w:p>
    <w:p w14:paraId="1B5E22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三、</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年政府债务情况说明</w:t>
      </w:r>
    </w:p>
    <w:p w14:paraId="321919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rPr>
        <w:t>四、</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年“三公</w:t>
      </w:r>
      <w:r>
        <w:rPr>
          <w:rFonts w:hint="eastAsia" w:ascii="仿宋" w:hAnsi="仿宋" w:eastAsia="仿宋" w:cs="仿宋"/>
          <w:i w:val="0"/>
          <w:iCs w:val="0"/>
          <w:caps w:val="0"/>
          <w:color w:val="434343"/>
          <w:spacing w:val="0"/>
          <w:sz w:val="32"/>
          <w:szCs w:val="32"/>
          <w:highlight w:val="none"/>
          <w:shd w:val="clear" w:fill="FFFFFF"/>
          <w:lang w:eastAsia="zh-CN"/>
        </w:rPr>
        <w:t>”</w:t>
      </w:r>
      <w:r>
        <w:rPr>
          <w:rFonts w:hint="eastAsia" w:ascii="仿宋" w:hAnsi="仿宋" w:eastAsia="仿宋" w:cs="仿宋"/>
          <w:i w:val="0"/>
          <w:iCs w:val="0"/>
          <w:caps w:val="0"/>
          <w:color w:val="434343"/>
          <w:spacing w:val="0"/>
          <w:sz w:val="32"/>
          <w:szCs w:val="32"/>
          <w:highlight w:val="none"/>
          <w:shd w:val="clear" w:fill="FFFFFF"/>
        </w:rPr>
        <w:t>经费情况说明</w:t>
      </w:r>
    </w:p>
    <w:p w14:paraId="5F8BD6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Style w:val="12"/>
          <w:rFonts w:hint="eastAsia" w:ascii="仿宋" w:hAnsi="仿宋" w:eastAsia="仿宋" w:cs="仿宋"/>
          <w:b/>
          <w:bCs/>
          <w:i w:val="0"/>
          <w:iCs w:val="0"/>
          <w:caps w:val="0"/>
          <w:color w:val="434343"/>
          <w:spacing w:val="0"/>
          <w:sz w:val="36"/>
          <w:szCs w:val="36"/>
          <w:highlight w:val="none"/>
          <w:shd w:val="clear" w:fill="FFFFFF"/>
        </w:rPr>
      </w:pPr>
      <w:r>
        <w:rPr>
          <w:rStyle w:val="12"/>
          <w:rFonts w:hint="eastAsia" w:ascii="仿宋" w:hAnsi="仿宋" w:eastAsia="仿宋" w:cs="仿宋"/>
          <w:b/>
          <w:bCs/>
          <w:i w:val="0"/>
          <w:iCs w:val="0"/>
          <w:caps w:val="0"/>
          <w:color w:val="434343"/>
          <w:spacing w:val="0"/>
          <w:sz w:val="36"/>
          <w:szCs w:val="36"/>
          <w:highlight w:val="none"/>
          <w:shd w:val="clear" w:fill="FFFFFF"/>
        </w:rPr>
        <w:t>第三部分湖口县</w:t>
      </w:r>
      <w:r>
        <w:rPr>
          <w:rStyle w:val="12"/>
          <w:rFonts w:hint="eastAsia" w:ascii="仿宋" w:hAnsi="仿宋" w:eastAsia="仿宋" w:cs="仿宋"/>
          <w:b/>
          <w:bCs/>
          <w:i w:val="0"/>
          <w:iCs w:val="0"/>
          <w:caps w:val="0"/>
          <w:color w:val="434343"/>
          <w:spacing w:val="0"/>
          <w:sz w:val="36"/>
          <w:szCs w:val="36"/>
          <w:highlight w:val="none"/>
          <w:shd w:val="clear" w:fill="FFFFFF"/>
          <w:lang w:val="en-US" w:eastAsia="zh-CN"/>
        </w:rPr>
        <w:t>2025年财政预算执行情况表和</w:t>
      </w:r>
      <w:r>
        <w:rPr>
          <w:rStyle w:val="12"/>
          <w:rFonts w:hint="default" w:ascii="Times New Roman" w:hAnsi="Times New Roman" w:eastAsia="微软雅黑" w:cs="Times New Roman"/>
          <w:b/>
          <w:bCs/>
          <w:i w:val="0"/>
          <w:iCs w:val="0"/>
          <w:caps w:val="0"/>
          <w:color w:val="434343"/>
          <w:spacing w:val="0"/>
          <w:sz w:val="36"/>
          <w:szCs w:val="36"/>
          <w:highlight w:val="none"/>
          <w:shd w:val="clear" w:fill="FFFFFF"/>
        </w:rPr>
        <w:t>202</w:t>
      </w:r>
      <w:r>
        <w:rPr>
          <w:rStyle w:val="12"/>
          <w:rFonts w:hint="eastAsia" w:ascii="Times New Roman" w:hAnsi="Times New Roman" w:eastAsia="微软雅黑" w:cs="Times New Roman"/>
          <w:b/>
          <w:bCs/>
          <w:i w:val="0"/>
          <w:iCs w:val="0"/>
          <w:caps w:val="0"/>
          <w:color w:val="434343"/>
          <w:spacing w:val="0"/>
          <w:sz w:val="36"/>
          <w:szCs w:val="36"/>
          <w:highlight w:val="none"/>
          <w:shd w:val="clear" w:fill="FFFFFF"/>
          <w:lang w:val="en-US" w:eastAsia="zh-CN"/>
        </w:rPr>
        <w:t>6</w:t>
      </w:r>
      <w:r>
        <w:rPr>
          <w:rStyle w:val="12"/>
          <w:rFonts w:hint="eastAsia" w:ascii="仿宋" w:hAnsi="仿宋" w:eastAsia="仿宋" w:cs="仿宋"/>
          <w:b/>
          <w:bCs/>
          <w:i w:val="0"/>
          <w:iCs w:val="0"/>
          <w:caps w:val="0"/>
          <w:color w:val="434343"/>
          <w:spacing w:val="0"/>
          <w:sz w:val="36"/>
          <w:szCs w:val="36"/>
          <w:highlight w:val="none"/>
          <w:shd w:val="clear" w:fill="FFFFFF"/>
        </w:rPr>
        <w:t>年政府预算表（附表）</w:t>
      </w:r>
    </w:p>
    <w:p w14:paraId="44A363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Times New Roman" w:hAnsi="Times New Roman" w:eastAsia="微软雅黑" w:cs="Times New Roman"/>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lang w:val="en-US" w:eastAsia="zh-CN"/>
        </w:rPr>
        <w:t>一、</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2025</w:t>
      </w:r>
      <w:r>
        <w:rPr>
          <w:rFonts w:hint="eastAsia" w:ascii="仿宋" w:hAnsi="仿宋" w:eastAsia="仿宋" w:cs="仿宋"/>
          <w:i w:val="0"/>
          <w:iCs w:val="0"/>
          <w:caps w:val="0"/>
          <w:color w:val="434343"/>
          <w:spacing w:val="0"/>
          <w:sz w:val="32"/>
          <w:szCs w:val="32"/>
          <w:highlight w:val="none"/>
          <w:shd w:val="clear" w:fill="FFFFFF"/>
          <w:lang w:val="en-US" w:eastAsia="zh-CN"/>
        </w:rPr>
        <w:t>年一般公共预算收支执行情况表</w:t>
      </w:r>
      <w:r>
        <w:rPr>
          <w:rFonts w:hint="eastAsia" w:ascii="Times New Roman" w:hAnsi="Times New Roman" w:eastAsia="微软雅黑" w:cs="Times New Roman"/>
          <w:i w:val="0"/>
          <w:iCs w:val="0"/>
          <w:caps w:val="0"/>
          <w:color w:val="434343"/>
          <w:spacing w:val="0"/>
          <w:sz w:val="32"/>
          <w:szCs w:val="32"/>
          <w:highlight w:val="none"/>
          <w:shd w:val="clear" w:fill="FFFFFF"/>
        </w:rPr>
        <w:t> </w:t>
      </w:r>
    </w:p>
    <w:p w14:paraId="320F16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lang w:val="en-US" w:eastAsia="zh-CN"/>
        </w:rPr>
        <w:t>二</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年一般公共预算收</w:t>
      </w:r>
      <w:r>
        <w:rPr>
          <w:rFonts w:hint="eastAsia" w:ascii="仿宋" w:hAnsi="仿宋" w:eastAsia="仿宋" w:cs="仿宋"/>
          <w:i w:val="0"/>
          <w:iCs w:val="0"/>
          <w:caps w:val="0"/>
          <w:color w:val="434343"/>
          <w:spacing w:val="0"/>
          <w:sz w:val="32"/>
          <w:szCs w:val="32"/>
          <w:highlight w:val="none"/>
          <w:shd w:val="clear" w:fill="FFFFFF"/>
          <w:lang w:eastAsia="zh-CN"/>
        </w:rPr>
        <w:t>支总</w:t>
      </w:r>
      <w:r>
        <w:rPr>
          <w:rFonts w:hint="eastAsia" w:ascii="仿宋" w:hAnsi="仿宋" w:eastAsia="仿宋" w:cs="仿宋"/>
          <w:i w:val="0"/>
          <w:iCs w:val="0"/>
          <w:caps w:val="0"/>
          <w:color w:val="434343"/>
          <w:spacing w:val="0"/>
          <w:sz w:val="32"/>
          <w:szCs w:val="32"/>
          <w:highlight w:val="none"/>
          <w:shd w:val="clear" w:fill="FFFFFF"/>
        </w:rPr>
        <w:t>表</w:t>
      </w:r>
    </w:p>
    <w:p w14:paraId="12473F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lang w:eastAsia="zh-CN"/>
        </w:rPr>
      </w:pPr>
      <w:r>
        <w:rPr>
          <w:rFonts w:hint="eastAsia" w:ascii="仿宋" w:hAnsi="仿宋" w:eastAsia="仿宋" w:cs="仿宋"/>
          <w:i w:val="0"/>
          <w:iCs w:val="0"/>
          <w:caps w:val="0"/>
          <w:color w:val="434343"/>
          <w:spacing w:val="0"/>
          <w:sz w:val="32"/>
          <w:szCs w:val="32"/>
          <w:highlight w:val="none"/>
          <w:shd w:val="clear" w:fill="FFFFFF"/>
          <w:lang w:val="en-US" w:eastAsia="zh-CN"/>
        </w:rPr>
        <w:t>三</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年一般公共预算本级支出表</w:t>
      </w:r>
      <w:r>
        <w:rPr>
          <w:rFonts w:hint="eastAsia" w:ascii="仿宋" w:hAnsi="仿宋" w:eastAsia="仿宋" w:cs="仿宋"/>
          <w:i w:val="0"/>
          <w:iCs w:val="0"/>
          <w:caps w:val="0"/>
          <w:color w:val="434343"/>
          <w:spacing w:val="0"/>
          <w:sz w:val="32"/>
          <w:szCs w:val="32"/>
          <w:highlight w:val="none"/>
          <w:shd w:val="clear" w:fill="FFFFFF"/>
          <w:lang w:eastAsia="zh-CN"/>
        </w:rPr>
        <w:t>（明细到款）</w:t>
      </w:r>
    </w:p>
    <w:p w14:paraId="3DD92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仿宋" w:cs="微软雅黑"/>
          <w:i w:val="0"/>
          <w:iCs w:val="0"/>
          <w:caps w:val="0"/>
          <w:color w:val="434343"/>
          <w:spacing w:val="0"/>
          <w:sz w:val="19"/>
          <w:szCs w:val="19"/>
          <w:highlight w:val="none"/>
          <w:lang w:eastAsia="zh-CN"/>
        </w:rPr>
      </w:pPr>
      <w:r>
        <w:rPr>
          <w:rFonts w:hint="eastAsia" w:ascii="仿宋" w:hAnsi="仿宋" w:eastAsia="仿宋" w:cs="仿宋"/>
          <w:i w:val="0"/>
          <w:iCs w:val="0"/>
          <w:caps w:val="0"/>
          <w:color w:val="434343"/>
          <w:spacing w:val="0"/>
          <w:sz w:val="32"/>
          <w:szCs w:val="32"/>
          <w:highlight w:val="none"/>
          <w:shd w:val="clear" w:fill="FFFFFF"/>
          <w:lang w:val="en-US" w:eastAsia="zh-CN"/>
        </w:rPr>
        <w:t>四</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年一般公共预算本级支出表</w:t>
      </w:r>
      <w:r>
        <w:rPr>
          <w:rFonts w:hint="eastAsia" w:ascii="仿宋" w:hAnsi="仿宋" w:eastAsia="仿宋" w:cs="仿宋"/>
          <w:i w:val="0"/>
          <w:iCs w:val="0"/>
          <w:caps w:val="0"/>
          <w:color w:val="434343"/>
          <w:spacing w:val="0"/>
          <w:sz w:val="32"/>
          <w:szCs w:val="32"/>
          <w:highlight w:val="none"/>
          <w:shd w:val="clear" w:fill="FFFFFF"/>
          <w:lang w:eastAsia="zh-CN"/>
        </w:rPr>
        <w:t>（明细到项）</w:t>
      </w:r>
    </w:p>
    <w:p w14:paraId="48A19A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仿宋" w:cs="微软雅黑"/>
          <w:i w:val="0"/>
          <w:iCs w:val="0"/>
          <w:caps w:val="0"/>
          <w:color w:val="434343"/>
          <w:spacing w:val="0"/>
          <w:sz w:val="19"/>
          <w:szCs w:val="19"/>
          <w:highlight w:val="none"/>
          <w:lang w:eastAsia="zh-CN"/>
        </w:rPr>
      </w:pPr>
      <w:r>
        <w:rPr>
          <w:rFonts w:hint="eastAsia" w:ascii="仿宋" w:hAnsi="仿宋" w:eastAsia="仿宋" w:cs="仿宋"/>
          <w:i w:val="0"/>
          <w:iCs w:val="0"/>
          <w:caps w:val="0"/>
          <w:color w:val="434343"/>
          <w:spacing w:val="0"/>
          <w:sz w:val="32"/>
          <w:szCs w:val="32"/>
          <w:highlight w:val="none"/>
          <w:shd w:val="clear" w:fill="FFFFFF"/>
          <w:lang w:val="en-US" w:eastAsia="zh-CN"/>
        </w:rPr>
        <w:t>五</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年一般公共预算本级</w:t>
      </w:r>
      <w:r>
        <w:rPr>
          <w:rFonts w:hint="eastAsia" w:ascii="仿宋" w:hAnsi="仿宋" w:eastAsia="仿宋" w:cs="仿宋"/>
          <w:i w:val="0"/>
          <w:iCs w:val="0"/>
          <w:caps w:val="0"/>
          <w:color w:val="434343"/>
          <w:spacing w:val="0"/>
          <w:sz w:val="32"/>
          <w:szCs w:val="32"/>
          <w:highlight w:val="none"/>
          <w:shd w:val="clear" w:fill="FFFFFF"/>
          <w:lang w:eastAsia="zh-CN"/>
        </w:rPr>
        <w:t>基本</w:t>
      </w:r>
      <w:r>
        <w:rPr>
          <w:rFonts w:hint="eastAsia" w:ascii="仿宋" w:hAnsi="仿宋" w:eastAsia="仿宋" w:cs="仿宋"/>
          <w:i w:val="0"/>
          <w:iCs w:val="0"/>
          <w:caps w:val="0"/>
          <w:color w:val="434343"/>
          <w:spacing w:val="0"/>
          <w:sz w:val="32"/>
          <w:szCs w:val="32"/>
          <w:highlight w:val="none"/>
          <w:shd w:val="clear" w:fill="FFFFFF"/>
        </w:rPr>
        <w:t>支出表</w:t>
      </w:r>
    </w:p>
    <w:p w14:paraId="12BF8B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lang w:val="en-US" w:eastAsia="zh-CN"/>
        </w:rPr>
        <w:t>六</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lang w:val="en-US" w:eastAsia="zh-CN"/>
        </w:rPr>
        <w:t>年</w:t>
      </w:r>
      <w:r>
        <w:rPr>
          <w:rFonts w:hint="eastAsia" w:ascii="仿宋" w:hAnsi="仿宋" w:eastAsia="仿宋" w:cs="仿宋"/>
          <w:i w:val="0"/>
          <w:iCs w:val="0"/>
          <w:caps w:val="0"/>
          <w:color w:val="434343"/>
          <w:spacing w:val="0"/>
          <w:sz w:val="32"/>
          <w:szCs w:val="32"/>
          <w:highlight w:val="none"/>
          <w:shd w:val="clear" w:fill="FFFFFF"/>
        </w:rPr>
        <w:t>一般公共预算税收返还和转移支付表</w:t>
      </w:r>
    </w:p>
    <w:p w14:paraId="571A74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lang w:val="en-US" w:eastAsia="zh-CN"/>
        </w:rPr>
        <w:t>七</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5</w:t>
      </w:r>
      <w:r>
        <w:rPr>
          <w:rFonts w:hint="eastAsia" w:ascii="仿宋" w:hAnsi="仿宋" w:eastAsia="仿宋" w:cs="仿宋"/>
          <w:i w:val="0"/>
          <w:iCs w:val="0"/>
          <w:caps w:val="0"/>
          <w:color w:val="434343"/>
          <w:spacing w:val="0"/>
          <w:sz w:val="32"/>
          <w:szCs w:val="32"/>
          <w:highlight w:val="none"/>
          <w:shd w:val="clear" w:fill="FFFFFF"/>
        </w:rPr>
        <w:t>年底债务</w:t>
      </w:r>
      <w:r>
        <w:rPr>
          <w:rFonts w:hint="eastAsia" w:ascii="仿宋" w:hAnsi="仿宋" w:eastAsia="仿宋" w:cs="仿宋"/>
          <w:i w:val="0"/>
          <w:iCs w:val="0"/>
          <w:caps w:val="0"/>
          <w:color w:val="434343"/>
          <w:spacing w:val="0"/>
          <w:sz w:val="32"/>
          <w:szCs w:val="32"/>
          <w:highlight w:val="none"/>
          <w:shd w:val="clear" w:fill="FFFFFF"/>
          <w:lang w:eastAsia="zh-CN"/>
        </w:rPr>
        <w:t>限额及</w:t>
      </w:r>
      <w:r>
        <w:rPr>
          <w:rFonts w:hint="eastAsia" w:ascii="仿宋" w:hAnsi="仿宋" w:eastAsia="仿宋" w:cs="仿宋"/>
          <w:i w:val="0"/>
          <w:iCs w:val="0"/>
          <w:caps w:val="0"/>
          <w:color w:val="434343"/>
          <w:spacing w:val="0"/>
          <w:sz w:val="32"/>
          <w:szCs w:val="32"/>
          <w:highlight w:val="none"/>
          <w:shd w:val="clear" w:fill="FFFFFF"/>
        </w:rPr>
        <w:t>余额表（一般债）</w:t>
      </w:r>
    </w:p>
    <w:p w14:paraId="5D2BE6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default" w:ascii="仿宋" w:hAnsi="仿宋" w:eastAsia="仿宋" w:cs="仿宋"/>
          <w:i w:val="0"/>
          <w:iCs w:val="0"/>
          <w:caps w:val="0"/>
          <w:color w:val="434343"/>
          <w:spacing w:val="0"/>
          <w:sz w:val="32"/>
          <w:szCs w:val="32"/>
          <w:highlight w:val="none"/>
          <w:shd w:val="clear" w:fill="FFFFFF"/>
          <w:lang w:val="en-US" w:eastAsia="zh-CN"/>
        </w:rPr>
      </w:pPr>
      <w:r>
        <w:rPr>
          <w:rFonts w:hint="eastAsia" w:ascii="仿宋" w:hAnsi="仿宋" w:eastAsia="仿宋" w:cs="仿宋"/>
          <w:i w:val="0"/>
          <w:iCs w:val="0"/>
          <w:caps w:val="0"/>
          <w:color w:val="434343"/>
          <w:spacing w:val="0"/>
          <w:sz w:val="32"/>
          <w:szCs w:val="32"/>
          <w:highlight w:val="none"/>
          <w:shd w:val="clear" w:fill="FFFFFF"/>
          <w:lang w:val="en-US" w:eastAsia="zh-CN"/>
        </w:rPr>
        <w:t>八、</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2025</w:t>
      </w:r>
      <w:r>
        <w:rPr>
          <w:rFonts w:hint="eastAsia" w:ascii="仿宋" w:hAnsi="仿宋" w:eastAsia="仿宋" w:cs="仿宋"/>
          <w:i w:val="0"/>
          <w:iCs w:val="0"/>
          <w:caps w:val="0"/>
          <w:color w:val="434343"/>
          <w:spacing w:val="0"/>
          <w:sz w:val="32"/>
          <w:szCs w:val="32"/>
          <w:highlight w:val="none"/>
          <w:shd w:val="clear" w:fill="FFFFFF"/>
          <w:lang w:val="en-US" w:eastAsia="zh-CN"/>
        </w:rPr>
        <w:t>年政府性基金收支执行情况表</w:t>
      </w:r>
    </w:p>
    <w:p w14:paraId="44CA63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lang w:val="en-US" w:eastAsia="zh-CN"/>
        </w:rPr>
        <w:t>九</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w:t>
      </w:r>
      <w:r>
        <w:rPr>
          <w:rFonts w:hint="eastAsia" w:ascii="仿宋" w:hAnsi="仿宋" w:eastAsia="仿宋" w:cs="仿宋"/>
          <w:i w:val="0"/>
          <w:iCs w:val="0"/>
          <w:caps w:val="0"/>
          <w:color w:val="434343"/>
          <w:spacing w:val="0"/>
          <w:sz w:val="32"/>
          <w:szCs w:val="32"/>
          <w:highlight w:val="none"/>
          <w:shd w:val="clear" w:fill="FFFFFF"/>
          <w:lang w:eastAsia="zh-CN"/>
        </w:rPr>
        <w:t>政府性</w:t>
      </w:r>
      <w:r>
        <w:rPr>
          <w:rFonts w:hint="eastAsia" w:ascii="仿宋" w:hAnsi="仿宋" w:eastAsia="仿宋" w:cs="仿宋"/>
          <w:i w:val="0"/>
          <w:iCs w:val="0"/>
          <w:caps w:val="0"/>
          <w:color w:val="434343"/>
          <w:spacing w:val="0"/>
          <w:sz w:val="32"/>
          <w:szCs w:val="32"/>
          <w:highlight w:val="none"/>
          <w:shd w:val="clear" w:fill="FFFFFF"/>
        </w:rPr>
        <w:t>基金</w:t>
      </w:r>
      <w:r>
        <w:rPr>
          <w:rFonts w:hint="eastAsia" w:ascii="仿宋" w:hAnsi="仿宋" w:eastAsia="仿宋" w:cs="仿宋"/>
          <w:i w:val="0"/>
          <w:iCs w:val="0"/>
          <w:caps w:val="0"/>
          <w:color w:val="434343"/>
          <w:spacing w:val="0"/>
          <w:sz w:val="32"/>
          <w:szCs w:val="32"/>
          <w:highlight w:val="none"/>
          <w:shd w:val="clear" w:fill="FFFFFF"/>
          <w:lang w:eastAsia="zh-CN"/>
        </w:rPr>
        <w:t>预算收支总</w:t>
      </w:r>
      <w:r>
        <w:rPr>
          <w:rFonts w:hint="eastAsia" w:ascii="仿宋" w:hAnsi="仿宋" w:eastAsia="仿宋" w:cs="仿宋"/>
          <w:i w:val="0"/>
          <w:iCs w:val="0"/>
          <w:caps w:val="0"/>
          <w:color w:val="434343"/>
          <w:spacing w:val="0"/>
          <w:sz w:val="32"/>
          <w:szCs w:val="32"/>
          <w:highlight w:val="none"/>
          <w:shd w:val="clear" w:fill="FFFFFF"/>
        </w:rPr>
        <w:t>表</w:t>
      </w:r>
    </w:p>
    <w:p w14:paraId="1734F0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lang w:val="en-US" w:eastAsia="zh-CN"/>
        </w:rPr>
        <w:t>十</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w:t>
      </w:r>
      <w:r>
        <w:rPr>
          <w:rFonts w:hint="eastAsia" w:ascii="仿宋" w:hAnsi="仿宋" w:eastAsia="仿宋" w:cs="仿宋"/>
          <w:i w:val="0"/>
          <w:iCs w:val="0"/>
          <w:caps w:val="0"/>
          <w:color w:val="434343"/>
          <w:spacing w:val="0"/>
          <w:sz w:val="32"/>
          <w:szCs w:val="32"/>
          <w:highlight w:val="none"/>
          <w:shd w:val="clear" w:fill="FFFFFF"/>
          <w:lang w:eastAsia="zh-CN"/>
        </w:rPr>
        <w:t>政府性</w:t>
      </w:r>
      <w:r>
        <w:rPr>
          <w:rFonts w:hint="eastAsia" w:ascii="仿宋" w:hAnsi="仿宋" w:eastAsia="仿宋" w:cs="仿宋"/>
          <w:i w:val="0"/>
          <w:iCs w:val="0"/>
          <w:caps w:val="0"/>
          <w:color w:val="434343"/>
          <w:spacing w:val="0"/>
          <w:sz w:val="32"/>
          <w:szCs w:val="32"/>
          <w:highlight w:val="none"/>
          <w:shd w:val="clear" w:fill="FFFFFF"/>
        </w:rPr>
        <w:t>基金</w:t>
      </w:r>
      <w:r>
        <w:rPr>
          <w:rFonts w:hint="eastAsia" w:ascii="仿宋" w:hAnsi="仿宋" w:eastAsia="仿宋" w:cs="仿宋"/>
          <w:i w:val="0"/>
          <w:iCs w:val="0"/>
          <w:caps w:val="0"/>
          <w:color w:val="434343"/>
          <w:spacing w:val="0"/>
          <w:sz w:val="32"/>
          <w:szCs w:val="32"/>
          <w:highlight w:val="none"/>
          <w:shd w:val="clear" w:fill="FFFFFF"/>
          <w:lang w:eastAsia="zh-CN"/>
        </w:rPr>
        <w:t>本级</w:t>
      </w:r>
      <w:r>
        <w:rPr>
          <w:rFonts w:hint="eastAsia" w:ascii="仿宋" w:hAnsi="仿宋" w:eastAsia="仿宋" w:cs="仿宋"/>
          <w:i w:val="0"/>
          <w:iCs w:val="0"/>
          <w:caps w:val="0"/>
          <w:color w:val="434343"/>
          <w:spacing w:val="0"/>
          <w:sz w:val="32"/>
          <w:szCs w:val="32"/>
          <w:highlight w:val="none"/>
          <w:shd w:val="clear" w:fill="FFFFFF"/>
        </w:rPr>
        <w:t>支出表</w:t>
      </w:r>
    </w:p>
    <w:p w14:paraId="67C6C6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lang w:val="en-US" w:eastAsia="zh-CN"/>
        </w:rPr>
        <w:t>十一</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w:t>
      </w:r>
      <w:r>
        <w:rPr>
          <w:rFonts w:hint="eastAsia" w:ascii="仿宋" w:hAnsi="仿宋" w:eastAsia="仿宋" w:cs="仿宋"/>
          <w:i w:val="0"/>
          <w:iCs w:val="0"/>
          <w:caps w:val="0"/>
          <w:color w:val="434343"/>
          <w:spacing w:val="0"/>
          <w:sz w:val="32"/>
          <w:szCs w:val="32"/>
          <w:highlight w:val="none"/>
          <w:shd w:val="clear" w:fill="FFFFFF"/>
          <w:lang w:eastAsia="zh-CN"/>
        </w:rPr>
        <w:t>政府性</w:t>
      </w:r>
      <w:r>
        <w:rPr>
          <w:rFonts w:hint="eastAsia" w:ascii="仿宋" w:hAnsi="仿宋" w:eastAsia="仿宋" w:cs="仿宋"/>
          <w:i w:val="0"/>
          <w:iCs w:val="0"/>
          <w:caps w:val="0"/>
          <w:color w:val="434343"/>
          <w:spacing w:val="0"/>
          <w:sz w:val="32"/>
          <w:szCs w:val="32"/>
          <w:highlight w:val="none"/>
          <w:shd w:val="clear" w:fill="FFFFFF"/>
        </w:rPr>
        <w:t>基金转移支付收支表</w:t>
      </w:r>
    </w:p>
    <w:p w14:paraId="138BDF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rPr>
        <w:t>十</w:t>
      </w:r>
      <w:r>
        <w:rPr>
          <w:rFonts w:hint="eastAsia" w:ascii="仿宋" w:hAnsi="仿宋" w:eastAsia="仿宋" w:cs="仿宋"/>
          <w:i w:val="0"/>
          <w:iCs w:val="0"/>
          <w:caps w:val="0"/>
          <w:color w:val="434343"/>
          <w:spacing w:val="0"/>
          <w:sz w:val="32"/>
          <w:szCs w:val="32"/>
          <w:highlight w:val="none"/>
          <w:shd w:val="clear" w:fill="FFFFFF"/>
          <w:lang w:val="en-US" w:eastAsia="zh-CN"/>
        </w:rPr>
        <w:t>二</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5</w:t>
      </w:r>
      <w:r>
        <w:rPr>
          <w:rFonts w:hint="eastAsia" w:ascii="仿宋" w:hAnsi="仿宋" w:eastAsia="仿宋" w:cs="仿宋"/>
          <w:i w:val="0"/>
          <w:iCs w:val="0"/>
          <w:caps w:val="0"/>
          <w:color w:val="434343"/>
          <w:spacing w:val="0"/>
          <w:sz w:val="32"/>
          <w:szCs w:val="32"/>
          <w:highlight w:val="none"/>
          <w:shd w:val="clear" w:fill="FFFFFF"/>
        </w:rPr>
        <w:t>年底债务余额（专项</w:t>
      </w:r>
      <w:r>
        <w:rPr>
          <w:rFonts w:hint="eastAsia" w:ascii="仿宋" w:hAnsi="仿宋" w:eastAsia="仿宋" w:cs="仿宋"/>
          <w:i w:val="0"/>
          <w:iCs w:val="0"/>
          <w:caps w:val="0"/>
          <w:color w:val="434343"/>
          <w:spacing w:val="0"/>
          <w:sz w:val="32"/>
          <w:szCs w:val="32"/>
          <w:highlight w:val="none"/>
          <w:shd w:val="clear" w:fill="FFFFFF"/>
          <w:lang w:eastAsia="zh-CN"/>
        </w:rPr>
        <w:t>债</w:t>
      </w:r>
      <w:r>
        <w:rPr>
          <w:rFonts w:hint="eastAsia" w:ascii="仿宋" w:hAnsi="仿宋" w:eastAsia="仿宋" w:cs="仿宋"/>
          <w:i w:val="0"/>
          <w:iCs w:val="0"/>
          <w:caps w:val="0"/>
          <w:color w:val="434343"/>
          <w:spacing w:val="0"/>
          <w:sz w:val="32"/>
          <w:szCs w:val="32"/>
          <w:highlight w:val="none"/>
          <w:shd w:val="clear" w:fill="FFFFFF"/>
        </w:rPr>
        <w:t>）</w:t>
      </w:r>
    </w:p>
    <w:p w14:paraId="6499A3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default" w:ascii="仿宋" w:hAnsi="仿宋" w:eastAsia="仿宋" w:cs="仿宋"/>
          <w:i w:val="0"/>
          <w:iCs w:val="0"/>
          <w:caps w:val="0"/>
          <w:color w:val="434343"/>
          <w:spacing w:val="0"/>
          <w:sz w:val="32"/>
          <w:szCs w:val="32"/>
          <w:highlight w:val="none"/>
          <w:shd w:val="clear" w:fill="FFFFFF"/>
          <w:lang w:val="en-US" w:eastAsia="zh-CN"/>
        </w:rPr>
      </w:pPr>
      <w:r>
        <w:rPr>
          <w:rFonts w:hint="eastAsia" w:ascii="仿宋" w:hAnsi="仿宋" w:eastAsia="仿宋" w:cs="仿宋"/>
          <w:i w:val="0"/>
          <w:iCs w:val="0"/>
          <w:caps w:val="0"/>
          <w:color w:val="434343"/>
          <w:spacing w:val="0"/>
          <w:sz w:val="32"/>
          <w:szCs w:val="32"/>
          <w:highlight w:val="none"/>
          <w:shd w:val="clear" w:fill="FFFFFF"/>
          <w:lang w:val="en-US" w:eastAsia="zh-CN"/>
        </w:rPr>
        <w:t>十三、</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2025</w:t>
      </w:r>
      <w:r>
        <w:rPr>
          <w:rFonts w:hint="eastAsia" w:ascii="仿宋" w:hAnsi="仿宋" w:eastAsia="仿宋" w:cs="仿宋"/>
          <w:i w:val="0"/>
          <w:iCs w:val="0"/>
          <w:caps w:val="0"/>
          <w:color w:val="434343"/>
          <w:spacing w:val="0"/>
          <w:sz w:val="32"/>
          <w:szCs w:val="32"/>
          <w:highlight w:val="none"/>
          <w:shd w:val="clear" w:fill="FFFFFF"/>
          <w:lang w:val="en-US" w:eastAsia="zh-CN"/>
        </w:rPr>
        <w:t>年社保基金预算收支执行情况表</w:t>
      </w:r>
    </w:p>
    <w:p w14:paraId="4EE0D6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rPr>
        <w:t>十</w:t>
      </w:r>
      <w:r>
        <w:rPr>
          <w:rFonts w:hint="eastAsia" w:ascii="仿宋" w:hAnsi="仿宋" w:eastAsia="仿宋" w:cs="仿宋"/>
          <w:i w:val="0"/>
          <w:iCs w:val="0"/>
          <w:caps w:val="0"/>
          <w:color w:val="434343"/>
          <w:spacing w:val="0"/>
          <w:sz w:val="32"/>
          <w:szCs w:val="32"/>
          <w:highlight w:val="none"/>
          <w:shd w:val="clear" w:fill="FFFFFF"/>
          <w:lang w:val="en-US" w:eastAsia="zh-CN"/>
        </w:rPr>
        <w:t>四</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w:t>
      </w:r>
      <w:r>
        <w:rPr>
          <w:rFonts w:hint="eastAsia" w:ascii="仿宋" w:hAnsi="仿宋" w:eastAsia="仿宋" w:cs="仿宋"/>
          <w:i w:val="0"/>
          <w:iCs w:val="0"/>
          <w:caps w:val="0"/>
          <w:color w:val="434343"/>
          <w:spacing w:val="0"/>
          <w:sz w:val="32"/>
          <w:szCs w:val="32"/>
          <w:highlight w:val="none"/>
          <w:shd w:val="clear" w:fill="FFFFFF"/>
          <w:lang w:eastAsia="zh-CN"/>
        </w:rPr>
        <w:t>社保基金</w:t>
      </w:r>
      <w:r>
        <w:rPr>
          <w:rFonts w:hint="eastAsia" w:ascii="仿宋" w:hAnsi="仿宋" w:eastAsia="仿宋" w:cs="仿宋"/>
          <w:i w:val="0"/>
          <w:iCs w:val="0"/>
          <w:caps w:val="0"/>
          <w:color w:val="434343"/>
          <w:spacing w:val="0"/>
          <w:sz w:val="32"/>
          <w:szCs w:val="32"/>
          <w:highlight w:val="none"/>
          <w:shd w:val="clear" w:fill="FFFFFF"/>
        </w:rPr>
        <w:t>预算</w:t>
      </w:r>
      <w:r>
        <w:rPr>
          <w:rFonts w:hint="eastAsia" w:ascii="仿宋" w:hAnsi="仿宋" w:eastAsia="仿宋" w:cs="仿宋"/>
          <w:i w:val="0"/>
          <w:iCs w:val="0"/>
          <w:caps w:val="0"/>
          <w:color w:val="434343"/>
          <w:spacing w:val="0"/>
          <w:sz w:val="32"/>
          <w:szCs w:val="32"/>
          <w:highlight w:val="none"/>
          <w:shd w:val="clear" w:fill="FFFFFF"/>
          <w:lang w:eastAsia="zh-CN"/>
        </w:rPr>
        <w:t>收支总</w:t>
      </w:r>
      <w:r>
        <w:rPr>
          <w:rFonts w:hint="eastAsia" w:ascii="仿宋" w:hAnsi="仿宋" w:eastAsia="仿宋" w:cs="仿宋"/>
          <w:i w:val="0"/>
          <w:iCs w:val="0"/>
          <w:caps w:val="0"/>
          <w:color w:val="434343"/>
          <w:spacing w:val="0"/>
          <w:sz w:val="32"/>
          <w:szCs w:val="32"/>
          <w:highlight w:val="none"/>
          <w:shd w:val="clear" w:fill="FFFFFF"/>
        </w:rPr>
        <w:t>表</w:t>
      </w:r>
    </w:p>
    <w:p w14:paraId="7699C7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default" w:ascii="仿宋" w:hAnsi="仿宋" w:eastAsia="仿宋" w:cs="仿宋"/>
          <w:i w:val="0"/>
          <w:iCs w:val="0"/>
          <w:caps w:val="0"/>
          <w:color w:val="434343"/>
          <w:spacing w:val="0"/>
          <w:sz w:val="32"/>
          <w:szCs w:val="32"/>
          <w:highlight w:val="none"/>
          <w:shd w:val="clear" w:fill="FFFFFF"/>
          <w:lang w:val="en-US" w:eastAsia="zh-CN"/>
        </w:rPr>
      </w:pPr>
      <w:r>
        <w:rPr>
          <w:rFonts w:hint="eastAsia" w:ascii="仿宋" w:hAnsi="仿宋" w:eastAsia="仿宋" w:cs="仿宋"/>
          <w:i w:val="0"/>
          <w:iCs w:val="0"/>
          <w:caps w:val="0"/>
          <w:color w:val="434343"/>
          <w:spacing w:val="0"/>
          <w:sz w:val="32"/>
          <w:szCs w:val="32"/>
          <w:highlight w:val="none"/>
          <w:shd w:val="clear" w:fill="FFFFFF"/>
          <w:lang w:val="en-US" w:eastAsia="zh-CN"/>
        </w:rPr>
        <w:t>十五、</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2025</w:t>
      </w:r>
      <w:r>
        <w:rPr>
          <w:rFonts w:hint="eastAsia" w:ascii="仿宋" w:hAnsi="仿宋" w:eastAsia="仿宋" w:cs="仿宋"/>
          <w:i w:val="0"/>
          <w:iCs w:val="0"/>
          <w:caps w:val="0"/>
          <w:color w:val="434343"/>
          <w:spacing w:val="0"/>
          <w:sz w:val="32"/>
          <w:szCs w:val="32"/>
          <w:highlight w:val="none"/>
          <w:shd w:val="clear" w:fill="FFFFFF"/>
          <w:lang w:val="en-US" w:eastAsia="zh-CN"/>
        </w:rPr>
        <w:t>国有资本经营预算收支执行情况表</w:t>
      </w:r>
    </w:p>
    <w:p w14:paraId="383E2B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十</w:t>
      </w:r>
      <w:r>
        <w:rPr>
          <w:rFonts w:hint="eastAsia" w:ascii="仿宋" w:hAnsi="仿宋" w:eastAsia="仿宋" w:cs="仿宋"/>
          <w:i w:val="0"/>
          <w:iCs w:val="0"/>
          <w:caps w:val="0"/>
          <w:color w:val="434343"/>
          <w:spacing w:val="0"/>
          <w:sz w:val="32"/>
          <w:szCs w:val="32"/>
          <w:highlight w:val="none"/>
          <w:shd w:val="clear" w:fill="FFFFFF"/>
          <w:lang w:val="en-US" w:eastAsia="zh-CN"/>
        </w:rPr>
        <w:t>六</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年国有资本经营预算</w:t>
      </w:r>
      <w:r>
        <w:rPr>
          <w:rFonts w:hint="eastAsia" w:ascii="仿宋" w:hAnsi="仿宋" w:eastAsia="仿宋" w:cs="仿宋"/>
          <w:i w:val="0"/>
          <w:iCs w:val="0"/>
          <w:caps w:val="0"/>
          <w:color w:val="434343"/>
          <w:spacing w:val="0"/>
          <w:sz w:val="32"/>
          <w:szCs w:val="32"/>
          <w:highlight w:val="none"/>
          <w:shd w:val="clear" w:fill="FFFFFF"/>
          <w:lang w:eastAsia="zh-CN"/>
        </w:rPr>
        <w:t>收支总</w:t>
      </w:r>
      <w:r>
        <w:rPr>
          <w:rFonts w:hint="eastAsia" w:ascii="仿宋" w:hAnsi="仿宋" w:eastAsia="仿宋" w:cs="仿宋"/>
          <w:i w:val="0"/>
          <w:iCs w:val="0"/>
          <w:caps w:val="0"/>
          <w:color w:val="434343"/>
          <w:spacing w:val="0"/>
          <w:sz w:val="32"/>
          <w:szCs w:val="32"/>
          <w:highlight w:val="none"/>
          <w:shd w:val="clear" w:fill="FFFFFF"/>
        </w:rPr>
        <w:t>表</w:t>
      </w:r>
    </w:p>
    <w:p w14:paraId="5AA381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十</w:t>
      </w:r>
      <w:r>
        <w:rPr>
          <w:rFonts w:hint="eastAsia" w:ascii="仿宋" w:hAnsi="仿宋" w:eastAsia="仿宋" w:cs="仿宋"/>
          <w:i w:val="0"/>
          <w:iCs w:val="0"/>
          <w:caps w:val="0"/>
          <w:color w:val="434343"/>
          <w:spacing w:val="0"/>
          <w:sz w:val="32"/>
          <w:szCs w:val="32"/>
          <w:highlight w:val="none"/>
          <w:shd w:val="clear" w:fill="FFFFFF"/>
          <w:lang w:val="en-US" w:eastAsia="zh-CN"/>
        </w:rPr>
        <w:t>七</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年国有资本经营预算收入表</w:t>
      </w:r>
    </w:p>
    <w:p w14:paraId="6F07CD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rPr>
        <w:t>十</w:t>
      </w:r>
      <w:r>
        <w:rPr>
          <w:rFonts w:hint="eastAsia" w:ascii="仿宋" w:hAnsi="仿宋" w:eastAsia="仿宋" w:cs="仿宋"/>
          <w:i w:val="0"/>
          <w:iCs w:val="0"/>
          <w:caps w:val="0"/>
          <w:color w:val="434343"/>
          <w:spacing w:val="0"/>
          <w:sz w:val="32"/>
          <w:szCs w:val="32"/>
          <w:highlight w:val="none"/>
          <w:shd w:val="clear" w:fill="FFFFFF"/>
          <w:lang w:val="en-US" w:eastAsia="zh-CN"/>
        </w:rPr>
        <w:t>八</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年国有资本经营预算支出表</w:t>
      </w:r>
    </w:p>
    <w:p w14:paraId="253A1F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rPr>
        <w:t>十</w:t>
      </w:r>
      <w:r>
        <w:rPr>
          <w:rFonts w:hint="eastAsia" w:ascii="仿宋" w:hAnsi="仿宋" w:eastAsia="仿宋" w:cs="仿宋"/>
          <w:i w:val="0"/>
          <w:iCs w:val="0"/>
          <w:caps w:val="0"/>
          <w:color w:val="434343"/>
          <w:spacing w:val="0"/>
          <w:sz w:val="32"/>
          <w:szCs w:val="32"/>
          <w:highlight w:val="none"/>
          <w:shd w:val="clear" w:fill="FFFFFF"/>
          <w:lang w:val="en-US" w:eastAsia="zh-CN"/>
        </w:rPr>
        <w:t>九</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年国有资本经营预算</w:t>
      </w:r>
      <w:r>
        <w:rPr>
          <w:rFonts w:hint="eastAsia" w:ascii="仿宋" w:hAnsi="仿宋" w:eastAsia="仿宋" w:cs="仿宋"/>
          <w:i w:val="0"/>
          <w:iCs w:val="0"/>
          <w:caps w:val="0"/>
          <w:color w:val="434343"/>
          <w:spacing w:val="0"/>
          <w:sz w:val="32"/>
          <w:szCs w:val="32"/>
          <w:highlight w:val="none"/>
          <w:shd w:val="clear" w:fill="FFFFFF"/>
          <w:lang w:eastAsia="zh-CN"/>
        </w:rPr>
        <w:t>本级</w:t>
      </w:r>
      <w:r>
        <w:rPr>
          <w:rFonts w:hint="eastAsia" w:ascii="仿宋" w:hAnsi="仿宋" w:eastAsia="仿宋" w:cs="仿宋"/>
          <w:i w:val="0"/>
          <w:iCs w:val="0"/>
          <w:caps w:val="0"/>
          <w:color w:val="434343"/>
          <w:spacing w:val="0"/>
          <w:sz w:val="32"/>
          <w:szCs w:val="32"/>
          <w:highlight w:val="none"/>
          <w:shd w:val="clear" w:fill="FFFFFF"/>
        </w:rPr>
        <w:t>支出表</w:t>
      </w:r>
    </w:p>
    <w:p w14:paraId="4DA259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仿宋" w:hAnsi="仿宋" w:eastAsia="仿宋" w:cs="仿宋"/>
          <w:i w:val="0"/>
          <w:iCs w:val="0"/>
          <w:caps w:val="0"/>
          <w:color w:val="434343"/>
          <w:spacing w:val="0"/>
          <w:sz w:val="32"/>
          <w:szCs w:val="32"/>
          <w:highlight w:val="none"/>
          <w:shd w:val="clear" w:fill="FFFFFF"/>
        </w:rPr>
      </w:pPr>
      <w:r>
        <w:rPr>
          <w:rFonts w:hint="eastAsia" w:ascii="仿宋" w:hAnsi="仿宋" w:eastAsia="仿宋" w:cs="仿宋"/>
          <w:i w:val="0"/>
          <w:iCs w:val="0"/>
          <w:caps w:val="0"/>
          <w:color w:val="434343"/>
          <w:spacing w:val="0"/>
          <w:sz w:val="32"/>
          <w:szCs w:val="32"/>
          <w:highlight w:val="none"/>
          <w:shd w:val="clear" w:fill="FFFFFF"/>
          <w:lang w:val="en-US" w:eastAsia="zh-CN"/>
        </w:rPr>
        <w:t>二十</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年国有资本经营预算</w:t>
      </w:r>
      <w:r>
        <w:rPr>
          <w:rFonts w:hint="eastAsia" w:ascii="仿宋" w:hAnsi="仿宋" w:eastAsia="仿宋" w:cs="仿宋"/>
          <w:i w:val="0"/>
          <w:iCs w:val="0"/>
          <w:caps w:val="0"/>
          <w:color w:val="434343"/>
          <w:spacing w:val="0"/>
          <w:sz w:val="32"/>
          <w:szCs w:val="32"/>
          <w:highlight w:val="none"/>
          <w:shd w:val="clear" w:fill="FFFFFF"/>
          <w:lang w:eastAsia="zh-CN"/>
        </w:rPr>
        <w:t>转移支付</w:t>
      </w:r>
      <w:r>
        <w:rPr>
          <w:rFonts w:hint="eastAsia" w:ascii="仿宋" w:hAnsi="仿宋" w:eastAsia="仿宋" w:cs="仿宋"/>
          <w:i w:val="0"/>
          <w:iCs w:val="0"/>
          <w:caps w:val="0"/>
          <w:color w:val="434343"/>
          <w:spacing w:val="0"/>
          <w:sz w:val="32"/>
          <w:szCs w:val="32"/>
          <w:highlight w:val="none"/>
          <w:shd w:val="clear" w:fill="FFFFFF"/>
        </w:rPr>
        <w:t>表</w:t>
      </w:r>
    </w:p>
    <w:p w14:paraId="0F86CF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lang w:val="en-US" w:eastAsia="zh-CN"/>
        </w:rPr>
        <w:t>二十一</w:t>
      </w: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w:t>
      </w:r>
      <w:r>
        <w:rPr>
          <w:rFonts w:hint="eastAsia" w:ascii="仿宋" w:hAnsi="仿宋" w:eastAsia="仿宋" w:cs="仿宋"/>
          <w:i w:val="0"/>
          <w:iCs w:val="0"/>
          <w:caps w:val="0"/>
          <w:color w:val="434343"/>
          <w:spacing w:val="0"/>
          <w:sz w:val="32"/>
          <w:szCs w:val="32"/>
          <w:highlight w:val="none"/>
          <w:shd w:val="clear" w:fill="FFFFFF"/>
          <w:lang w:eastAsia="zh-CN"/>
        </w:rPr>
        <w:t>“</w:t>
      </w:r>
      <w:r>
        <w:rPr>
          <w:rFonts w:hint="eastAsia" w:ascii="仿宋" w:hAnsi="仿宋" w:eastAsia="仿宋" w:cs="仿宋"/>
          <w:i w:val="0"/>
          <w:iCs w:val="0"/>
          <w:caps w:val="0"/>
          <w:color w:val="434343"/>
          <w:spacing w:val="0"/>
          <w:sz w:val="32"/>
          <w:szCs w:val="32"/>
          <w:highlight w:val="none"/>
          <w:shd w:val="clear" w:fill="FFFFFF"/>
        </w:rPr>
        <w:t>三公</w:t>
      </w:r>
      <w:r>
        <w:rPr>
          <w:rFonts w:hint="eastAsia" w:ascii="仿宋" w:hAnsi="仿宋" w:eastAsia="仿宋" w:cs="仿宋"/>
          <w:i w:val="0"/>
          <w:iCs w:val="0"/>
          <w:caps w:val="0"/>
          <w:color w:val="434343"/>
          <w:spacing w:val="0"/>
          <w:sz w:val="32"/>
          <w:szCs w:val="32"/>
          <w:highlight w:val="none"/>
          <w:shd w:val="clear" w:fill="FFFFFF"/>
          <w:lang w:eastAsia="zh-CN"/>
        </w:rPr>
        <w:t>”</w:t>
      </w:r>
      <w:r>
        <w:rPr>
          <w:rFonts w:hint="eastAsia" w:ascii="仿宋" w:hAnsi="仿宋" w:eastAsia="仿宋" w:cs="仿宋"/>
          <w:i w:val="0"/>
          <w:iCs w:val="0"/>
          <w:caps w:val="0"/>
          <w:color w:val="434343"/>
          <w:spacing w:val="0"/>
          <w:sz w:val="32"/>
          <w:szCs w:val="32"/>
          <w:highlight w:val="none"/>
          <w:shd w:val="clear" w:fill="FFFFFF"/>
        </w:rPr>
        <w:t>经</w:t>
      </w:r>
      <w:r>
        <w:rPr>
          <w:rFonts w:hint="eastAsia" w:ascii="仿宋" w:hAnsi="仿宋" w:eastAsia="仿宋" w:cs="仿宋"/>
          <w:i w:val="0"/>
          <w:iCs w:val="0"/>
          <w:caps w:val="0"/>
          <w:color w:val="434343"/>
          <w:spacing w:val="0"/>
          <w:sz w:val="32"/>
          <w:szCs w:val="32"/>
          <w:highlight w:val="none"/>
          <w:shd w:val="clear" w:fill="FFFFFF"/>
          <w:lang w:eastAsia="zh-CN"/>
        </w:rPr>
        <w:t>费预算</w:t>
      </w:r>
      <w:r>
        <w:rPr>
          <w:rFonts w:hint="eastAsia" w:ascii="仿宋" w:hAnsi="仿宋" w:eastAsia="仿宋" w:cs="仿宋"/>
          <w:i w:val="0"/>
          <w:iCs w:val="0"/>
          <w:caps w:val="0"/>
          <w:color w:val="434343"/>
          <w:spacing w:val="0"/>
          <w:sz w:val="32"/>
          <w:szCs w:val="32"/>
          <w:highlight w:val="none"/>
          <w:shd w:val="clear" w:fill="FFFFFF"/>
        </w:rPr>
        <w:t>表</w:t>
      </w:r>
    </w:p>
    <w:p w14:paraId="27284D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p>
    <w:p w14:paraId="6AE7429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p>
    <w:p w14:paraId="7FA361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720"/>
        <w:jc w:val="center"/>
        <w:rPr>
          <w:rFonts w:hint="eastAsia" w:ascii="微软雅黑" w:hAnsi="微软雅黑" w:eastAsia="微软雅黑" w:cs="微软雅黑"/>
          <w:i w:val="0"/>
          <w:iCs w:val="0"/>
          <w:caps w:val="0"/>
          <w:color w:val="434343"/>
          <w:spacing w:val="0"/>
          <w:sz w:val="19"/>
          <w:szCs w:val="19"/>
          <w:highlight w:val="none"/>
        </w:rPr>
      </w:pPr>
      <w:r>
        <w:rPr>
          <w:rStyle w:val="12"/>
          <w:rFonts w:hint="eastAsia" w:ascii="仿宋" w:hAnsi="仿宋" w:eastAsia="仿宋" w:cs="仿宋"/>
          <w:b/>
          <w:bCs/>
          <w:i w:val="0"/>
          <w:iCs w:val="0"/>
          <w:caps w:val="0"/>
          <w:color w:val="434343"/>
          <w:spacing w:val="0"/>
          <w:sz w:val="36"/>
          <w:szCs w:val="36"/>
          <w:highlight w:val="none"/>
          <w:shd w:val="clear" w:fill="FFFFFF"/>
        </w:rPr>
        <w:t>第一部分</w:t>
      </w:r>
      <w:r>
        <w:rPr>
          <w:rStyle w:val="12"/>
          <w:rFonts w:hint="eastAsia" w:ascii="仿宋" w:hAnsi="仿宋" w:eastAsia="仿宋" w:cs="仿宋"/>
          <w:b/>
          <w:bCs/>
          <w:i w:val="0"/>
          <w:iCs w:val="0"/>
          <w:caps w:val="0"/>
          <w:color w:val="434343"/>
          <w:spacing w:val="0"/>
          <w:sz w:val="36"/>
          <w:szCs w:val="36"/>
          <w:highlight w:val="none"/>
          <w:shd w:val="clear" w:fill="FFFFFF"/>
          <w:lang w:val="en-US" w:eastAsia="zh-CN"/>
        </w:rPr>
        <w:t xml:space="preserve"> </w:t>
      </w:r>
      <w:r>
        <w:rPr>
          <w:rStyle w:val="12"/>
          <w:rFonts w:hint="eastAsia" w:ascii="仿宋" w:hAnsi="仿宋" w:eastAsia="仿宋" w:cs="仿宋"/>
          <w:b/>
          <w:bCs/>
          <w:i w:val="0"/>
          <w:iCs w:val="0"/>
          <w:caps w:val="0"/>
          <w:color w:val="434343"/>
          <w:spacing w:val="0"/>
          <w:sz w:val="36"/>
          <w:szCs w:val="36"/>
          <w:highlight w:val="none"/>
          <w:shd w:val="clear" w:fill="FFFFFF"/>
        </w:rPr>
        <w:t>湖口县政府概况  </w:t>
      </w:r>
    </w:p>
    <w:p w14:paraId="10D947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p>
    <w:p w14:paraId="00F8D6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一、湖口政府主要职责</w:t>
      </w:r>
    </w:p>
    <w:p w14:paraId="56C174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1</w:t>
      </w:r>
      <w:r>
        <w:rPr>
          <w:rFonts w:hint="eastAsia" w:ascii="仿宋" w:hAnsi="仿宋" w:eastAsia="仿宋" w:cs="仿宋"/>
          <w:i w:val="0"/>
          <w:iCs w:val="0"/>
          <w:caps w:val="0"/>
          <w:color w:val="434343"/>
          <w:spacing w:val="0"/>
          <w:sz w:val="32"/>
          <w:szCs w:val="32"/>
          <w:highlight w:val="none"/>
          <w:shd w:val="clear" w:fill="FFFFFF"/>
        </w:rPr>
        <w:t>）执行本级人民代表大会及其常务委员会的决议，以及上级行政机关的决议和命令，规定行政措施，发布决议和命令；</w:t>
      </w:r>
    </w:p>
    <w:p w14:paraId="1DCA09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2</w:t>
      </w:r>
      <w:r>
        <w:rPr>
          <w:rFonts w:hint="eastAsia" w:ascii="仿宋" w:hAnsi="仿宋" w:eastAsia="仿宋" w:cs="仿宋"/>
          <w:i w:val="0"/>
          <w:iCs w:val="0"/>
          <w:caps w:val="0"/>
          <w:color w:val="434343"/>
          <w:spacing w:val="0"/>
          <w:sz w:val="32"/>
          <w:szCs w:val="32"/>
          <w:highlight w:val="none"/>
          <w:shd w:val="clear" w:fill="FFFFFF"/>
        </w:rPr>
        <w:t>）领导和监督所属各工作部门和下级人民政府的工作；</w:t>
      </w:r>
    </w:p>
    <w:p w14:paraId="56F01C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3</w:t>
      </w:r>
      <w:r>
        <w:rPr>
          <w:rFonts w:hint="eastAsia" w:ascii="仿宋" w:hAnsi="仿宋" w:eastAsia="仿宋" w:cs="仿宋"/>
          <w:i w:val="0"/>
          <w:iCs w:val="0"/>
          <w:caps w:val="0"/>
          <w:color w:val="434343"/>
          <w:spacing w:val="0"/>
          <w:sz w:val="32"/>
          <w:szCs w:val="32"/>
          <w:highlight w:val="none"/>
          <w:shd w:val="clear" w:fill="FFFFFF"/>
        </w:rPr>
        <w:t>）执行经济计划和预算，管理本行政区域内经济文化建设、民政和公安等工作；</w:t>
      </w:r>
    </w:p>
    <w:p w14:paraId="7DDECC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4</w:t>
      </w:r>
      <w:r>
        <w:rPr>
          <w:rFonts w:hint="eastAsia" w:ascii="仿宋" w:hAnsi="仿宋" w:eastAsia="仿宋" w:cs="仿宋"/>
          <w:i w:val="0"/>
          <w:iCs w:val="0"/>
          <w:caps w:val="0"/>
          <w:color w:val="434343"/>
          <w:spacing w:val="0"/>
          <w:sz w:val="32"/>
          <w:szCs w:val="32"/>
          <w:highlight w:val="none"/>
          <w:shd w:val="clear" w:fill="FFFFFF"/>
        </w:rPr>
        <w:t>）依法任免和奖惩国家行政机关工作人员；</w:t>
      </w:r>
    </w:p>
    <w:p w14:paraId="403252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5</w:t>
      </w:r>
      <w:r>
        <w:rPr>
          <w:rFonts w:hint="eastAsia" w:ascii="仿宋" w:hAnsi="仿宋" w:eastAsia="仿宋" w:cs="仿宋"/>
          <w:i w:val="0"/>
          <w:iCs w:val="0"/>
          <w:caps w:val="0"/>
          <w:color w:val="434343"/>
          <w:spacing w:val="0"/>
          <w:sz w:val="32"/>
          <w:szCs w:val="32"/>
          <w:highlight w:val="none"/>
          <w:shd w:val="clear" w:fill="FFFFFF"/>
        </w:rPr>
        <w:t>）保护公共财产，维护社会秩序，保障公民权利，保障少数民族的平等权利；</w:t>
      </w:r>
    </w:p>
    <w:p w14:paraId="3BC2BB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6</w:t>
      </w:r>
      <w:r>
        <w:rPr>
          <w:rFonts w:hint="eastAsia" w:ascii="仿宋" w:hAnsi="仿宋" w:eastAsia="仿宋" w:cs="仿宋"/>
          <w:i w:val="0"/>
          <w:iCs w:val="0"/>
          <w:caps w:val="0"/>
          <w:color w:val="434343"/>
          <w:spacing w:val="0"/>
          <w:sz w:val="32"/>
          <w:szCs w:val="32"/>
          <w:highlight w:val="none"/>
          <w:shd w:val="clear" w:fill="FFFFFF"/>
        </w:rPr>
        <w:t>）监督所属各部门和下级人民政府的工作；</w:t>
      </w:r>
    </w:p>
    <w:p w14:paraId="042637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w:t>
      </w:r>
      <w:r>
        <w:rPr>
          <w:rFonts w:hint="default" w:ascii="Times New Roman" w:hAnsi="Times New Roman" w:eastAsia="微软雅黑" w:cs="Times New Roman"/>
          <w:i w:val="0"/>
          <w:iCs w:val="0"/>
          <w:caps w:val="0"/>
          <w:color w:val="434343"/>
          <w:spacing w:val="0"/>
          <w:sz w:val="32"/>
          <w:szCs w:val="32"/>
          <w:highlight w:val="none"/>
          <w:shd w:val="clear" w:fill="FFFFFF"/>
        </w:rPr>
        <w:t>7</w:t>
      </w:r>
      <w:r>
        <w:rPr>
          <w:rFonts w:hint="eastAsia" w:ascii="仿宋" w:hAnsi="仿宋" w:eastAsia="仿宋" w:cs="仿宋"/>
          <w:i w:val="0"/>
          <w:iCs w:val="0"/>
          <w:caps w:val="0"/>
          <w:color w:val="434343"/>
          <w:spacing w:val="0"/>
          <w:sz w:val="32"/>
          <w:szCs w:val="32"/>
          <w:highlight w:val="none"/>
          <w:shd w:val="clear" w:fill="FFFFFF"/>
        </w:rPr>
        <w:t>）办理上级国家行政机关交办的其他事项。</w:t>
      </w:r>
    </w:p>
    <w:p w14:paraId="2CD2876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二、湖口政府基本情况</w:t>
      </w:r>
    </w:p>
    <w:p w14:paraId="5BB86A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hint="eastAsia" w:ascii="仿宋" w:hAnsi="仿宋" w:eastAsia="仿宋" w:cs="仿宋"/>
          <w:i w:val="0"/>
          <w:iCs w:val="0"/>
          <w:caps w:val="0"/>
          <w:color w:val="434343"/>
          <w:spacing w:val="0"/>
          <w:sz w:val="32"/>
          <w:szCs w:val="32"/>
          <w:highlight w:val="none"/>
          <w:shd w:val="clear" w:fill="FFFFFF"/>
        </w:rPr>
        <w:t>凡与县级财政发生经常性经费领拨款关系的预算单位全部编制</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年部门预算。</w:t>
      </w: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年我县编制部门预算</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62</w:t>
      </w:r>
      <w:r>
        <w:rPr>
          <w:rFonts w:hint="eastAsia" w:ascii="仿宋" w:hAnsi="仿宋" w:eastAsia="仿宋" w:cs="仿宋"/>
          <w:i w:val="0"/>
          <w:iCs w:val="0"/>
          <w:caps w:val="0"/>
          <w:color w:val="434343"/>
          <w:spacing w:val="0"/>
          <w:sz w:val="32"/>
          <w:szCs w:val="32"/>
          <w:highlight w:val="none"/>
          <w:shd w:val="clear" w:fill="FFFFFF"/>
        </w:rPr>
        <w:t>个部门</w:t>
      </w:r>
      <w:r>
        <w:rPr>
          <w:rFonts w:hint="eastAsia" w:ascii="仿宋" w:hAnsi="仿宋" w:eastAsia="仿宋" w:cs="仿宋"/>
          <w:i w:val="0"/>
          <w:iCs w:val="0"/>
          <w:caps w:val="0"/>
          <w:color w:val="434343"/>
          <w:spacing w:val="0"/>
          <w:sz w:val="32"/>
          <w:szCs w:val="32"/>
          <w:highlight w:val="none"/>
          <w:shd w:val="clear" w:fill="FFFFFF"/>
          <w:lang w:eastAsia="zh-CN"/>
        </w:rPr>
        <w:t>，</w:t>
      </w:r>
      <w:r>
        <w:rPr>
          <w:rFonts w:hint="eastAsia" w:ascii="仿宋" w:hAnsi="仿宋" w:eastAsia="仿宋" w:cs="仿宋"/>
          <w:i w:val="0"/>
          <w:iCs w:val="0"/>
          <w:caps w:val="0"/>
          <w:color w:val="434343"/>
          <w:spacing w:val="0"/>
          <w:sz w:val="32"/>
          <w:szCs w:val="32"/>
          <w:highlight w:val="none"/>
          <w:shd w:val="clear" w:fill="FFFFFF"/>
        </w:rPr>
        <w:t>共</w:t>
      </w:r>
      <w:r>
        <w:rPr>
          <w:rFonts w:hint="default" w:ascii="Times New Roman" w:hAnsi="Times New Roman" w:eastAsia="微软雅黑" w:cs="Times New Roman"/>
          <w:i w:val="0"/>
          <w:iCs w:val="0"/>
          <w:caps w:val="0"/>
          <w:color w:val="434343"/>
          <w:spacing w:val="0"/>
          <w:sz w:val="32"/>
          <w:szCs w:val="32"/>
          <w:highlight w:val="none"/>
          <w:shd w:val="clear" w:fill="FFFFFF"/>
        </w:rPr>
        <w:t>1</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32</w:t>
      </w:r>
      <w:r>
        <w:rPr>
          <w:rFonts w:hint="eastAsia" w:ascii="仿宋" w:hAnsi="仿宋" w:eastAsia="仿宋" w:cs="仿宋"/>
          <w:i w:val="0"/>
          <w:iCs w:val="0"/>
          <w:caps w:val="0"/>
          <w:color w:val="434343"/>
          <w:spacing w:val="0"/>
          <w:sz w:val="32"/>
          <w:szCs w:val="32"/>
          <w:highlight w:val="none"/>
          <w:shd w:val="clear" w:fill="FFFFFF"/>
        </w:rPr>
        <w:t>个单位。</w:t>
      </w:r>
    </w:p>
    <w:p w14:paraId="2B678B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8" w:lineRule="atLeast"/>
        <w:ind w:left="0" w:right="0" w:firstLine="0"/>
        <w:jc w:val="both"/>
        <w:rPr>
          <w:rFonts w:hint="eastAsia" w:ascii="微软雅黑" w:hAnsi="微软雅黑" w:eastAsia="微软雅黑" w:cs="微软雅黑"/>
          <w:i w:val="0"/>
          <w:iCs w:val="0"/>
          <w:caps w:val="0"/>
          <w:color w:val="434343"/>
          <w:spacing w:val="0"/>
          <w:sz w:val="19"/>
          <w:szCs w:val="19"/>
          <w:highlight w:val="none"/>
        </w:rPr>
      </w:pPr>
    </w:p>
    <w:p w14:paraId="61AC9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8"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p>
    <w:p w14:paraId="4CC7F4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8"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p>
    <w:p w14:paraId="176C1F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8"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p>
    <w:p w14:paraId="597759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8" w:lineRule="atLeast"/>
        <w:ind w:left="0" w:right="0" w:firstLine="0"/>
        <w:jc w:val="center"/>
        <w:rPr>
          <w:rFonts w:hint="eastAsia" w:ascii="微软雅黑" w:hAnsi="微软雅黑" w:eastAsia="微软雅黑" w:cs="微软雅黑"/>
          <w:i w:val="0"/>
          <w:iCs w:val="0"/>
          <w:caps w:val="0"/>
          <w:color w:val="434343"/>
          <w:spacing w:val="0"/>
          <w:sz w:val="19"/>
          <w:szCs w:val="19"/>
          <w:highlight w:val="none"/>
        </w:rPr>
      </w:pPr>
      <w:r>
        <w:rPr>
          <w:rStyle w:val="12"/>
          <w:rFonts w:hint="eastAsia" w:ascii="仿宋" w:hAnsi="仿宋" w:eastAsia="仿宋" w:cs="仿宋"/>
          <w:b/>
          <w:bCs/>
          <w:i w:val="0"/>
          <w:iCs w:val="0"/>
          <w:caps w:val="0"/>
          <w:color w:val="434343"/>
          <w:spacing w:val="0"/>
          <w:sz w:val="36"/>
          <w:szCs w:val="36"/>
          <w:highlight w:val="none"/>
          <w:shd w:val="clear" w:fill="FFFFFF"/>
        </w:rPr>
        <w:t>第二部分</w:t>
      </w:r>
      <w:r>
        <w:rPr>
          <w:rStyle w:val="12"/>
          <w:rFonts w:hint="eastAsia" w:ascii="仿宋" w:hAnsi="仿宋" w:eastAsia="仿宋" w:cs="仿宋"/>
          <w:b/>
          <w:bCs/>
          <w:i w:val="0"/>
          <w:iCs w:val="0"/>
          <w:caps w:val="0"/>
          <w:color w:val="434343"/>
          <w:spacing w:val="0"/>
          <w:sz w:val="36"/>
          <w:szCs w:val="36"/>
          <w:highlight w:val="none"/>
          <w:shd w:val="clear" w:fill="FFFFFF"/>
          <w:lang w:val="en-US" w:eastAsia="zh-CN"/>
        </w:rPr>
        <w:t xml:space="preserve"> </w:t>
      </w:r>
      <w:r>
        <w:rPr>
          <w:rStyle w:val="12"/>
          <w:rFonts w:hint="eastAsia" w:ascii="仿宋" w:hAnsi="仿宋" w:eastAsia="仿宋" w:cs="仿宋"/>
          <w:b/>
          <w:bCs/>
          <w:i w:val="0"/>
          <w:iCs w:val="0"/>
          <w:caps w:val="0"/>
          <w:color w:val="434343"/>
          <w:spacing w:val="0"/>
          <w:sz w:val="36"/>
          <w:szCs w:val="36"/>
          <w:highlight w:val="none"/>
          <w:shd w:val="clear" w:fill="FFFFFF"/>
        </w:rPr>
        <w:t>湖口县</w:t>
      </w:r>
      <w:r>
        <w:rPr>
          <w:rStyle w:val="12"/>
          <w:rFonts w:hint="default" w:ascii="Times New Roman" w:hAnsi="Times New Roman" w:eastAsia="微软雅黑" w:cs="Times New Roman"/>
          <w:b/>
          <w:bCs/>
          <w:i w:val="0"/>
          <w:iCs w:val="0"/>
          <w:caps w:val="0"/>
          <w:color w:val="434343"/>
          <w:spacing w:val="0"/>
          <w:sz w:val="36"/>
          <w:szCs w:val="36"/>
          <w:highlight w:val="none"/>
          <w:shd w:val="clear" w:fill="FFFFFF"/>
        </w:rPr>
        <w:t>202</w:t>
      </w:r>
      <w:r>
        <w:rPr>
          <w:rStyle w:val="12"/>
          <w:rFonts w:hint="eastAsia" w:ascii="Times New Roman" w:hAnsi="Times New Roman" w:eastAsia="微软雅黑" w:cs="Times New Roman"/>
          <w:b/>
          <w:bCs/>
          <w:i w:val="0"/>
          <w:iCs w:val="0"/>
          <w:caps w:val="0"/>
          <w:color w:val="434343"/>
          <w:spacing w:val="0"/>
          <w:sz w:val="36"/>
          <w:szCs w:val="36"/>
          <w:highlight w:val="none"/>
          <w:shd w:val="clear" w:fill="FFFFFF"/>
          <w:lang w:val="en-US" w:eastAsia="zh-CN"/>
        </w:rPr>
        <w:t>6</w:t>
      </w:r>
      <w:r>
        <w:rPr>
          <w:rStyle w:val="12"/>
          <w:rFonts w:hint="eastAsia" w:ascii="仿宋" w:hAnsi="仿宋" w:eastAsia="仿宋" w:cs="仿宋"/>
          <w:b/>
          <w:bCs/>
          <w:i w:val="0"/>
          <w:iCs w:val="0"/>
          <w:caps w:val="0"/>
          <w:color w:val="434343"/>
          <w:spacing w:val="0"/>
          <w:sz w:val="36"/>
          <w:szCs w:val="36"/>
          <w:highlight w:val="none"/>
          <w:shd w:val="clear" w:fill="FFFFFF"/>
        </w:rPr>
        <w:t>年政府预算情况说明</w:t>
      </w:r>
    </w:p>
    <w:p w14:paraId="180E3BC9">
      <w:pPr>
        <w:spacing w:line="580" w:lineRule="exact"/>
        <w:ind w:firstLine="0" w:firstLineChars="0"/>
        <w:jc w:val="center"/>
        <w:rPr>
          <w:rStyle w:val="12"/>
          <w:rFonts w:hint="eastAsia" w:ascii="仿宋" w:hAnsi="仿宋" w:eastAsia="仿宋" w:cs="仿宋"/>
          <w:b/>
          <w:bCs/>
          <w:i w:val="0"/>
          <w:iCs w:val="0"/>
          <w:caps w:val="0"/>
          <w:color w:val="434343"/>
          <w:spacing w:val="0"/>
          <w:sz w:val="36"/>
          <w:szCs w:val="36"/>
          <w:highlight w:val="none"/>
          <w:shd w:val="clear" w:fill="FFFFFF"/>
        </w:rPr>
      </w:pPr>
    </w:p>
    <w:p w14:paraId="6F0E4BFF">
      <w:pPr>
        <w:spacing w:line="580" w:lineRule="exact"/>
        <w:ind w:firstLine="0" w:firstLineChars="0"/>
        <w:jc w:val="center"/>
        <w:rPr>
          <w:rFonts w:ascii="宋体" w:hAnsi="宋体" w:eastAsia="宋体" w:cs="方正小标宋简体"/>
          <w:b/>
          <w:bCs/>
          <w:color w:val="000000"/>
          <w:w w:val="90"/>
          <w:sz w:val="44"/>
          <w:szCs w:val="44"/>
          <w:highlight w:val="none"/>
        </w:rPr>
      </w:pPr>
      <w:r>
        <w:rPr>
          <w:rFonts w:hint="eastAsia" w:ascii="宋体" w:hAnsi="宋体" w:eastAsia="宋体" w:cs="方正小标宋简体"/>
          <w:b/>
          <w:bCs/>
          <w:color w:val="000000"/>
          <w:w w:val="90"/>
          <w:sz w:val="44"/>
          <w:szCs w:val="44"/>
          <w:highlight w:val="none"/>
          <w:lang w:eastAsia="zh-CN"/>
        </w:rPr>
        <w:t>一、</w:t>
      </w:r>
      <w:r>
        <w:rPr>
          <w:rFonts w:hint="eastAsia" w:ascii="宋体" w:hAnsi="宋体" w:eastAsia="宋体" w:cs="方正小标宋简体"/>
          <w:b/>
          <w:bCs/>
          <w:color w:val="000000"/>
          <w:w w:val="90"/>
          <w:sz w:val="44"/>
          <w:szCs w:val="44"/>
          <w:highlight w:val="none"/>
        </w:rPr>
        <w:t>湖口县2</w:t>
      </w:r>
      <w:r>
        <w:rPr>
          <w:rFonts w:ascii="宋体" w:hAnsi="宋体" w:eastAsia="宋体" w:cs="方正小标宋简体"/>
          <w:b/>
          <w:bCs/>
          <w:color w:val="000000"/>
          <w:w w:val="90"/>
          <w:sz w:val="44"/>
          <w:szCs w:val="44"/>
          <w:highlight w:val="none"/>
        </w:rPr>
        <w:t>02</w:t>
      </w:r>
      <w:r>
        <w:rPr>
          <w:rFonts w:hint="eastAsia" w:ascii="宋体" w:hAnsi="宋体" w:eastAsia="宋体" w:cs="方正小标宋简体"/>
          <w:b/>
          <w:bCs/>
          <w:color w:val="000000"/>
          <w:w w:val="90"/>
          <w:sz w:val="44"/>
          <w:szCs w:val="44"/>
          <w:highlight w:val="none"/>
          <w:lang w:val="en-US" w:eastAsia="zh-CN"/>
        </w:rPr>
        <w:t>5</w:t>
      </w:r>
      <w:r>
        <w:rPr>
          <w:rFonts w:hint="eastAsia" w:ascii="宋体" w:hAnsi="宋体" w:eastAsia="宋体" w:cs="方正小标宋简体"/>
          <w:b/>
          <w:bCs/>
          <w:color w:val="000000"/>
          <w:w w:val="90"/>
          <w:sz w:val="44"/>
          <w:szCs w:val="44"/>
          <w:highlight w:val="none"/>
        </w:rPr>
        <w:t>年财政预算执行情况和2</w:t>
      </w:r>
      <w:r>
        <w:rPr>
          <w:rFonts w:ascii="宋体" w:hAnsi="宋体" w:eastAsia="宋体" w:cs="方正小标宋简体"/>
          <w:b/>
          <w:bCs/>
          <w:color w:val="000000"/>
          <w:w w:val="90"/>
          <w:sz w:val="44"/>
          <w:szCs w:val="44"/>
          <w:highlight w:val="none"/>
        </w:rPr>
        <w:t>02</w:t>
      </w:r>
      <w:r>
        <w:rPr>
          <w:rFonts w:hint="eastAsia" w:ascii="宋体" w:hAnsi="宋体" w:eastAsia="宋体" w:cs="方正小标宋简体"/>
          <w:b/>
          <w:bCs/>
          <w:color w:val="000000"/>
          <w:w w:val="90"/>
          <w:sz w:val="44"/>
          <w:szCs w:val="44"/>
          <w:highlight w:val="none"/>
          <w:lang w:val="en-US" w:eastAsia="zh-CN"/>
        </w:rPr>
        <w:t>6</w:t>
      </w:r>
      <w:r>
        <w:rPr>
          <w:rFonts w:hint="eastAsia" w:ascii="宋体" w:hAnsi="宋体" w:eastAsia="宋体" w:cs="方正小标宋简体"/>
          <w:b/>
          <w:bCs/>
          <w:color w:val="000000"/>
          <w:w w:val="90"/>
          <w:sz w:val="44"/>
          <w:szCs w:val="44"/>
          <w:highlight w:val="none"/>
        </w:rPr>
        <w:t>年</w:t>
      </w:r>
    </w:p>
    <w:p w14:paraId="282A9C9C">
      <w:pPr>
        <w:spacing w:line="580" w:lineRule="exact"/>
        <w:ind w:firstLine="0" w:firstLineChars="0"/>
        <w:jc w:val="center"/>
        <w:rPr>
          <w:rFonts w:ascii="宋体" w:hAnsi="宋体" w:eastAsia="宋体" w:cs="Times New Roman"/>
          <w:b/>
          <w:bCs/>
          <w:color w:val="000000"/>
          <w:w w:val="90"/>
          <w:sz w:val="44"/>
          <w:szCs w:val="44"/>
          <w:highlight w:val="none"/>
        </w:rPr>
      </w:pPr>
      <w:r>
        <w:rPr>
          <w:rFonts w:hint="eastAsia" w:ascii="宋体" w:hAnsi="宋体" w:eastAsia="宋体" w:cs="方正小标宋简体"/>
          <w:b/>
          <w:bCs/>
          <w:color w:val="000000"/>
          <w:w w:val="90"/>
          <w:sz w:val="44"/>
          <w:szCs w:val="44"/>
          <w:highlight w:val="none"/>
        </w:rPr>
        <w:t>财政预算（草案）的报告（书面）</w:t>
      </w:r>
    </w:p>
    <w:p w14:paraId="6D8952B7">
      <w:pPr>
        <w:spacing w:line="580" w:lineRule="exact"/>
        <w:ind w:firstLine="0" w:firstLineChars="0"/>
        <w:jc w:val="center"/>
        <w:rPr>
          <w:rFonts w:ascii="仿宋" w:hAnsi="仿宋" w:eastAsia="仿宋" w:cs="Times New Roman"/>
          <w:sz w:val="30"/>
          <w:szCs w:val="30"/>
          <w:highlight w:val="none"/>
        </w:rPr>
      </w:pPr>
    </w:p>
    <w:p w14:paraId="180C30D6">
      <w:pPr>
        <w:pageBreakBefore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bCs/>
          <w:kern w:val="0"/>
          <w:sz w:val="32"/>
          <w:szCs w:val="32"/>
          <w:highlight w:val="none"/>
        </w:rPr>
      </w:pPr>
      <w:r>
        <w:rPr>
          <w:rFonts w:hint="eastAsia" w:ascii="Times New Roman" w:hAnsi="Times New Roman" w:eastAsia="仿宋_GB2312" w:cs="仿宋_GB2312"/>
          <w:b w:val="0"/>
          <w:bCs w:val="0"/>
          <w:color w:val="000000"/>
          <w:sz w:val="32"/>
          <w:szCs w:val="32"/>
          <w:highlight w:val="none"/>
          <w:lang w:val="en-US" w:eastAsia="zh-CN"/>
        </w:rPr>
        <w:t>2026</w:t>
      </w:r>
      <w:r>
        <w:rPr>
          <w:rFonts w:hint="eastAsia" w:ascii="楷体_GB2312" w:hAnsi="楷体_GB2312" w:eastAsia="楷体_GB2312" w:cs="楷体_GB2312"/>
          <w:b/>
          <w:bCs/>
          <w:spacing w:val="-20"/>
          <w:kern w:val="0"/>
          <w:sz w:val="32"/>
          <w:szCs w:val="32"/>
          <w:highlight w:val="none"/>
        </w:rPr>
        <w:t>年</w:t>
      </w:r>
      <w:r>
        <w:rPr>
          <w:rFonts w:hint="eastAsia" w:ascii="Times New Roman" w:hAnsi="Times New Roman" w:eastAsia="仿宋_GB2312" w:cs="仿宋_GB2312"/>
          <w:b w:val="0"/>
          <w:bCs w:val="0"/>
          <w:color w:val="000000"/>
          <w:sz w:val="32"/>
          <w:szCs w:val="32"/>
          <w:highlight w:val="none"/>
          <w:lang w:val="en-US" w:eastAsia="zh-CN"/>
        </w:rPr>
        <w:t>2</w:t>
      </w:r>
      <w:r>
        <w:rPr>
          <w:rFonts w:hint="eastAsia" w:ascii="楷体_GB2312" w:hAnsi="楷体_GB2312" w:eastAsia="楷体_GB2312" w:cs="楷体_GB2312"/>
          <w:b/>
          <w:bCs/>
          <w:spacing w:val="-20"/>
          <w:kern w:val="0"/>
          <w:sz w:val="32"/>
          <w:szCs w:val="32"/>
          <w:highlight w:val="none"/>
          <w:lang w:val="en-US" w:eastAsia="zh-CN"/>
        </w:rPr>
        <w:t>月</w:t>
      </w:r>
      <w:r>
        <w:rPr>
          <w:rFonts w:hint="eastAsia" w:ascii="Times New Roman" w:hAnsi="Times New Roman" w:eastAsia="仿宋_GB2312" w:cs="仿宋_GB2312"/>
          <w:b w:val="0"/>
          <w:bCs w:val="0"/>
          <w:color w:val="000000"/>
          <w:sz w:val="32"/>
          <w:szCs w:val="32"/>
          <w:highlight w:val="none"/>
          <w:lang w:val="en-US" w:eastAsia="zh-CN"/>
        </w:rPr>
        <w:t>3</w:t>
      </w:r>
      <w:r>
        <w:rPr>
          <w:rFonts w:hint="eastAsia" w:ascii="楷体_GB2312" w:hAnsi="楷体_GB2312" w:eastAsia="楷体_GB2312" w:cs="楷体_GB2312"/>
          <w:b/>
          <w:bCs/>
          <w:spacing w:val="-20"/>
          <w:kern w:val="0"/>
          <w:sz w:val="32"/>
          <w:szCs w:val="32"/>
          <w:highlight w:val="none"/>
        </w:rPr>
        <w:t>日</w:t>
      </w:r>
      <w:r>
        <w:rPr>
          <w:rFonts w:hint="eastAsia" w:ascii="楷体_GB2312" w:hAnsi="楷体_GB2312" w:eastAsia="楷体_GB2312" w:cs="楷体_GB2312"/>
          <w:b/>
          <w:bCs/>
          <w:spacing w:val="-20"/>
          <w:kern w:val="0"/>
          <w:sz w:val="32"/>
          <w:szCs w:val="32"/>
          <w:highlight w:val="none"/>
          <w:lang w:val="en-US" w:eastAsia="zh-CN"/>
        </w:rPr>
        <w:t>在</w:t>
      </w:r>
      <w:r>
        <w:rPr>
          <w:rFonts w:hint="eastAsia" w:ascii="楷体_GB2312" w:hAnsi="楷体_GB2312" w:eastAsia="楷体_GB2312" w:cs="楷体_GB2312"/>
          <w:b/>
          <w:bCs/>
          <w:spacing w:val="-20"/>
          <w:kern w:val="0"/>
          <w:sz w:val="32"/>
          <w:szCs w:val="32"/>
          <w:highlight w:val="none"/>
        </w:rPr>
        <w:t>湖口县第十七届</w:t>
      </w:r>
      <w:r>
        <w:rPr>
          <w:rFonts w:hint="eastAsia" w:ascii="楷体_GB2312" w:hAnsi="楷体_GB2312" w:eastAsia="楷体_GB2312" w:cs="楷体_GB2312"/>
          <w:b/>
          <w:bCs/>
          <w:spacing w:val="-20"/>
          <w:kern w:val="0"/>
          <w:sz w:val="32"/>
          <w:szCs w:val="32"/>
          <w:highlight w:val="none"/>
          <w:lang w:val="en-US" w:eastAsia="zh-CN"/>
        </w:rPr>
        <w:t>人民代表大会</w:t>
      </w:r>
      <w:r>
        <w:rPr>
          <w:rFonts w:hint="eastAsia" w:ascii="楷体_GB2312" w:hAnsi="楷体_GB2312" w:eastAsia="楷体_GB2312" w:cs="楷体_GB2312"/>
          <w:b/>
          <w:bCs/>
          <w:spacing w:val="-20"/>
          <w:kern w:val="0"/>
          <w:sz w:val="32"/>
          <w:szCs w:val="32"/>
          <w:highlight w:val="none"/>
        </w:rPr>
        <w:t>第</w:t>
      </w:r>
      <w:r>
        <w:rPr>
          <w:rFonts w:hint="eastAsia" w:ascii="楷体_GB2312" w:hAnsi="楷体_GB2312" w:eastAsia="楷体_GB2312" w:cs="楷体_GB2312"/>
          <w:b/>
          <w:bCs/>
          <w:spacing w:val="-20"/>
          <w:kern w:val="0"/>
          <w:sz w:val="32"/>
          <w:szCs w:val="32"/>
          <w:highlight w:val="none"/>
          <w:lang w:val="en-US" w:eastAsia="zh-CN"/>
        </w:rPr>
        <w:t>六</w:t>
      </w:r>
      <w:r>
        <w:rPr>
          <w:rFonts w:hint="eastAsia" w:ascii="楷体_GB2312" w:hAnsi="楷体_GB2312" w:eastAsia="楷体_GB2312" w:cs="楷体_GB2312"/>
          <w:b/>
          <w:bCs/>
          <w:spacing w:val="-20"/>
          <w:kern w:val="0"/>
          <w:sz w:val="32"/>
          <w:szCs w:val="32"/>
          <w:highlight w:val="none"/>
        </w:rPr>
        <w:t>次</w:t>
      </w:r>
      <w:r>
        <w:rPr>
          <w:rFonts w:hint="eastAsia" w:ascii="楷体_GB2312" w:hAnsi="楷体_GB2312" w:eastAsia="楷体_GB2312" w:cs="楷体_GB2312"/>
          <w:b/>
          <w:bCs/>
          <w:spacing w:val="-20"/>
          <w:kern w:val="0"/>
          <w:sz w:val="32"/>
          <w:szCs w:val="32"/>
          <w:highlight w:val="none"/>
          <w:lang w:val="en-US" w:eastAsia="zh-CN"/>
        </w:rPr>
        <w:t>会议上</w:t>
      </w:r>
    </w:p>
    <w:p w14:paraId="1A8C0E7E">
      <w:pPr>
        <w:pageBreakBefore w:val="0"/>
        <w:kinsoku/>
        <w:wordWrap/>
        <w:overflowPunct/>
        <w:topLinePunct w:val="0"/>
        <w:autoSpaceDE/>
        <w:autoSpaceDN/>
        <w:bidi w:val="0"/>
        <w:adjustRightInd/>
        <w:spacing w:line="560" w:lineRule="exact"/>
        <w:jc w:val="center"/>
        <w:textAlignment w:val="auto"/>
        <w:rPr>
          <w:rFonts w:hint="default" w:ascii="楷体_GB2312" w:hAnsi="楷体_GB2312" w:eastAsia="楷体_GB2312" w:cs="楷体_GB2312"/>
          <w:b/>
          <w:bCs/>
          <w:kern w:val="0"/>
          <w:sz w:val="32"/>
          <w:szCs w:val="32"/>
          <w:highlight w:val="none"/>
          <w:lang w:val="en-US" w:eastAsia="zh-CN"/>
        </w:rPr>
      </w:pPr>
      <w:r>
        <w:rPr>
          <w:rFonts w:hint="eastAsia" w:ascii="楷体_GB2312" w:hAnsi="楷体_GB2312" w:eastAsia="楷体_GB2312" w:cs="楷体_GB2312"/>
          <w:b/>
          <w:bCs/>
          <w:kern w:val="0"/>
          <w:sz w:val="32"/>
          <w:szCs w:val="32"/>
          <w:highlight w:val="none"/>
          <w:lang w:val="en-US" w:eastAsia="zh-CN"/>
        </w:rPr>
        <w:t>县财政局局长  谢胜彬</w:t>
      </w:r>
    </w:p>
    <w:p w14:paraId="4F983C06">
      <w:pPr>
        <w:pageBreakBefore w:val="0"/>
        <w:kinsoku/>
        <w:wordWrap/>
        <w:overflowPunct/>
        <w:topLinePunct w:val="0"/>
        <w:autoSpaceDE/>
        <w:autoSpaceDN/>
        <w:bidi w:val="0"/>
        <w:adjustRightInd/>
        <w:spacing w:line="560" w:lineRule="exact"/>
        <w:jc w:val="center"/>
        <w:textAlignment w:val="auto"/>
        <w:rPr>
          <w:rFonts w:hint="eastAsia" w:eastAsia="仿宋_GB2312" w:cs="仿宋_GB2312"/>
          <w:kern w:val="0"/>
          <w:sz w:val="32"/>
          <w:szCs w:val="32"/>
          <w:highlight w:val="none"/>
        </w:rPr>
      </w:pPr>
    </w:p>
    <w:p w14:paraId="347F170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s="仿宋_GB2312"/>
          <w:b w:val="0"/>
          <w:bCs w:val="0"/>
          <w:color w:val="000000"/>
          <w:sz w:val="32"/>
          <w:szCs w:val="32"/>
          <w:highlight w:val="none"/>
        </w:rPr>
      </w:pPr>
      <w:r>
        <w:rPr>
          <w:rFonts w:hint="eastAsia" w:eastAsia="仿宋_GB2312" w:cs="仿宋_GB2312"/>
          <w:b w:val="0"/>
          <w:bCs w:val="0"/>
          <w:color w:val="000000"/>
          <w:sz w:val="32"/>
          <w:szCs w:val="32"/>
          <w:highlight w:val="none"/>
          <w:lang w:val="en-US" w:eastAsia="zh-CN"/>
        </w:rPr>
        <w:t>各位代表</w:t>
      </w:r>
      <w:r>
        <w:rPr>
          <w:rFonts w:hint="eastAsia" w:eastAsia="仿宋_GB2312" w:cs="仿宋_GB2312"/>
          <w:b w:val="0"/>
          <w:bCs w:val="0"/>
          <w:color w:val="000000"/>
          <w:sz w:val="32"/>
          <w:szCs w:val="32"/>
          <w:highlight w:val="none"/>
        </w:rPr>
        <w:t>：</w:t>
      </w:r>
    </w:p>
    <w:p w14:paraId="7622646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eastAsia="仿宋_GB2312" w:cs="仿宋_GB2312"/>
          <w:b w:val="0"/>
          <w:bCs w:val="0"/>
          <w:color w:val="000000"/>
          <w:sz w:val="32"/>
          <w:szCs w:val="32"/>
          <w:highlight w:val="none"/>
          <w:lang w:val="en-US" w:eastAsia="zh-CN"/>
        </w:rPr>
        <w:t>我受县人民政府的委托，</w:t>
      </w:r>
      <w:r>
        <w:rPr>
          <w:rFonts w:hint="eastAsia" w:ascii="Times New Roman" w:hAnsi="Times New Roman" w:eastAsia="仿宋_GB2312" w:cs="仿宋_GB2312"/>
          <w:b w:val="0"/>
          <w:bCs w:val="0"/>
          <w:color w:val="000000"/>
          <w:sz w:val="32"/>
          <w:szCs w:val="32"/>
          <w:highlight w:val="none"/>
          <w:lang w:val="en-US" w:eastAsia="zh-CN"/>
        </w:rPr>
        <w:t>向</w:t>
      </w:r>
      <w:r>
        <w:rPr>
          <w:rFonts w:hint="eastAsia" w:eastAsia="仿宋_GB2312" w:cs="仿宋_GB2312"/>
          <w:b w:val="0"/>
          <w:bCs w:val="0"/>
          <w:color w:val="000000"/>
          <w:sz w:val="32"/>
          <w:szCs w:val="32"/>
          <w:highlight w:val="none"/>
          <w:lang w:val="en-US" w:eastAsia="zh-CN"/>
        </w:rPr>
        <w:t>大会</w:t>
      </w:r>
      <w:r>
        <w:rPr>
          <w:rFonts w:hint="eastAsia" w:ascii="Times New Roman" w:hAnsi="Times New Roman" w:eastAsia="仿宋_GB2312" w:cs="仿宋_GB2312"/>
          <w:b w:val="0"/>
          <w:bCs w:val="0"/>
          <w:color w:val="000000"/>
          <w:sz w:val="32"/>
          <w:szCs w:val="32"/>
          <w:highlight w:val="none"/>
          <w:lang w:val="en-US" w:eastAsia="zh-CN"/>
        </w:rPr>
        <w:t>报告湖口县202</w:t>
      </w:r>
      <w:r>
        <w:rPr>
          <w:rFonts w:hint="eastAsia" w:eastAsia="仿宋_GB2312" w:cs="仿宋_GB2312"/>
          <w:b w:val="0"/>
          <w:bCs w:val="0"/>
          <w:color w:val="000000"/>
          <w:sz w:val="32"/>
          <w:szCs w:val="32"/>
          <w:highlight w:val="none"/>
          <w:lang w:val="en-US" w:eastAsia="zh-CN"/>
        </w:rPr>
        <w:t>5</w:t>
      </w:r>
      <w:r>
        <w:rPr>
          <w:rFonts w:hint="eastAsia" w:ascii="Times New Roman" w:hAnsi="Times New Roman" w:eastAsia="仿宋_GB2312" w:cs="仿宋_GB2312"/>
          <w:b w:val="0"/>
          <w:bCs w:val="0"/>
          <w:color w:val="000000"/>
          <w:sz w:val="32"/>
          <w:szCs w:val="32"/>
          <w:highlight w:val="none"/>
          <w:lang w:val="en-US" w:eastAsia="zh-CN"/>
        </w:rPr>
        <w:t>年财政预算执行和202</w:t>
      </w:r>
      <w:r>
        <w:rPr>
          <w:rFonts w:hint="eastAsia" w:eastAsia="仿宋_GB2312" w:cs="仿宋_GB2312"/>
          <w:b w:val="0"/>
          <w:bCs w:val="0"/>
          <w:color w:val="000000"/>
          <w:sz w:val="32"/>
          <w:szCs w:val="32"/>
          <w:highlight w:val="none"/>
          <w:lang w:val="en-US" w:eastAsia="zh-CN"/>
        </w:rPr>
        <w:t>6</w:t>
      </w:r>
      <w:r>
        <w:rPr>
          <w:rFonts w:hint="eastAsia" w:ascii="Times New Roman" w:hAnsi="Times New Roman" w:eastAsia="仿宋_GB2312" w:cs="仿宋_GB2312"/>
          <w:b w:val="0"/>
          <w:bCs w:val="0"/>
          <w:color w:val="000000"/>
          <w:sz w:val="32"/>
          <w:szCs w:val="32"/>
          <w:highlight w:val="none"/>
          <w:lang w:val="en-US" w:eastAsia="zh-CN"/>
        </w:rPr>
        <w:t>年财政预算（草案），请予审议，并请各位列席会议同志提出意见。</w:t>
      </w:r>
    </w:p>
    <w:p w14:paraId="03AFFF2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仿宋_GB2312"/>
          <w:b w:val="0"/>
          <w:bCs w:val="0"/>
          <w:color w:val="000000"/>
          <w:sz w:val="32"/>
          <w:szCs w:val="32"/>
          <w:highlight w:val="none"/>
          <w:lang w:val="en-US" w:eastAsia="zh-CN"/>
        </w:rPr>
      </w:pPr>
    </w:p>
    <w:p w14:paraId="6E9EE130">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center"/>
        <w:textAlignment w:val="auto"/>
        <w:rPr>
          <w:rFonts w:hint="eastAsia" w:ascii="仿宋_GB2312" w:hAnsi="仿宋_GB2312" w:eastAsia="仿宋_GB2312" w:cs="仿宋_GB2312"/>
          <w:sz w:val="32"/>
          <w:szCs w:val="32"/>
          <w:highlight w:val="none"/>
        </w:rPr>
      </w:pPr>
      <w:r>
        <w:rPr>
          <w:rFonts w:ascii="黑体" w:hAnsi="黑体" w:eastAsia="黑体" w:cs="黑体"/>
          <w:color w:val="000000"/>
          <w:sz w:val="44"/>
          <w:szCs w:val="44"/>
          <w:highlight w:val="none"/>
        </w:rPr>
        <w:t>202</w:t>
      </w:r>
      <w:r>
        <w:rPr>
          <w:rFonts w:hint="eastAsia" w:ascii="黑体" w:hAnsi="黑体" w:eastAsia="黑体" w:cs="黑体"/>
          <w:color w:val="000000"/>
          <w:sz w:val="44"/>
          <w:szCs w:val="44"/>
          <w:highlight w:val="none"/>
          <w:lang w:val="en-US" w:eastAsia="zh-CN"/>
        </w:rPr>
        <w:t>5</w:t>
      </w:r>
      <w:r>
        <w:rPr>
          <w:rFonts w:hint="eastAsia" w:ascii="黑体" w:hAnsi="黑体" w:eastAsia="黑体" w:cs="黑体"/>
          <w:color w:val="000000"/>
          <w:sz w:val="44"/>
          <w:szCs w:val="44"/>
          <w:highlight w:val="none"/>
        </w:rPr>
        <w:t>年财政预算执行情况</w:t>
      </w:r>
    </w:p>
    <w:p w14:paraId="57616A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2025年是“十四五”规划收官之年，也是实现湖口全域高质量发展的关键之年，推进经济社会高质量发展至关重要。</w:t>
      </w:r>
      <w:r>
        <w:rPr>
          <w:rFonts w:hint="eastAsia" w:eastAsia="仿宋_GB2312" w:cs="仿宋_GB2312"/>
          <w:b w:val="0"/>
          <w:bCs w:val="0"/>
          <w:color w:val="000000"/>
          <w:sz w:val="32"/>
          <w:szCs w:val="32"/>
          <w:highlight w:val="none"/>
          <w:lang w:val="en-US" w:eastAsia="zh-CN"/>
        </w:rPr>
        <w:t>今年以来，</w:t>
      </w:r>
      <w:r>
        <w:rPr>
          <w:rFonts w:hint="eastAsia" w:ascii="Times New Roman" w:hAnsi="Times New Roman" w:eastAsia="仿宋_GB2312" w:cs="仿宋_GB2312"/>
          <w:b w:val="0"/>
          <w:bCs w:val="0"/>
          <w:color w:val="000000"/>
          <w:sz w:val="32"/>
          <w:szCs w:val="32"/>
          <w:highlight w:val="none"/>
          <w:lang w:val="en-US" w:eastAsia="zh-CN"/>
        </w:rPr>
        <w:t>我们坚持以习近平新时代中国特色社会主义思想为指导，深入贯彻党的二十大和二十届</w:t>
      </w:r>
      <w:r>
        <w:rPr>
          <w:rFonts w:hint="eastAsia" w:eastAsia="仿宋_GB2312" w:cs="仿宋_GB2312"/>
          <w:b w:val="0"/>
          <w:bCs w:val="0"/>
          <w:color w:val="000000"/>
          <w:sz w:val="32"/>
          <w:szCs w:val="32"/>
          <w:highlight w:val="none"/>
          <w:lang w:val="en-US" w:eastAsia="zh-CN"/>
        </w:rPr>
        <w:t>三中、四中</w:t>
      </w:r>
      <w:r>
        <w:rPr>
          <w:rFonts w:hint="eastAsia" w:ascii="Times New Roman" w:hAnsi="Times New Roman" w:eastAsia="仿宋_GB2312" w:cs="仿宋_GB2312"/>
          <w:b w:val="0"/>
          <w:bCs w:val="0"/>
          <w:color w:val="000000"/>
          <w:sz w:val="32"/>
          <w:szCs w:val="32"/>
          <w:highlight w:val="none"/>
          <w:lang w:val="en-US" w:eastAsia="zh-CN"/>
        </w:rPr>
        <w:t>全会精神，全面落实习近平总书记考察江西重要讲话精神和中央、省、市各项决策部署，准确把握中央经济工作会议精神，坚持“稳中求进、以进促稳，守正创新、先立后破，系统集成、协同配合”总基调，扎实推进积极财政政策落实，深化财税体制改革，不断加强财政资源统筹，持续优化支出结构，坚决防范化解债务风险，全年预算执行情况良好，为全县经济社会高质量发展贡献了财政力量。</w:t>
      </w:r>
    </w:p>
    <w:p w14:paraId="040AC51D">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ascii="黑体" w:hAnsi="黑体" w:eastAsia="黑体" w:cs="Times New Roman"/>
          <w:b w:val="0"/>
          <w:bCs w:val="0"/>
          <w:sz w:val="32"/>
          <w:szCs w:val="32"/>
          <w:highlight w:val="none"/>
        </w:rPr>
      </w:pPr>
      <w:r>
        <w:rPr>
          <w:rFonts w:hint="eastAsia" w:ascii="黑体" w:hAnsi="黑体" w:eastAsia="黑体" w:cs="黑体"/>
          <w:b w:val="0"/>
          <w:bCs w:val="0"/>
          <w:sz w:val="32"/>
          <w:szCs w:val="32"/>
          <w:highlight w:val="none"/>
        </w:rPr>
        <w:t>一、</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5</w:t>
      </w:r>
      <w:r>
        <w:rPr>
          <w:rFonts w:hint="eastAsia" w:ascii="黑体" w:hAnsi="黑体" w:eastAsia="黑体" w:cs="黑体"/>
          <w:b w:val="0"/>
          <w:bCs w:val="0"/>
          <w:sz w:val="32"/>
          <w:szCs w:val="32"/>
          <w:highlight w:val="none"/>
        </w:rPr>
        <w:t>年一般公共预算执行情况</w:t>
      </w:r>
    </w:p>
    <w:p w14:paraId="2C38A8B4">
      <w:pPr>
        <w:pageBreakBefore w:val="0"/>
        <w:widowControl w:val="0"/>
        <w:kinsoku/>
        <w:wordWrap/>
        <w:overflowPunct/>
        <w:topLinePunct w:val="0"/>
        <w:autoSpaceDE/>
        <w:autoSpaceDN/>
        <w:bidi w:val="0"/>
        <w:adjustRightInd/>
        <w:snapToGrid/>
        <w:spacing w:line="560" w:lineRule="exact"/>
        <w:ind w:firstLine="643"/>
        <w:textAlignment w:val="auto"/>
        <w:rPr>
          <w:rFonts w:ascii="黑体" w:hAnsi="黑体" w:eastAsia="黑体" w:cs="Times New Roman"/>
          <w:b/>
          <w:bCs/>
          <w:sz w:val="32"/>
          <w:szCs w:val="32"/>
          <w:highlight w:val="none"/>
        </w:rPr>
      </w:pPr>
      <w:r>
        <w:rPr>
          <w:rFonts w:hint="eastAsia" w:ascii="楷体_GB2312" w:hAnsi="楷体" w:eastAsia="楷体_GB2312" w:cs="楷体_GB2312"/>
          <w:b/>
          <w:bCs/>
          <w:sz w:val="32"/>
          <w:szCs w:val="32"/>
          <w:highlight w:val="none"/>
        </w:rPr>
        <w:t>（一）</w:t>
      </w:r>
      <w:r>
        <w:rPr>
          <w:rFonts w:hint="eastAsia" w:ascii="楷体_GB2312" w:hAnsi="楷体" w:eastAsia="楷体_GB2312" w:cs="楷体_GB2312"/>
          <w:b/>
          <w:bCs/>
          <w:sz w:val="32"/>
          <w:szCs w:val="32"/>
          <w:highlight w:val="none"/>
          <w:lang w:val="en-US" w:eastAsia="zh-CN"/>
        </w:rPr>
        <w:t>一般公共</w:t>
      </w:r>
      <w:r>
        <w:rPr>
          <w:rFonts w:hint="eastAsia" w:ascii="楷体_GB2312" w:hAnsi="楷体" w:eastAsia="楷体_GB2312" w:cs="楷体_GB2312"/>
          <w:b/>
          <w:bCs/>
          <w:sz w:val="32"/>
          <w:szCs w:val="32"/>
          <w:highlight w:val="none"/>
        </w:rPr>
        <w:t>预算收入执行情况</w:t>
      </w:r>
    </w:p>
    <w:p w14:paraId="302FFE1C">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b w:val="0"/>
          <w:bCs w:val="0"/>
          <w:sz w:val="32"/>
          <w:szCs w:val="32"/>
          <w:highlight w:val="none"/>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eastAsia="仿宋"/>
          <w:b w:val="0"/>
          <w:bCs w:val="0"/>
          <w:sz w:val="32"/>
          <w:szCs w:val="32"/>
          <w:highlight w:val="none"/>
        </w:rPr>
        <w:t>年</w:t>
      </w:r>
      <w:r>
        <w:rPr>
          <w:rFonts w:hint="eastAsia" w:eastAsia="仿宋"/>
          <w:b w:val="0"/>
          <w:bCs w:val="0"/>
          <w:sz w:val="32"/>
          <w:szCs w:val="32"/>
          <w:highlight w:val="none"/>
          <w:lang w:val="en-US" w:eastAsia="zh-CN"/>
        </w:rPr>
        <w:t>全年</w:t>
      </w:r>
      <w:r>
        <w:rPr>
          <w:rFonts w:eastAsia="仿宋"/>
          <w:b w:val="0"/>
          <w:bCs w:val="0"/>
          <w:sz w:val="32"/>
          <w:szCs w:val="32"/>
          <w:highlight w:val="none"/>
        </w:rPr>
        <w:t>一般公共预算收入完成</w:t>
      </w:r>
      <w:r>
        <w:rPr>
          <w:rFonts w:hint="eastAsia" w:eastAsia="仿宋"/>
          <w:b w:val="0"/>
          <w:bCs w:val="0"/>
          <w:sz w:val="32"/>
          <w:szCs w:val="32"/>
          <w:highlight w:val="none"/>
          <w:lang w:val="en-US" w:eastAsia="zh-CN"/>
        </w:rPr>
        <w:t>286222</w:t>
      </w:r>
      <w:r>
        <w:rPr>
          <w:rFonts w:eastAsia="仿宋"/>
          <w:b w:val="0"/>
          <w:bCs w:val="0"/>
          <w:sz w:val="32"/>
          <w:szCs w:val="32"/>
          <w:highlight w:val="none"/>
        </w:rPr>
        <w:t>万元</w:t>
      </w:r>
      <w:r>
        <w:rPr>
          <w:rFonts w:hint="eastAsia" w:eastAsia="仿宋"/>
          <w:b w:val="0"/>
          <w:bCs w:val="0"/>
          <w:sz w:val="32"/>
          <w:szCs w:val="32"/>
          <w:highlight w:val="none"/>
        </w:rPr>
        <w:t>，同比增长</w:t>
      </w:r>
      <w:r>
        <w:rPr>
          <w:rFonts w:hint="eastAsia" w:eastAsia="仿宋"/>
          <w:b w:val="0"/>
          <w:bCs w:val="0"/>
          <w:sz w:val="32"/>
          <w:szCs w:val="32"/>
          <w:highlight w:val="none"/>
          <w:lang w:val="en-US" w:eastAsia="zh-CN"/>
        </w:rPr>
        <w:t>1.8</w:t>
      </w:r>
      <w:r>
        <w:rPr>
          <w:rFonts w:hint="eastAsia" w:eastAsia="仿宋"/>
          <w:b w:val="0"/>
          <w:bCs w:val="0"/>
          <w:sz w:val="32"/>
          <w:szCs w:val="32"/>
          <w:highlight w:val="none"/>
        </w:rPr>
        <w:t>%</w:t>
      </w:r>
      <w:r>
        <w:rPr>
          <w:rFonts w:eastAsia="仿宋"/>
          <w:b w:val="0"/>
          <w:bCs w:val="0"/>
          <w:sz w:val="32"/>
          <w:szCs w:val="32"/>
          <w:highlight w:val="none"/>
        </w:rPr>
        <w:t>，</w:t>
      </w:r>
      <w:r>
        <w:rPr>
          <w:rFonts w:hint="eastAsia" w:eastAsia="仿宋"/>
          <w:b w:val="0"/>
          <w:bCs w:val="0"/>
          <w:sz w:val="32"/>
          <w:szCs w:val="32"/>
          <w:highlight w:val="none"/>
          <w:lang w:val="en-US" w:eastAsia="zh-CN"/>
        </w:rPr>
        <w:t>完成调整预算数的100.2%，</w:t>
      </w:r>
      <w:r>
        <w:rPr>
          <w:rFonts w:hint="eastAsia" w:eastAsia="仿宋"/>
          <w:b w:val="0"/>
          <w:bCs w:val="0"/>
          <w:sz w:val="32"/>
          <w:szCs w:val="32"/>
          <w:highlight w:val="none"/>
        </w:rPr>
        <w:t>其中</w:t>
      </w:r>
      <w:r>
        <w:rPr>
          <w:rFonts w:eastAsia="仿宋"/>
          <w:b w:val="0"/>
          <w:bCs w:val="0"/>
          <w:sz w:val="32"/>
          <w:szCs w:val="32"/>
          <w:highlight w:val="none"/>
        </w:rPr>
        <w:t>：税收收入完成</w:t>
      </w:r>
      <w:r>
        <w:rPr>
          <w:rFonts w:hint="eastAsia" w:eastAsia="仿宋"/>
          <w:b w:val="0"/>
          <w:bCs w:val="0"/>
          <w:sz w:val="32"/>
          <w:szCs w:val="32"/>
          <w:highlight w:val="none"/>
          <w:lang w:val="en-US" w:eastAsia="zh-CN"/>
        </w:rPr>
        <w:t>181500</w:t>
      </w:r>
      <w:r>
        <w:rPr>
          <w:rFonts w:eastAsia="仿宋"/>
          <w:b w:val="0"/>
          <w:bCs w:val="0"/>
          <w:sz w:val="32"/>
          <w:szCs w:val="32"/>
          <w:highlight w:val="none"/>
        </w:rPr>
        <w:t>万元，同比</w:t>
      </w:r>
      <w:r>
        <w:rPr>
          <w:rFonts w:hint="eastAsia" w:eastAsia="仿宋"/>
          <w:b w:val="0"/>
          <w:bCs w:val="0"/>
          <w:sz w:val="32"/>
          <w:szCs w:val="32"/>
          <w:highlight w:val="none"/>
          <w:lang w:val="en-US" w:eastAsia="zh-CN"/>
        </w:rPr>
        <w:t>增长3.7</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非税收入完成</w:t>
      </w:r>
      <w:r>
        <w:rPr>
          <w:rFonts w:hint="eastAsia" w:eastAsia="仿宋"/>
          <w:b w:val="0"/>
          <w:bCs w:val="0"/>
          <w:sz w:val="32"/>
          <w:szCs w:val="32"/>
          <w:highlight w:val="none"/>
          <w:lang w:val="en-US" w:eastAsia="zh-CN"/>
        </w:rPr>
        <w:t>104722</w:t>
      </w:r>
      <w:r>
        <w:rPr>
          <w:rFonts w:eastAsia="仿宋"/>
          <w:b w:val="0"/>
          <w:bCs w:val="0"/>
          <w:sz w:val="32"/>
          <w:szCs w:val="32"/>
          <w:highlight w:val="none"/>
        </w:rPr>
        <w:t>万元，同比</w:t>
      </w:r>
      <w:r>
        <w:rPr>
          <w:rFonts w:hint="eastAsia" w:eastAsia="仿宋"/>
          <w:b w:val="0"/>
          <w:bCs w:val="0"/>
          <w:sz w:val="32"/>
          <w:szCs w:val="32"/>
          <w:highlight w:val="none"/>
          <w:lang w:val="en-US" w:eastAsia="zh-CN"/>
        </w:rPr>
        <w:t>下降1.4</w:t>
      </w:r>
      <w:r>
        <w:rPr>
          <w:rFonts w:eastAsia="仿宋"/>
          <w:b w:val="0"/>
          <w:bCs w:val="0"/>
          <w:sz w:val="32"/>
          <w:szCs w:val="32"/>
          <w:highlight w:val="none"/>
        </w:rPr>
        <w:t>%</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税比63.4%</w:t>
      </w:r>
      <w:r>
        <w:rPr>
          <w:rFonts w:eastAsia="仿宋"/>
          <w:b w:val="0"/>
          <w:bCs w:val="0"/>
          <w:sz w:val="32"/>
          <w:szCs w:val="32"/>
          <w:highlight w:val="none"/>
        </w:rPr>
        <w:t>。</w:t>
      </w:r>
    </w:p>
    <w:p w14:paraId="58387BC7">
      <w:pPr>
        <w:pageBreakBefore w:val="0"/>
        <w:widowControl w:val="0"/>
        <w:kinsoku/>
        <w:wordWrap/>
        <w:overflowPunct/>
        <w:topLinePunct w:val="0"/>
        <w:autoSpaceDE/>
        <w:autoSpaceDN/>
        <w:bidi w:val="0"/>
        <w:adjustRightInd/>
        <w:snapToGrid/>
        <w:spacing w:line="560" w:lineRule="exact"/>
        <w:ind w:firstLine="643"/>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（二）一般公共预算支出执行情况</w:t>
      </w:r>
    </w:p>
    <w:p w14:paraId="081AB5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b w:val="0"/>
          <w:bCs w:val="0"/>
          <w:sz w:val="32"/>
          <w:szCs w:val="32"/>
          <w:highlight w:val="none"/>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hint="eastAsia" w:eastAsia="仿宋"/>
          <w:b w:val="0"/>
          <w:bCs w:val="0"/>
          <w:sz w:val="32"/>
          <w:szCs w:val="32"/>
          <w:highlight w:val="none"/>
        </w:rPr>
        <w:t>年全年一般公共预算支出</w:t>
      </w:r>
      <w:r>
        <w:rPr>
          <w:rFonts w:hint="eastAsia" w:eastAsia="仿宋"/>
          <w:b w:val="0"/>
          <w:bCs w:val="0"/>
          <w:sz w:val="32"/>
          <w:szCs w:val="32"/>
          <w:highlight w:val="none"/>
          <w:lang w:val="en-US" w:eastAsia="zh-CN"/>
        </w:rPr>
        <w:t>485272</w:t>
      </w:r>
      <w:r>
        <w:rPr>
          <w:rFonts w:hint="eastAsia" w:eastAsia="仿宋"/>
          <w:b w:val="0"/>
          <w:bCs w:val="0"/>
          <w:sz w:val="32"/>
          <w:szCs w:val="32"/>
          <w:highlight w:val="none"/>
        </w:rPr>
        <w:t>万元</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同比增长12.3%，完成调整预算数的</w:t>
      </w:r>
      <w:r>
        <w:rPr>
          <w:rFonts w:hint="eastAsia" w:eastAsia="仿宋"/>
          <w:b w:val="0"/>
          <w:bCs w:val="0"/>
          <w:strike w:val="0"/>
          <w:dstrike w:val="0"/>
          <w:sz w:val="32"/>
          <w:szCs w:val="32"/>
          <w:highlight w:val="none"/>
          <w:lang w:val="en-US" w:eastAsia="zh-CN"/>
        </w:rPr>
        <w:t>92</w:t>
      </w:r>
      <w:r>
        <w:rPr>
          <w:rFonts w:hint="eastAsia" w:eastAsia="仿宋"/>
          <w:b w:val="0"/>
          <w:bCs w:val="0"/>
          <w:sz w:val="32"/>
          <w:szCs w:val="32"/>
          <w:highlight w:val="none"/>
          <w:lang w:val="en-US" w:eastAsia="zh-CN"/>
        </w:rPr>
        <w:t>%，其中</w:t>
      </w:r>
      <w:r>
        <w:rPr>
          <w:rFonts w:eastAsia="仿宋"/>
          <w:b w:val="0"/>
          <w:bCs w:val="0"/>
          <w:sz w:val="32"/>
          <w:szCs w:val="32"/>
          <w:highlight w:val="none"/>
        </w:rPr>
        <w:t>：</w:t>
      </w:r>
    </w:p>
    <w:p w14:paraId="47D629F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highlight w:val="none"/>
        </w:rPr>
      </w:pPr>
      <w:r>
        <w:rPr>
          <w:rFonts w:eastAsia="仿宋"/>
          <w:b w:val="0"/>
          <w:bCs w:val="0"/>
          <w:sz w:val="32"/>
          <w:szCs w:val="32"/>
          <w:highlight w:val="none"/>
        </w:rPr>
        <w:t>一般公共服务支出</w:t>
      </w:r>
      <w:r>
        <w:rPr>
          <w:rFonts w:hint="eastAsia" w:eastAsia="仿宋"/>
          <w:b w:val="0"/>
          <w:bCs w:val="0"/>
          <w:sz w:val="32"/>
          <w:szCs w:val="32"/>
          <w:highlight w:val="none"/>
          <w:lang w:val="en-US" w:eastAsia="zh-CN"/>
        </w:rPr>
        <w:t>44706</w:t>
      </w:r>
      <w:r>
        <w:rPr>
          <w:rFonts w:eastAsia="仿宋"/>
          <w:b w:val="0"/>
          <w:bCs w:val="0"/>
          <w:sz w:val="32"/>
          <w:szCs w:val="32"/>
          <w:highlight w:val="none"/>
        </w:rPr>
        <w:t>万元，同比</w:t>
      </w:r>
      <w:r>
        <w:rPr>
          <w:rFonts w:hint="eastAsia" w:eastAsia="仿宋"/>
          <w:b w:val="0"/>
          <w:bCs w:val="0"/>
          <w:sz w:val="32"/>
          <w:szCs w:val="32"/>
          <w:highlight w:val="none"/>
          <w:lang w:val="en-US" w:eastAsia="zh-CN"/>
        </w:rPr>
        <w:t>增长7.7</w:t>
      </w:r>
      <w:r>
        <w:rPr>
          <w:rFonts w:eastAsia="仿宋"/>
          <w:b w:val="0"/>
          <w:bCs w:val="0"/>
          <w:sz w:val="32"/>
          <w:szCs w:val="32"/>
          <w:highlight w:val="none"/>
        </w:rPr>
        <w:t>%；</w:t>
      </w:r>
      <w:r>
        <w:rPr>
          <w:rFonts w:hint="eastAsia" w:eastAsia="仿宋"/>
          <w:b w:val="0"/>
          <w:bCs w:val="0"/>
          <w:sz w:val="32"/>
          <w:szCs w:val="32"/>
          <w:highlight w:val="none"/>
          <w:lang w:val="en-US" w:eastAsia="zh-CN"/>
        </w:rPr>
        <w:t>国防支出508万元，同比下降12.3%；</w:t>
      </w:r>
      <w:r>
        <w:rPr>
          <w:rFonts w:eastAsia="仿宋"/>
          <w:b w:val="0"/>
          <w:bCs w:val="0"/>
          <w:sz w:val="32"/>
          <w:szCs w:val="32"/>
          <w:highlight w:val="none"/>
        </w:rPr>
        <w:t>公共安全支出</w:t>
      </w:r>
      <w:r>
        <w:rPr>
          <w:rFonts w:hint="eastAsia" w:eastAsia="仿宋"/>
          <w:b w:val="0"/>
          <w:bCs w:val="0"/>
          <w:sz w:val="32"/>
          <w:szCs w:val="32"/>
          <w:highlight w:val="none"/>
          <w:lang w:val="en-US" w:eastAsia="zh-CN"/>
        </w:rPr>
        <w:t>12627</w:t>
      </w:r>
      <w:r>
        <w:rPr>
          <w:rFonts w:eastAsia="仿宋"/>
          <w:b w:val="0"/>
          <w:bCs w:val="0"/>
          <w:sz w:val="32"/>
          <w:szCs w:val="32"/>
          <w:highlight w:val="none"/>
        </w:rPr>
        <w:t>万元，同比</w:t>
      </w:r>
      <w:r>
        <w:rPr>
          <w:rFonts w:hint="eastAsia" w:eastAsia="仿宋"/>
          <w:b w:val="0"/>
          <w:bCs w:val="0"/>
          <w:sz w:val="32"/>
          <w:szCs w:val="32"/>
          <w:highlight w:val="none"/>
        </w:rPr>
        <w:t>下降</w:t>
      </w:r>
      <w:r>
        <w:rPr>
          <w:rFonts w:hint="eastAsia" w:eastAsia="仿宋"/>
          <w:b w:val="0"/>
          <w:bCs w:val="0"/>
          <w:sz w:val="32"/>
          <w:szCs w:val="32"/>
          <w:highlight w:val="none"/>
          <w:lang w:val="en-US" w:eastAsia="zh-CN"/>
        </w:rPr>
        <w:t>6.8</w:t>
      </w:r>
      <w:r>
        <w:rPr>
          <w:rFonts w:eastAsia="仿宋"/>
          <w:b w:val="0"/>
          <w:bCs w:val="0"/>
          <w:sz w:val="32"/>
          <w:szCs w:val="32"/>
          <w:highlight w:val="none"/>
        </w:rPr>
        <w:t>%；教育支出</w:t>
      </w:r>
      <w:r>
        <w:rPr>
          <w:rFonts w:hint="eastAsia" w:eastAsia="仿宋"/>
          <w:b w:val="0"/>
          <w:bCs w:val="0"/>
          <w:sz w:val="32"/>
          <w:szCs w:val="32"/>
          <w:highlight w:val="none"/>
          <w:lang w:val="en-US" w:eastAsia="zh-CN"/>
        </w:rPr>
        <w:t>88203</w:t>
      </w:r>
      <w:r>
        <w:rPr>
          <w:rFonts w:eastAsia="仿宋"/>
          <w:b w:val="0"/>
          <w:bCs w:val="0"/>
          <w:sz w:val="32"/>
          <w:szCs w:val="32"/>
          <w:highlight w:val="none"/>
        </w:rPr>
        <w:t>万元，同比增长</w:t>
      </w:r>
      <w:r>
        <w:rPr>
          <w:rFonts w:hint="eastAsia" w:eastAsia="仿宋"/>
          <w:b w:val="0"/>
          <w:bCs w:val="0"/>
          <w:sz w:val="32"/>
          <w:szCs w:val="32"/>
          <w:highlight w:val="none"/>
          <w:lang w:val="en-US" w:eastAsia="zh-CN"/>
        </w:rPr>
        <w:t>4.7</w:t>
      </w:r>
      <w:r>
        <w:rPr>
          <w:rFonts w:eastAsia="仿宋"/>
          <w:b w:val="0"/>
          <w:bCs w:val="0"/>
          <w:sz w:val="32"/>
          <w:szCs w:val="32"/>
          <w:highlight w:val="none"/>
        </w:rPr>
        <w:t>%；科学技术支出</w:t>
      </w:r>
      <w:r>
        <w:rPr>
          <w:rFonts w:hint="eastAsia" w:eastAsia="仿宋"/>
          <w:b w:val="0"/>
          <w:bCs w:val="0"/>
          <w:sz w:val="32"/>
          <w:szCs w:val="32"/>
          <w:highlight w:val="none"/>
          <w:lang w:val="en-US" w:eastAsia="zh-CN"/>
        </w:rPr>
        <w:t>15207</w:t>
      </w:r>
      <w:r>
        <w:rPr>
          <w:rFonts w:eastAsia="仿宋"/>
          <w:b w:val="0"/>
          <w:bCs w:val="0"/>
          <w:sz w:val="32"/>
          <w:szCs w:val="32"/>
          <w:highlight w:val="none"/>
        </w:rPr>
        <w:t>万元，同比</w:t>
      </w:r>
      <w:r>
        <w:rPr>
          <w:rFonts w:hint="eastAsia" w:eastAsia="仿宋"/>
          <w:b w:val="0"/>
          <w:bCs w:val="0"/>
          <w:sz w:val="32"/>
          <w:szCs w:val="32"/>
          <w:highlight w:val="none"/>
          <w:lang w:val="en-US" w:eastAsia="zh-CN"/>
        </w:rPr>
        <w:t>增长31.2</w:t>
      </w:r>
      <w:r>
        <w:rPr>
          <w:rFonts w:eastAsia="仿宋"/>
          <w:b w:val="0"/>
          <w:bCs w:val="0"/>
          <w:sz w:val="32"/>
          <w:szCs w:val="32"/>
          <w:highlight w:val="none"/>
        </w:rPr>
        <w:t>%；文化</w:t>
      </w:r>
      <w:r>
        <w:rPr>
          <w:rFonts w:hint="eastAsia" w:eastAsia="仿宋"/>
          <w:b w:val="0"/>
          <w:bCs w:val="0"/>
          <w:sz w:val="32"/>
          <w:szCs w:val="32"/>
          <w:highlight w:val="none"/>
          <w:lang w:val="en-US" w:eastAsia="zh-CN"/>
        </w:rPr>
        <w:t>旅游</w:t>
      </w:r>
      <w:r>
        <w:rPr>
          <w:rFonts w:eastAsia="仿宋"/>
          <w:b w:val="0"/>
          <w:bCs w:val="0"/>
          <w:sz w:val="32"/>
          <w:szCs w:val="32"/>
          <w:highlight w:val="none"/>
        </w:rPr>
        <w:t>体育与传媒支出</w:t>
      </w:r>
      <w:r>
        <w:rPr>
          <w:rFonts w:hint="eastAsia" w:eastAsia="仿宋"/>
          <w:b w:val="0"/>
          <w:bCs w:val="0"/>
          <w:sz w:val="32"/>
          <w:szCs w:val="32"/>
          <w:highlight w:val="none"/>
          <w:lang w:val="en-US" w:eastAsia="zh-CN"/>
        </w:rPr>
        <w:t>7259</w:t>
      </w:r>
      <w:r>
        <w:rPr>
          <w:rFonts w:eastAsia="仿宋"/>
          <w:b w:val="0"/>
          <w:bCs w:val="0"/>
          <w:sz w:val="32"/>
          <w:szCs w:val="32"/>
          <w:highlight w:val="none"/>
        </w:rPr>
        <w:t>万元，同比</w:t>
      </w:r>
      <w:r>
        <w:rPr>
          <w:rFonts w:hint="eastAsia" w:eastAsia="仿宋"/>
          <w:b w:val="0"/>
          <w:bCs w:val="0"/>
          <w:sz w:val="32"/>
          <w:szCs w:val="32"/>
          <w:highlight w:val="none"/>
          <w:lang w:val="en-US" w:eastAsia="zh-CN"/>
        </w:rPr>
        <w:t>下降7.1</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社会保障和就业支出</w:t>
      </w:r>
      <w:r>
        <w:rPr>
          <w:rFonts w:hint="eastAsia" w:eastAsia="仿宋"/>
          <w:b w:val="0"/>
          <w:bCs w:val="0"/>
          <w:sz w:val="32"/>
          <w:szCs w:val="32"/>
          <w:highlight w:val="none"/>
          <w:lang w:val="en-US" w:eastAsia="zh-CN"/>
        </w:rPr>
        <w:t>57693</w:t>
      </w:r>
      <w:r>
        <w:rPr>
          <w:rFonts w:eastAsia="仿宋"/>
          <w:b w:val="0"/>
          <w:bCs w:val="0"/>
          <w:sz w:val="32"/>
          <w:szCs w:val="32"/>
          <w:highlight w:val="none"/>
        </w:rPr>
        <w:t>万元，同比</w:t>
      </w:r>
      <w:r>
        <w:rPr>
          <w:rFonts w:hint="eastAsia" w:eastAsia="仿宋"/>
          <w:b w:val="0"/>
          <w:bCs w:val="0"/>
          <w:sz w:val="32"/>
          <w:szCs w:val="32"/>
          <w:highlight w:val="none"/>
          <w:lang w:val="en-US" w:eastAsia="zh-CN"/>
        </w:rPr>
        <w:t>增长23.9</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卫生健康支出</w:t>
      </w:r>
      <w:r>
        <w:rPr>
          <w:rFonts w:hint="eastAsia" w:eastAsia="仿宋"/>
          <w:b w:val="0"/>
          <w:bCs w:val="0"/>
          <w:sz w:val="32"/>
          <w:szCs w:val="32"/>
          <w:highlight w:val="none"/>
          <w:lang w:val="en-US" w:eastAsia="zh-CN"/>
        </w:rPr>
        <w:t>30805</w:t>
      </w:r>
      <w:r>
        <w:rPr>
          <w:rFonts w:eastAsia="仿宋"/>
          <w:b w:val="0"/>
          <w:bCs w:val="0"/>
          <w:sz w:val="32"/>
          <w:szCs w:val="32"/>
          <w:highlight w:val="none"/>
        </w:rPr>
        <w:t>万元，同比</w:t>
      </w:r>
      <w:r>
        <w:rPr>
          <w:rFonts w:hint="eastAsia" w:eastAsia="仿宋"/>
          <w:b w:val="0"/>
          <w:bCs w:val="0"/>
          <w:sz w:val="32"/>
          <w:szCs w:val="32"/>
          <w:highlight w:val="none"/>
          <w:lang w:val="en-US" w:eastAsia="zh-CN"/>
        </w:rPr>
        <w:t>增长10.3</w:t>
      </w:r>
      <w:r>
        <w:rPr>
          <w:rFonts w:eastAsia="仿宋"/>
          <w:b w:val="0"/>
          <w:bCs w:val="0"/>
          <w:sz w:val="32"/>
          <w:szCs w:val="32"/>
          <w:highlight w:val="none"/>
        </w:rPr>
        <w:t>%；节能环保支出</w:t>
      </w:r>
      <w:r>
        <w:rPr>
          <w:rFonts w:hint="eastAsia" w:eastAsia="仿宋"/>
          <w:b w:val="0"/>
          <w:bCs w:val="0"/>
          <w:sz w:val="32"/>
          <w:szCs w:val="32"/>
          <w:highlight w:val="none"/>
          <w:lang w:val="en-US" w:eastAsia="zh-CN"/>
        </w:rPr>
        <w:t>21204</w:t>
      </w:r>
      <w:r>
        <w:rPr>
          <w:rFonts w:eastAsia="仿宋"/>
          <w:b w:val="0"/>
          <w:bCs w:val="0"/>
          <w:sz w:val="32"/>
          <w:szCs w:val="32"/>
          <w:highlight w:val="none"/>
        </w:rPr>
        <w:t>万元，同比增</w:t>
      </w:r>
      <w:r>
        <w:rPr>
          <w:rFonts w:hint="eastAsia" w:eastAsia="仿宋"/>
          <w:b w:val="0"/>
          <w:bCs w:val="0"/>
          <w:sz w:val="32"/>
          <w:szCs w:val="32"/>
          <w:highlight w:val="none"/>
        </w:rPr>
        <w:t>长</w:t>
      </w:r>
      <w:r>
        <w:rPr>
          <w:rFonts w:hint="eastAsia" w:eastAsia="仿宋"/>
          <w:b w:val="0"/>
          <w:bCs w:val="0"/>
          <w:sz w:val="32"/>
          <w:szCs w:val="32"/>
          <w:highlight w:val="none"/>
          <w:lang w:val="en-US" w:eastAsia="zh-CN"/>
        </w:rPr>
        <w:t>3.2</w:t>
      </w:r>
      <w:r>
        <w:rPr>
          <w:rFonts w:eastAsia="仿宋"/>
          <w:b w:val="0"/>
          <w:bCs w:val="0"/>
          <w:sz w:val="32"/>
          <w:szCs w:val="32"/>
          <w:highlight w:val="none"/>
        </w:rPr>
        <w:t>%；城乡社区事务支出</w:t>
      </w:r>
      <w:r>
        <w:rPr>
          <w:rFonts w:hint="eastAsia" w:eastAsia="仿宋"/>
          <w:b w:val="0"/>
          <w:bCs w:val="0"/>
          <w:sz w:val="32"/>
          <w:szCs w:val="32"/>
          <w:highlight w:val="none"/>
          <w:lang w:val="en-US" w:eastAsia="zh-CN"/>
        </w:rPr>
        <w:t>33566</w:t>
      </w:r>
      <w:r>
        <w:rPr>
          <w:rFonts w:eastAsia="仿宋"/>
          <w:b w:val="0"/>
          <w:bCs w:val="0"/>
          <w:sz w:val="32"/>
          <w:szCs w:val="32"/>
          <w:highlight w:val="none"/>
        </w:rPr>
        <w:t>元，同比</w:t>
      </w:r>
      <w:r>
        <w:rPr>
          <w:rFonts w:hint="eastAsia" w:eastAsia="仿宋"/>
          <w:b w:val="0"/>
          <w:bCs w:val="0"/>
          <w:sz w:val="32"/>
          <w:szCs w:val="32"/>
          <w:highlight w:val="none"/>
          <w:lang w:val="en-US" w:eastAsia="zh-CN"/>
        </w:rPr>
        <w:t>增长33.1</w:t>
      </w:r>
      <w:r>
        <w:rPr>
          <w:rFonts w:eastAsia="仿宋"/>
          <w:b w:val="0"/>
          <w:bCs w:val="0"/>
          <w:sz w:val="32"/>
          <w:szCs w:val="32"/>
          <w:highlight w:val="none"/>
        </w:rPr>
        <w:t>%；农林水支出</w:t>
      </w:r>
      <w:r>
        <w:rPr>
          <w:rFonts w:hint="eastAsia" w:eastAsia="仿宋"/>
          <w:b w:val="0"/>
          <w:bCs w:val="0"/>
          <w:sz w:val="32"/>
          <w:szCs w:val="32"/>
          <w:highlight w:val="none"/>
          <w:lang w:val="en-US" w:eastAsia="zh-CN"/>
        </w:rPr>
        <w:t>81609</w:t>
      </w:r>
      <w:r>
        <w:rPr>
          <w:rFonts w:eastAsia="仿宋"/>
          <w:b w:val="0"/>
          <w:bCs w:val="0"/>
          <w:sz w:val="32"/>
          <w:szCs w:val="32"/>
          <w:highlight w:val="none"/>
        </w:rPr>
        <w:t>万元，同比</w:t>
      </w:r>
      <w:r>
        <w:rPr>
          <w:rFonts w:hint="eastAsia" w:eastAsia="仿宋"/>
          <w:b w:val="0"/>
          <w:bCs w:val="0"/>
          <w:sz w:val="32"/>
          <w:szCs w:val="32"/>
          <w:highlight w:val="none"/>
          <w:lang w:val="en-US" w:eastAsia="zh-CN"/>
        </w:rPr>
        <w:t>增长9.7</w:t>
      </w:r>
      <w:r>
        <w:rPr>
          <w:rFonts w:eastAsia="仿宋"/>
          <w:b w:val="0"/>
          <w:bCs w:val="0"/>
          <w:sz w:val="32"/>
          <w:szCs w:val="32"/>
          <w:highlight w:val="none"/>
        </w:rPr>
        <w:t>%；交通运输支出</w:t>
      </w:r>
      <w:r>
        <w:rPr>
          <w:rFonts w:hint="eastAsia" w:eastAsia="仿宋"/>
          <w:b w:val="0"/>
          <w:bCs w:val="0"/>
          <w:sz w:val="32"/>
          <w:szCs w:val="32"/>
          <w:highlight w:val="none"/>
          <w:lang w:val="en-US" w:eastAsia="zh-CN"/>
        </w:rPr>
        <w:t>12408</w:t>
      </w:r>
      <w:r>
        <w:rPr>
          <w:rFonts w:eastAsia="仿宋"/>
          <w:b w:val="0"/>
          <w:bCs w:val="0"/>
          <w:sz w:val="32"/>
          <w:szCs w:val="32"/>
          <w:highlight w:val="none"/>
        </w:rPr>
        <w:t>万元，同比</w:t>
      </w:r>
      <w:r>
        <w:rPr>
          <w:rFonts w:hint="eastAsia" w:eastAsia="仿宋"/>
          <w:b w:val="0"/>
          <w:bCs w:val="0"/>
          <w:sz w:val="32"/>
          <w:szCs w:val="32"/>
          <w:highlight w:val="none"/>
          <w:lang w:val="en-US" w:eastAsia="zh-CN"/>
        </w:rPr>
        <w:t>增长53.3</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资源勘探</w:t>
      </w:r>
      <w:r>
        <w:rPr>
          <w:rFonts w:hint="eastAsia" w:eastAsia="仿宋"/>
          <w:b w:val="0"/>
          <w:bCs w:val="0"/>
          <w:sz w:val="32"/>
          <w:szCs w:val="32"/>
          <w:highlight w:val="none"/>
          <w:lang w:val="en-US" w:eastAsia="zh-CN"/>
        </w:rPr>
        <w:t>工业</w:t>
      </w:r>
      <w:r>
        <w:rPr>
          <w:rFonts w:eastAsia="仿宋"/>
          <w:b w:val="0"/>
          <w:bCs w:val="0"/>
          <w:sz w:val="32"/>
          <w:szCs w:val="32"/>
          <w:highlight w:val="none"/>
        </w:rPr>
        <w:t>信息等事务支出</w:t>
      </w:r>
      <w:r>
        <w:rPr>
          <w:rFonts w:hint="eastAsia" w:eastAsia="仿宋"/>
          <w:b w:val="0"/>
          <w:bCs w:val="0"/>
          <w:sz w:val="32"/>
          <w:szCs w:val="32"/>
          <w:highlight w:val="none"/>
          <w:lang w:val="en-US" w:eastAsia="zh-CN"/>
        </w:rPr>
        <w:t>55486</w:t>
      </w:r>
      <w:r>
        <w:rPr>
          <w:rFonts w:eastAsia="仿宋"/>
          <w:b w:val="0"/>
          <w:bCs w:val="0"/>
          <w:sz w:val="32"/>
          <w:szCs w:val="32"/>
          <w:highlight w:val="none"/>
        </w:rPr>
        <w:t>万元，同比</w:t>
      </w:r>
      <w:r>
        <w:rPr>
          <w:rFonts w:hint="eastAsia" w:eastAsia="仿宋"/>
          <w:b w:val="0"/>
          <w:bCs w:val="0"/>
          <w:sz w:val="32"/>
          <w:szCs w:val="32"/>
          <w:highlight w:val="none"/>
          <w:lang w:val="en-US" w:eastAsia="zh-CN"/>
        </w:rPr>
        <w:t>增长46.2</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商业服务业等事务支出</w:t>
      </w:r>
      <w:r>
        <w:rPr>
          <w:rFonts w:hint="eastAsia" w:eastAsia="仿宋"/>
          <w:b w:val="0"/>
          <w:bCs w:val="0"/>
          <w:sz w:val="32"/>
          <w:szCs w:val="32"/>
          <w:highlight w:val="none"/>
          <w:lang w:val="en-US" w:eastAsia="zh-CN"/>
        </w:rPr>
        <w:t>2324</w:t>
      </w:r>
      <w:r>
        <w:rPr>
          <w:rFonts w:eastAsia="仿宋"/>
          <w:b w:val="0"/>
          <w:bCs w:val="0"/>
          <w:sz w:val="32"/>
          <w:szCs w:val="32"/>
          <w:highlight w:val="none"/>
        </w:rPr>
        <w:t>万元，同比</w:t>
      </w:r>
      <w:r>
        <w:rPr>
          <w:rFonts w:hint="eastAsia" w:eastAsia="仿宋"/>
          <w:b w:val="0"/>
          <w:bCs w:val="0"/>
          <w:sz w:val="32"/>
          <w:szCs w:val="32"/>
          <w:highlight w:val="none"/>
        </w:rPr>
        <w:t>下降</w:t>
      </w:r>
      <w:r>
        <w:rPr>
          <w:rFonts w:hint="eastAsia" w:eastAsia="仿宋"/>
          <w:b w:val="0"/>
          <w:bCs w:val="0"/>
          <w:sz w:val="32"/>
          <w:szCs w:val="32"/>
          <w:highlight w:val="none"/>
          <w:lang w:val="en-US" w:eastAsia="zh-CN"/>
        </w:rPr>
        <w:t>37.3</w:t>
      </w:r>
      <w:r>
        <w:rPr>
          <w:rFonts w:eastAsia="仿宋"/>
          <w:b w:val="0"/>
          <w:bCs w:val="0"/>
          <w:sz w:val="32"/>
          <w:szCs w:val="32"/>
          <w:highlight w:val="none"/>
        </w:rPr>
        <w:t>%</w:t>
      </w:r>
      <w:r>
        <w:rPr>
          <w:rFonts w:hint="eastAsia" w:eastAsia="仿宋"/>
          <w:b w:val="0"/>
          <w:bCs w:val="0"/>
          <w:sz w:val="32"/>
          <w:szCs w:val="32"/>
          <w:highlight w:val="none"/>
        </w:rPr>
        <w:t>；</w:t>
      </w:r>
      <w:r>
        <w:rPr>
          <w:rFonts w:hint="eastAsia" w:eastAsia="仿宋"/>
          <w:b w:val="0"/>
          <w:bCs w:val="0"/>
          <w:sz w:val="32"/>
          <w:szCs w:val="32"/>
          <w:highlight w:val="none"/>
          <w:lang w:val="en-US" w:eastAsia="zh-CN"/>
        </w:rPr>
        <w:t>金融支出128万元，同比增长1.6%；</w:t>
      </w:r>
      <w:r>
        <w:rPr>
          <w:rFonts w:eastAsia="仿宋"/>
          <w:b w:val="0"/>
          <w:bCs w:val="0"/>
          <w:sz w:val="32"/>
          <w:szCs w:val="32"/>
          <w:highlight w:val="none"/>
        </w:rPr>
        <w:t>自然资源海洋气象等支出</w:t>
      </w:r>
      <w:r>
        <w:rPr>
          <w:rFonts w:hint="eastAsia" w:eastAsia="仿宋"/>
          <w:b w:val="0"/>
          <w:bCs w:val="0"/>
          <w:sz w:val="32"/>
          <w:szCs w:val="32"/>
          <w:highlight w:val="none"/>
          <w:lang w:val="en-US" w:eastAsia="zh-CN"/>
        </w:rPr>
        <w:t>2086</w:t>
      </w:r>
      <w:r>
        <w:rPr>
          <w:rFonts w:eastAsia="仿宋"/>
          <w:b w:val="0"/>
          <w:bCs w:val="0"/>
          <w:sz w:val="32"/>
          <w:szCs w:val="32"/>
          <w:highlight w:val="none"/>
        </w:rPr>
        <w:t>万元，同比</w:t>
      </w:r>
      <w:r>
        <w:rPr>
          <w:rFonts w:hint="eastAsia" w:eastAsia="仿宋"/>
          <w:b w:val="0"/>
          <w:bCs w:val="0"/>
          <w:sz w:val="32"/>
          <w:szCs w:val="32"/>
          <w:highlight w:val="none"/>
          <w:lang w:val="en-US" w:eastAsia="zh-CN"/>
        </w:rPr>
        <w:t>下降2.6</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住房保障支出</w:t>
      </w:r>
      <w:r>
        <w:rPr>
          <w:rFonts w:hint="eastAsia" w:eastAsia="仿宋"/>
          <w:b w:val="0"/>
          <w:bCs w:val="0"/>
          <w:sz w:val="32"/>
          <w:szCs w:val="32"/>
          <w:highlight w:val="none"/>
          <w:lang w:val="en-US" w:eastAsia="zh-CN"/>
        </w:rPr>
        <w:t>3349</w:t>
      </w:r>
      <w:r>
        <w:rPr>
          <w:rFonts w:eastAsia="仿宋"/>
          <w:b w:val="0"/>
          <w:bCs w:val="0"/>
          <w:sz w:val="32"/>
          <w:szCs w:val="32"/>
          <w:highlight w:val="none"/>
        </w:rPr>
        <w:t>万元，同比</w:t>
      </w:r>
      <w:r>
        <w:rPr>
          <w:rFonts w:hint="eastAsia" w:eastAsia="仿宋"/>
          <w:b w:val="0"/>
          <w:bCs w:val="0"/>
          <w:sz w:val="32"/>
          <w:szCs w:val="32"/>
          <w:highlight w:val="none"/>
          <w:lang w:val="en-US" w:eastAsia="zh-CN"/>
        </w:rPr>
        <w:t>下降66.3</w:t>
      </w:r>
      <w:r>
        <w:rPr>
          <w:rFonts w:eastAsia="仿宋"/>
          <w:b w:val="0"/>
          <w:bCs w:val="0"/>
          <w:sz w:val="32"/>
          <w:szCs w:val="32"/>
          <w:highlight w:val="none"/>
        </w:rPr>
        <w:t>%；粮油物资储备支出</w:t>
      </w:r>
      <w:r>
        <w:rPr>
          <w:rFonts w:hint="eastAsia" w:eastAsia="仿宋"/>
          <w:b w:val="0"/>
          <w:bCs w:val="0"/>
          <w:sz w:val="32"/>
          <w:szCs w:val="32"/>
          <w:highlight w:val="none"/>
          <w:lang w:val="en-US" w:eastAsia="zh-CN"/>
        </w:rPr>
        <w:t>3094</w:t>
      </w:r>
      <w:r>
        <w:rPr>
          <w:rFonts w:eastAsia="仿宋"/>
          <w:b w:val="0"/>
          <w:bCs w:val="0"/>
          <w:sz w:val="32"/>
          <w:szCs w:val="32"/>
          <w:highlight w:val="none"/>
        </w:rPr>
        <w:t>万元，同比</w:t>
      </w:r>
      <w:r>
        <w:rPr>
          <w:rFonts w:hint="eastAsia" w:eastAsia="仿宋"/>
          <w:b w:val="0"/>
          <w:bCs w:val="0"/>
          <w:sz w:val="32"/>
          <w:szCs w:val="32"/>
          <w:highlight w:val="none"/>
          <w:lang w:val="en-US" w:eastAsia="zh-CN"/>
        </w:rPr>
        <w:t>增长302.4</w:t>
      </w:r>
      <w:r>
        <w:rPr>
          <w:rFonts w:eastAsia="仿宋"/>
          <w:b w:val="0"/>
          <w:bCs w:val="0"/>
          <w:sz w:val="32"/>
          <w:szCs w:val="32"/>
          <w:highlight w:val="none"/>
        </w:rPr>
        <w:t>%；灾害防治及应急管理支出</w:t>
      </w:r>
      <w:r>
        <w:rPr>
          <w:rFonts w:hint="eastAsia" w:eastAsia="仿宋"/>
          <w:b w:val="0"/>
          <w:bCs w:val="0"/>
          <w:sz w:val="32"/>
          <w:szCs w:val="32"/>
          <w:highlight w:val="none"/>
          <w:lang w:val="en-US" w:eastAsia="zh-CN"/>
        </w:rPr>
        <w:t>5107</w:t>
      </w:r>
      <w:r>
        <w:rPr>
          <w:rFonts w:eastAsia="仿宋"/>
          <w:b w:val="0"/>
          <w:bCs w:val="0"/>
          <w:sz w:val="32"/>
          <w:szCs w:val="32"/>
          <w:highlight w:val="none"/>
        </w:rPr>
        <w:t>万元，同比</w:t>
      </w:r>
      <w:r>
        <w:rPr>
          <w:rFonts w:hint="eastAsia" w:eastAsia="仿宋"/>
          <w:b w:val="0"/>
          <w:bCs w:val="0"/>
          <w:sz w:val="32"/>
          <w:szCs w:val="32"/>
          <w:highlight w:val="none"/>
          <w:lang w:val="en-US" w:eastAsia="zh-CN"/>
        </w:rPr>
        <w:t>下降31.3</w:t>
      </w:r>
      <w:r>
        <w:rPr>
          <w:rFonts w:eastAsia="仿宋"/>
          <w:b w:val="0"/>
          <w:bCs w:val="0"/>
          <w:sz w:val="32"/>
          <w:szCs w:val="32"/>
          <w:highlight w:val="none"/>
        </w:rPr>
        <w:t>%</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债务付息支出7846万元，同比增长6.3%；债务发行费用支出52万元，同比增长147.6%；其他支出5万元，同比下降98.9%</w:t>
      </w:r>
      <w:r>
        <w:rPr>
          <w:rFonts w:hint="eastAsia" w:eastAsia="仿宋"/>
          <w:b w:val="0"/>
          <w:bCs w:val="0"/>
          <w:sz w:val="32"/>
          <w:szCs w:val="32"/>
          <w:highlight w:val="none"/>
        </w:rPr>
        <w:t xml:space="preserve">。 </w:t>
      </w:r>
    </w:p>
    <w:p w14:paraId="265CF4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 w:val="0"/>
          <w:bCs w:val="0"/>
          <w:sz w:val="32"/>
          <w:szCs w:val="32"/>
          <w:highlight w:val="none"/>
        </w:rPr>
      </w:pPr>
      <w:r>
        <w:rPr>
          <w:rFonts w:eastAsia="黑体"/>
          <w:b w:val="0"/>
          <w:bCs w:val="0"/>
          <w:sz w:val="32"/>
          <w:szCs w:val="32"/>
          <w:highlight w:val="none"/>
        </w:rPr>
        <w:t>二、</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5</w:t>
      </w:r>
      <w:r>
        <w:rPr>
          <w:rFonts w:hint="eastAsia" w:ascii="黑体" w:hAnsi="黑体" w:eastAsia="黑体" w:cs="黑体"/>
          <w:b w:val="0"/>
          <w:bCs w:val="0"/>
          <w:sz w:val="32"/>
          <w:szCs w:val="32"/>
          <w:highlight w:val="none"/>
        </w:rPr>
        <w:t>年</w:t>
      </w:r>
      <w:r>
        <w:rPr>
          <w:rFonts w:eastAsia="黑体"/>
          <w:b w:val="0"/>
          <w:bCs w:val="0"/>
          <w:sz w:val="32"/>
          <w:szCs w:val="32"/>
          <w:highlight w:val="none"/>
        </w:rPr>
        <w:t>政府性基金预算收支执行情况</w:t>
      </w:r>
    </w:p>
    <w:p w14:paraId="56851DC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（一）政府性基金预算收入情况</w:t>
      </w:r>
    </w:p>
    <w:p w14:paraId="5DD9F125">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
          <w:b w:val="0"/>
          <w:bCs w:val="0"/>
          <w:sz w:val="32"/>
          <w:szCs w:val="32"/>
          <w:highlight w:val="none"/>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hint="eastAsia" w:eastAsia="仿宋"/>
          <w:b w:val="0"/>
          <w:bCs w:val="0"/>
          <w:sz w:val="32"/>
          <w:szCs w:val="32"/>
          <w:highlight w:val="none"/>
        </w:rPr>
        <w:t>年全年政府性基金收入</w:t>
      </w:r>
      <w:r>
        <w:rPr>
          <w:rFonts w:hint="eastAsia" w:eastAsia="仿宋"/>
          <w:b w:val="0"/>
          <w:bCs w:val="0"/>
          <w:sz w:val="32"/>
          <w:szCs w:val="32"/>
          <w:highlight w:val="none"/>
          <w:lang w:val="en-US" w:eastAsia="zh-CN"/>
        </w:rPr>
        <w:t>102936</w:t>
      </w:r>
      <w:r>
        <w:rPr>
          <w:rFonts w:hint="eastAsia" w:eastAsia="仿宋"/>
          <w:b w:val="0"/>
          <w:bCs w:val="0"/>
          <w:sz w:val="32"/>
          <w:szCs w:val="32"/>
          <w:highlight w:val="none"/>
        </w:rPr>
        <w:t>万元</w:t>
      </w:r>
      <w:r>
        <w:rPr>
          <w:rFonts w:hint="eastAsia" w:eastAsia="仿宋"/>
          <w:b w:val="0"/>
          <w:bCs w:val="0"/>
          <w:sz w:val="32"/>
          <w:szCs w:val="32"/>
          <w:highlight w:val="none"/>
          <w:lang w:eastAsia="zh-CN"/>
        </w:rPr>
        <w:t>，</w:t>
      </w:r>
      <w:r>
        <w:rPr>
          <w:rFonts w:eastAsia="仿宋"/>
          <w:b w:val="0"/>
          <w:bCs w:val="0"/>
          <w:sz w:val="32"/>
          <w:szCs w:val="32"/>
          <w:highlight w:val="none"/>
        </w:rPr>
        <w:t>同比</w:t>
      </w:r>
      <w:r>
        <w:rPr>
          <w:rFonts w:hint="eastAsia" w:eastAsia="仿宋"/>
          <w:b w:val="0"/>
          <w:bCs w:val="0"/>
          <w:sz w:val="32"/>
          <w:szCs w:val="32"/>
          <w:highlight w:val="none"/>
          <w:lang w:val="en-US" w:eastAsia="zh-CN"/>
        </w:rPr>
        <w:t>下降4.8%</w:t>
      </w:r>
      <w:r>
        <w:rPr>
          <w:rFonts w:eastAsia="仿宋"/>
          <w:b w:val="0"/>
          <w:bCs w:val="0"/>
          <w:sz w:val="32"/>
          <w:szCs w:val="32"/>
          <w:highlight w:val="none"/>
        </w:rPr>
        <w:t>，</w:t>
      </w:r>
      <w:r>
        <w:rPr>
          <w:rFonts w:hint="eastAsia" w:eastAsia="仿宋"/>
          <w:b w:val="0"/>
          <w:bCs w:val="0"/>
          <w:sz w:val="32"/>
          <w:szCs w:val="32"/>
          <w:highlight w:val="none"/>
        </w:rPr>
        <w:t>完成调整预算</w:t>
      </w:r>
      <w:r>
        <w:rPr>
          <w:rFonts w:hint="eastAsia" w:eastAsia="仿宋"/>
          <w:b w:val="0"/>
          <w:bCs w:val="0"/>
          <w:sz w:val="32"/>
          <w:szCs w:val="32"/>
          <w:highlight w:val="none"/>
          <w:lang w:val="en-US" w:eastAsia="zh-CN"/>
        </w:rPr>
        <w:t>数</w:t>
      </w:r>
      <w:r>
        <w:rPr>
          <w:rFonts w:hint="eastAsia" w:eastAsia="仿宋"/>
          <w:b w:val="0"/>
          <w:bCs w:val="0"/>
          <w:sz w:val="32"/>
          <w:szCs w:val="32"/>
          <w:highlight w:val="none"/>
        </w:rPr>
        <w:t>的</w:t>
      </w:r>
      <w:r>
        <w:rPr>
          <w:rFonts w:hint="eastAsia" w:ascii="Times New Roman" w:hAnsi="Times New Roman" w:eastAsia="仿宋" w:cs="Times New Roman"/>
          <w:b w:val="0"/>
          <w:bCs w:val="0"/>
          <w:sz w:val="32"/>
          <w:szCs w:val="32"/>
          <w:highlight w:val="none"/>
          <w:lang w:val="en-US" w:eastAsia="zh-CN"/>
        </w:rPr>
        <w:t>106.9</w:t>
      </w:r>
      <w:r>
        <w:rPr>
          <w:rFonts w:hint="eastAsia" w:eastAsia="仿宋"/>
          <w:b w:val="0"/>
          <w:bCs w:val="0"/>
          <w:sz w:val="32"/>
          <w:szCs w:val="32"/>
          <w:highlight w:val="none"/>
        </w:rPr>
        <w:t>%</w:t>
      </w:r>
      <w:r>
        <w:rPr>
          <w:rFonts w:hint="eastAsia" w:eastAsia="仿宋"/>
          <w:b w:val="0"/>
          <w:bCs w:val="0"/>
          <w:sz w:val="32"/>
          <w:szCs w:val="32"/>
          <w:highlight w:val="none"/>
          <w:lang w:eastAsia="zh-CN"/>
        </w:rPr>
        <w:t>，</w:t>
      </w:r>
      <w:r>
        <w:rPr>
          <w:rFonts w:hint="eastAsia" w:eastAsia="仿宋"/>
          <w:b w:val="0"/>
          <w:bCs w:val="0"/>
          <w:sz w:val="32"/>
          <w:szCs w:val="32"/>
          <w:highlight w:val="none"/>
        </w:rPr>
        <w:t>其中</w:t>
      </w:r>
      <w:r>
        <w:rPr>
          <w:rFonts w:eastAsia="仿宋"/>
          <w:b w:val="0"/>
          <w:bCs w:val="0"/>
          <w:sz w:val="32"/>
          <w:szCs w:val="32"/>
          <w:highlight w:val="none"/>
        </w:rPr>
        <w:t>：国有土地使用权出让收入</w:t>
      </w:r>
      <w:r>
        <w:rPr>
          <w:rFonts w:hint="eastAsia" w:eastAsia="仿宋"/>
          <w:b w:val="0"/>
          <w:bCs w:val="0"/>
          <w:sz w:val="32"/>
          <w:szCs w:val="32"/>
          <w:highlight w:val="none"/>
          <w:lang w:val="en-US" w:eastAsia="zh-CN"/>
        </w:rPr>
        <w:t>85844</w:t>
      </w:r>
      <w:r>
        <w:rPr>
          <w:rFonts w:eastAsia="仿宋"/>
          <w:b w:val="0"/>
          <w:bCs w:val="0"/>
          <w:sz w:val="32"/>
          <w:szCs w:val="32"/>
          <w:highlight w:val="none"/>
        </w:rPr>
        <w:t>万元</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同比下降10.5%；</w:t>
      </w:r>
      <w:r>
        <w:rPr>
          <w:rFonts w:eastAsia="仿宋"/>
          <w:b w:val="0"/>
          <w:bCs w:val="0"/>
          <w:sz w:val="32"/>
          <w:szCs w:val="32"/>
          <w:highlight w:val="none"/>
        </w:rPr>
        <w:t>彩票公益金收入</w:t>
      </w:r>
      <w:r>
        <w:rPr>
          <w:rFonts w:hint="eastAsia" w:eastAsia="仿宋"/>
          <w:b w:val="0"/>
          <w:bCs w:val="0"/>
          <w:sz w:val="32"/>
          <w:szCs w:val="32"/>
          <w:highlight w:val="none"/>
          <w:lang w:val="en-US" w:eastAsia="zh-CN"/>
        </w:rPr>
        <w:t>591</w:t>
      </w:r>
      <w:r>
        <w:rPr>
          <w:rFonts w:eastAsia="仿宋"/>
          <w:b w:val="0"/>
          <w:bCs w:val="0"/>
          <w:sz w:val="32"/>
          <w:szCs w:val="32"/>
          <w:highlight w:val="none"/>
        </w:rPr>
        <w:t>万元</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同比增长38.1%；</w:t>
      </w:r>
      <w:r>
        <w:rPr>
          <w:rFonts w:hint="eastAsia" w:eastAsia="仿宋"/>
          <w:b w:val="0"/>
          <w:bCs w:val="0"/>
          <w:sz w:val="32"/>
          <w:szCs w:val="32"/>
          <w:highlight w:val="none"/>
        </w:rPr>
        <w:t>城市基础设施配套费收入</w:t>
      </w:r>
      <w:r>
        <w:rPr>
          <w:rFonts w:hint="eastAsia" w:eastAsia="仿宋"/>
          <w:b w:val="0"/>
          <w:bCs w:val="0"/>
          <w:sz w:val="32"/>
          <w:szCs w:val="32"/>
          <w:highlight w:val="none"/>
          <w:lang w:val="en-US" w:eastAsia="zh-CN"/>
        </w:rPr>
        <w:t>101</w:t>
      </w:r>
      <w:r>
        <w:rPr>
          <w:rFonts w:eastAsia="仿宋"/>
          <w:b w:val="0"/>
          <w:bCs w:val="0"/>
          <w:sz w:val="32"/>
          <w:szCs w:val="32"/>
          <w:highlight w:val="none"/>
        </w:rPr>
        <w:t>万元</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同比增长172.4%；</w:t>
      </w:r>
      <w:r>
        <w:rPr>
          <w:rFonts w:hint="eastAsia" w:eastAsia="仿宋"/>
          <w:b w:val="0"/>
          <w:bCs w:val="0"/>
          <w:sz w:val="32"/>
          <w:szCs w:val="32"/>
          <w:highlight w:val="none"/>
        </w:rPr>
        <w:t>污水处理费收入</w:t>
      </w:r>
      <w:r>
        <w:rPr>
          <w:rFonts w:hint="eastAsia" w:eastAsia="仿宋"/>
          <w:b w:val="0"/>
          <w:bCs w:val="0"/>
          <w:sz w:val="32"/>
          <w:szCs w:val="32"/>
          <w:highlight w:val="none"/>
          <w:lang w:val="en-US" w:eastAsia="zh-CN"/>
        </w:rPr>
        <w:t>1343</w:t>
      </w:r>
      <w:r>
        <w:rPr>
          <w:rFonts w:hint="eastAsia" w:eastAsia="仿宋"/>
          <w:b w:val="0"/>
          <w:bCs w:val="0"/>
          <w:sz w:val="32"/>
          <w:szCs w:val="32"/>
          <w:highlight w:val="none"/>
        </w:rPr>
        <w:t>万元</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同比增长195.8%；其它政府性基金收入15057万元，同比增长32.5%</w:t>
      </w:r>
      <w:r>
        <w:rPr>
          <w:rFonts w:hint="eastAsia" w:eastAsia="仿宋"/>
          <w:b w:val="0"/>
          <w:bCs w:val="0"/>
          <w:sz w:val="32"/>
          <w:szCs w:val="32"/>
          <w:highlight w:val="none"/>
        </w:rPr>
        <w:t>。</w:t>
      </w:r>
    </w:p>
    <w:p w14:paraId="003569E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 xml:space="preserve">（二）政府性基金预算支出情况 </w:t>
      </w:r>
    </w:p>
    <w:p w14:paraId="400AA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hint="eastAsia" w:eastAsia="仿宋"/>
          <w:b w:val="0"/>
          <w:bCs w:val="0"/>
          <w:sz w:val="32"/>
          <w:szCs w:val="32"/>
          <w:highlight w:val="none"/>
        </w:rPr>
        <w:t>年全年政府性基金支出</w:t>
      </w:r>
      <w:r>
        <w:rPr>
          <w:rFonts w:hint="eastAsia" w:eastAsia="仿宋"/>
          <w:b w:val="0"/>
          <w:bCs w:val="0"/>
          <w:sz w:val="32"/>
          <w:szCs w:val="32"/>
          <w:highlight w:val="none"/>
          <w:lang w:val="en-US" w:eastAsia="zh-CN"/>
        </w:rPr>
        <w:t>282139</w:t>
      </w:r>
      <w:r>
        <w:rPr>
          <w:rFonts w:hint="eastAsia" w:eastAsia="仿宋"/>
          <w:b w:val="0"/>
          <w:bCs w:val="0"/>
          <w:sz w:val="32"/>
          <w:szCs w:val="32"/>
          <w:highlight w:val="none"/>
        </w:rPr>
        <w:t>万元</w:t>
      </w:r>
      <w:r>
        <w:rPr>
          <w:rFonts w:hint="eastAsia" w:eastAsia="仿宋"/>
          <w:b w:val="0"/>
          <w:bCs w:val="0"/>
          <w:sz w:val="32"/>
          <w:szCs w:val="32"/>
          <w:highlight w:val="none"/>
          <w:lang w:eastAsia="zh-CN"/>
        </w:rPr>
        <w:t>，</w:t>
      </w:r>
      <w:r>
        <w:rPr>
          <w:rFonts w:eastAsia="仿宋"/>
          <w:b w:val="0"/>
          <w:bCs w:val="0"/>
          <w:sz w:val="32"/>
          <w:szCs w:val="32"/>
          <w:highlight w:val="none"/>
        </w:rPr>
        <w:t>同比</w:t>
      </w:r>
      <w:r>
        <w:rPr>
          <w:rFonts w:hint="eastAsia" w:eastAsia="仿宋"/>
          <w:b w:val="0"/>
          <w:bCs w:val="0"/>
          <w:sz w:val="32"/>
          <w:szCs w:val="32"/>
          <w:highlight w:val="none"/>
          <w:lang w:val="en-US" w:eastAsia="zh-CN"/>
        </w:rPr>
        <w:t>下降0.3</w:t>
      </w:r>
      <w:r>
        <w:rPr>
          <w:rFonts w:eastAsia="仿宋"/>
          <w:b w:val="0"/>
          <w:bCs w:val="0"/>
          <w:sz w:val="32"/>
          <w:szCs w:val="32"/>
          <w:highlight w:val="none"/>
        </w:rPr>
        <w:t>%</w:t>
      </w:r>
      <w:r>
        <w:rPr>
          <w:rFonts w:hint="eastAsia" w:eastAsia="仿宋"/>
          <w:b w:val="0"/>
          <w:bCs w:val="0"/>
          <w:sz w:val="32"/>
          <w:szCs w:val="32"/>
          <w:highlight w:val="none"/>
        </w:rPr>
        <w:t>，完成年度调整预算的</w:t>
      </w:r>
      <w:r>
        <w:rPr>
          <w:rFonts w:hint="eastAsia" w:ascii="Times New Roman" w:hAnsi="Times New Roman" w:eastAsia="仿宋" w:cs="Times New Roman"/>
          <w:b w:val="0"/>
          <w:bCs w:val="0"/>
          <w:sz w:val="32"/>
          <w:szCs w:val="32"/>
          <w:highlight w:val="none"/>
          <w:lang w:val="en-US" w:eastAsia="zh-CN"/>
        </w:rPr>
        <w:t>88.3</w:t>
      </w:r>
      <w:r>
        <w:rPr>
          <w:rFonts w:hint="eastAsia" w:eastAsia="仿宋"/>
          <w:b w:val="0"/>
          <w:bCs w:val="0"/>
          <w:sz w:val="32"/>
          <w:szCs w:val="32"/>
          <w:highlight w:val="none"/>
        </w:rPr>
        <w:t>%。其中</w:t>
      </w:r>
      <w:r>
        <w:rPr>
          <w:rFonts w:eastAsia="仿宋"/>
          <w:b w:val="0"/>
          <w:bCs w:val="0"/>
          <w:sz w:val="32"/>
          <w:szCs w:val="32"/>
          <w:highlight w:val="none"/>
        </w:rPr>
        <w:t>：文化旅游体育与传媒支出</w:t>
      </w:r>
      <w:r>
        <w:rPr>
          <w:rFonts w:hint="eastAsia" w:eastAsia="仿宋"/>
          <w:b w:val="0"/>
          <w:bCs w:val="0"/>
          <w:sz w:val="32"/>
          <w:szCs w:val="32"/>
          <w:highlight w:val="none"/>
          <w:lang w:val="en-US" w:eastAsia="zh-CN"/>
        </w:rPr>
        <w:t>13</w:t>
      </w:r>
      <w:r>
        <w:rPr>
          <w:rFonts w:eastAsia="仿宋"/>
          <w:b w:val="0"/>
          <w:bCs w:val="0"/>
          <w:sz w:val="32"/>
          <w:szCs w:val="32"/>
          <w:highlight w:val="none"/>
        </w:rPr>
        <w:t>万元，同比</w:t>
      </w:r>
      <w:r>
        <w:rPr>
          <w:rFonts w:hint="eastAsia" w:eastAsia="仿宋"/>
          <w:b w:val="0"/>
          <w:bCs w:val="0"/>
          <w:sz w:val="32"/>
          <w:szCs w:val="32"/>
          <w:highlight w:val="none"/>
          <w:lang w:val="en-US" w:eastAsia="zh-CN"/>
        </w:rPr>
        <w:t>增长224.8</w:t>
      </w:r>
      <w:r>
        <w:rPr>
          <w:rFonts w:eastAsia="仿宋"/>
          <w:b w:val="0"/>
          <w:bCs w:val="0"/>
          <w:sz w:val="32"/>
          <w:szCs w:val="32"/>
          <w:highlight w:val="none"/>
        </w:rPr>
        <w:t>%</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节能环保支出10000万元，同比增长267.7%；</w:t>
      </w:r>
      <w:r>
        <w:rPr>
          <w:rFonts w:eastAsia="仿宋"/>
          <w:b w:val="0"/>
          <w:bCs w:val="0"/>
          <w:sz w:val="32"/>
          <w:szCs w:val="32"/>
          <w:highlight w:val="none"/>
        </w:rPr>
        <w:t>城乡社区支出</w:t>
      </w:r>
      <w:r>
        <w:rPr>
          <w:rFonts w:hint="eastAsia" w:eastAsia="仿宋"/>
          <w:b w:val="0"/>
          <w:bCs w:val="0"/>
          <w:sz w:val="32"/>
          <w:szCs w:val="32"/>
          <w:highlight w:val="none"/>
          <w:lang w:val="en-US" w:eastAsia="zh-CN"/>
        </w:rPr>
        <w:t>117688</w:t>
      </w:r>
      <w:r>
        <w:rPr>
          <w:rFonts w:eastAsia="仿宋"/>
          <w:b w:val="0"/>
          <w:bCs w:val="0"/>
          <w:sz w:val="32"/>
          <w:szCs w:val="32"/>
          <w:highlight w:val="none"/>
        </w:rPr>
        <w:t>万元，同比</w:t>
      </w:r>
      <w:r>
        <w:rPr>
          <w:rFonts w:hint="eastAsia" w:eastAsia="仿宋"/>
          <w:b w:val="0"/>
          <w:bCs w:val="0"/>
          <w:sz w:val="32"/>
          <w:szCs w:val="32"/>
          <w:highlight w:val="none"/>
          <w:lang w:val="en-US" w:eastAsia="zh-CN"/>
        </w:rPr>
        <w:t>增长47.3</w:t>
      </w:r>
      <w:r>
        <w:rPr>
          <w:rFonts w:eastAsia="仿宋"/>
          <w:b w:val="0"/>
          <w:bCs w:val="0"/>
          <w:sz w:val="32"/>
          <w:szCs w:val="32"/>
          <w:highlight w:val="none"/>
        </w:rPr>
        <w:t>%；</w:t>
      </w:r>
      <w:r>
        <w:rPr>
          <w:rFonts w:hint="eastAsia" w:eastAsia="仿宋"/>
          <w:b w:val="0"/>
          <w:bCs w:val="0"/>
          <w:sz w:val="32"/>
          <w:szCs w:val="32"/>
          <w:highlight w:val="none"/>
          <w:lang w:val="en-US" w:eastAsia="zh-CN"/>
        </w:rPr>
        <w:t>农林水支出1138万元，同比下降73.7%；交通运输支出269万元，同比下降86%；资源勘探工业信息等支出1025万元，同比下降26.2%；</w:t>
      </w:r>
      <w:r>
        <w:rPr>
          <w:rFonts w:eastAsia="仿宋"/>
          <w:b w:val="0"/>
          <w:bCs w:val="0"/>
          <w:sz w:val="32"/>
          <w:szCs w:val="32"/>
          <w:highlight w:val="none"/>
        </w:rPr>
        <w:t>其他支出</w:t>
      </w:r>
      <w:r>
        <w:rPr>
          <w:rFonts w:hint="eastAsia" w:eastAsia="仿宋"/>
          <w:b w:val="0"/>
          <w:bCs w:val="0"/>
          <w:sz w:val="32"/>
          <w:szCs w:val="32"/>
          <w:highlight w:val="none"/>
          <w:lang w:val="en-US" w:eastAsia="zh-CN"/>
        </w:rPr>
        <w:t>132640</w:t>
      </w:r>
      <w:r>
        <w:rPr>
          <w:rFonts w:eastAsia="仿宋"/>
          <w:b w:val="0"/>
          <w:bCs w:val="0"/>
          <w:sz w:val="32"/>
          <w:szCs w:val="32"/>
          <w:highlight w:val="none"/>
        </w:rPr>
        <w:t>万元，同比</w:t>
      </w:r>
      <w:r>
        <w:rPr>
          <w:rFonts w:hint="eastAsia" w:eastAsia="仿宋"/>
          <w:b w:val="0"/>
          <w:bCs w:val="0"/>
          <w:sz w:val="32"/>
          <w:szCs w:val="32"/>
          <w:highlight w:val="none"/>
          <w:lang w:val="en-US" w:eastAsia="zh-CN"/>
        </w:rPr>
        <w:t>下降25.5</w:t>
      </w:r>
      <w:r>
        <w:rPr>
          <w:rFonts w:hint="eastAsia" w:eastAsia="仿宋"/>
          <w:b w:val="0"/>
          <w:bCs w:val="0"/>
          <w:sz w:val="32"/>
          <w:szCs w:val="32"/>
          <w:highlight w:val="none"/>
        </w:rPr>
        <w:t>%</w:t>
      </w:r>
      <w:r>
        <w:rPr>
          <w:rFonts w:hint="eastAsia" w:eastAsia="仿宋"/>
          <w:b w:val="0"/>
          <w:bCs w:val="0"/>
          <w:sz w:val="32"/>
          <w:szCs w:val="32"/>
          <w:highlight w:val="none"/>
          <w:lang w:eastAsia="zh-CN"/>
        </w:rPr>
        <w:t>；</w:t>
      </w:r>
      <w:r>
        <w:rPr>
          <w:rFonts w:hint="eastAsia" w:eastAsia="仿宋"/>
          <w:b w:val="0"/>
          <w:bCs w:val="0"/>
          <w:sz w:val="32"/>
          <w:szCs w:val="32"/>
          <w:highlight w:val="none"/>
          <w:lang w:val="en-US" w:eastAsia="zh-CN"/>
        </w:rPr>
        <w:t>债务付息支出19189万元，同比增长32.8万元；债务发行费用支出177万元，同比增长8.6%</w:t>
      </w:r>
      <w:r>
        <w:rPr>
          <w:rFonts w:eastAsia="仿宋"/>
          <w:b w:val="0"/>
          <w:bCs w:val="0"/>
          <w:sz w:val="32"/>
          <w:szCs w:val="32"/>
          <w:highlight w:val="none"/>
        </w:rPr>
        <w:t>。</w:t>
      </w:r>
    </w:p>
    <w:p w14:paraId="4B053CDB">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ascii="黑体" w:hAnsi="黑体" w:eastAsia="黑体" w:cs="Times New Roman"/>
          <w:b w:val="0"/>
          <w:bCs w:val="0"/>
          <w:sz w:val="32"/>
          <w:szCs w:val="32"/>
          <w:highlight w:val="none"/>
        </w:rPr>
      </w:pPr>
      <w:r>
        <w:rPr>
          <w:rFonts w:hint="eastAsia" w:ascii="黑体" w:hAnsi="黑体" w:eastAsia="黑体" w:cs="黑体"/>
          <w:b w:val="0"/>
          <w:bCs w:val="0"/>
          <w:sz w:val="32"/>
          <w:szCs w:val="32"/>
          <w:highlight w:val="none"/>
        </w:rPr>
        <w:t>三、</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5</w:t>
      </w:r>
      <w:r>
        <w:rPr>
          <w:rFonts w:hint="eastAsia" w:ascii="黑体" w:hAnsi="黑体" w:eastAsia="黑体" w:cs="黑体"/>
          <w:b w:val="0"/>
          <w:bCs w:val="0"/>
          <w:sz w:val="32"/>
          <w:szCs w:val="32"/>
          <w:highlight w:val="none"/>
        </w:rPr>
        <w:t>年社会保险基金预算执行情况</w:t>
      </w:r>
    </w:p>
    <w:p w14:paraId="22FC760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（一）社会保险基金预算收入完成情况</w:t>
      </w:r>
    </w:p>
    <w:p w14:paraId="4A49980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highlight w:val="none"/>
          <w:lang w:val="en-US" w:eastAsia="zh-CN"/>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eastAsia="仿宋"/>
          <w:b w:val="0"/>
          <w:bCs w:val="0"/>
          <w:sz w:val="32"/>
          <w:szCs w:val="32"/>
          <w:highlight w:val="none"/>
        </w:rPr>
        <w:t>年</w:t>
      </w:r>
      <w:r>
        <w:rPr>
          <w:rFonts w:hint="eastAsia" w:eastAsia="仿宋"/>
          <w:b w:val="0"/>
          <w:bCs w:val="0"/>
          <w:sz w:val="32"/>
          <w:szCs w:val="32"/>
          <w:highlight w:val="none"/>
        </w:rPr>
        <w:t>，</w:t>
      </w:r>
      <w:r>
        <w:rPr>
          <w:rFonts w:hint="eastAsia" w:eastAsia="仿宋"/>
          <w:b w:val="0"/>
          <w:bCs w:val="0"/>
          <w:sz w:val="32"/>
          <w:szCs w:val="32"/>
          <w:highlight w:val="none"/>
          <w:lang w:val="en-US" w:eastAsia="zh-CN"/>
        </w:rPr>
        <w:t>全县社会保险基金预算总收入完成45525万元，其中：社会保险费收入17506万元，财政补贴收入22680万元，利息收入256万元，其他收入（含转移收入）5083万元。</w:t>
      </w:r>
    </w:p>
    <w:p w14:paraId="045B27E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highlight w:val="none"/>
          <w:lang w:val="en-US" w:eastAsia="zh-CN"/>
        </w:rPr>
      </w:pPr>
      <w:r>
        <w:rPr>
          <w:rFonts w:hint="eastAsia" w:eastAsia="仿宋"/>
          <w:b w:val="0"/>
          <w:bCs w:val="0"/>
          <w:sz w:val="32"/>
          <w:szCs w:val="32"/>
          <w:highlight w:val="none"/>
          <w:lang w:val="en-US" w:eastAsia="zh-CN"/>
        </w:rPr>
        <w:t>社保基金收入按险种划分，城乡居民基本养老保险基金收入19553万元，机关事业基本养老保险基金收入25972万元。</w:t>
      </w:r>
    </w:p>
    <w:p w14:paraId="38179CF1">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（二）社会保险基金预算支出完成情况</w:t>
      </w:r>
    </w:p>
    <w:p w14:paraId="7CECAE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highlight w:val="none"/>
          <w:lang w:val="en-US" w:eastAsia="zh-CN"/>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eastAsia="仿宋"/>
          <w:b w:val="0"/>
          <w:bCs w:val="0"/>
          <w:sz w:val="32"/>
          <w:szCs w:val="32"/>
          <w:highlight w:val="none"/>
        </w:rPr>
        <w:t>年</w:t>
      </w:r>
      <w:r>
        <w:rPr>
          <w:rFonts w:hint="eastAsia" w:eastAsia="仿宋"/>
          <w:b w:val="0"/>
          <w:bCs w:val="0"/>
          <w:sz w:val="32"/>
          <w:szCs w:val="32"/>
          <w:highlight w:val="none"/>
        </w:rPr>
        <w:t>，</w:t>
      </w:r>
      <w:r>
        <w:rPr>
          <w:rFonts w:hint="eastAsia" w:eastAsia="仿宋"/>
          <w:b w:val="0"/>
          <w:bCs w:val="0"/>
          <w:sz w:val="32"/>
          <w:szCs w:val="32"/>
          <w:highlight w:val="none"/>
          <w:lang w:val="en-US" w:eastAsia="zh-CN"/>
        </w:rPr>
        <w:t>全县社会保险基金预算总支出完成37134元，其中：社会保险费支出37072万元，其他支出（含转移支出）62万元。</w:t>
      </w:r>
    </w:p>
    <w:p w14:paraId="1EE8B21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highlight w:val="none"/>
          <w:lang w:val="en-US" w:eastAsia="zh-CN"/>
        </w:rPr>
      </w:pPr>
      <w:r>
        <w:rPr>
          <w:rFonts w:hint="eastAsia" w:eastAsia="仿宋"/>
          <w:b w:val="0"/>
          <w:bCs w:val="0"/>
          <w:sz w:val="32"/>
          <w:szCs w:val="32"/>
          <w:highlight w:val="none"/>
          <w:lang w:val="en-US" w:eastAsia="zh-CN"/>
        </w:rPr>
        <w:t>社保基金支出按险种划分，城乡居民基本养老保险基金支出12646万元，机关事业基本养老保险基金支出24488万元。</w:t>
      </w:r>
    </w:p>
    <w:p w14:paraId="60060E6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（三）社会保险基金预算收支结余情况</w:t>
      </w:r>
    </w:p>
    <w:p w14:paraId="546BC750">
      <w:pPr>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
          <w:b w:val="0"/>
          <w:bCs w:val="0"/>
          <w:sz w:val="32"/>
          <w:szCs w:val="32"/>
          <w:highlight w:val="none"/>
          <w:lang w:val="en-US" w:eastAsia="zh-CN"/>
        </w:rPr>
      </w:pPr>
      <w:r>
        <w:rPr>
          <w:rFonts w:hint="eastAsia" w:eastAsia="仿宋"/>
          <w:b w:val="0"/>
          <w:bCs w:val="0"/>
          <w:sz w:val="32"/>
          <w:szCs w:val="32"/>
          <w:highlight w:val="none"/>
          <w:lang w:val="en-US" w:eastAsia="zh-CN"/>
        </w:rPr>
        <w:t>截至2025年底，全县社会保险基金收支结余8391万元，滚存结余38382万元。</w:t>
      </w:r>
    </w:p>
    <w:p w14:paraId="63644A28">
      <w:pPr>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
          <w:b w:val="0"/>
          <w:bCs w:val="0"/>
          <w:sz w:val="32"/>
          <w:szCs w:val="32"/>
          <w:highlight w:val="none"/>
          <w:lang w:val="en-US" w:eastAsia="zh-CN"/>
        </w:rPr>
      </w:pPr>
      <w:r>
        <w:rPr>
          <w:rFonts w:hint="eastAsia" w:eastAsia="仿宋"/>
          <w:b w:val="0"/>
          <w:bCs w:val="0"/>
          <w:sz w:val="32"/>
          <w:szCs w:val="32"/>
          <w:highlight w:val="none"/>
          <w:lang w:val="en-US" w:eastAsia="zh-CN"/>
        </w:rPr>
        <w:t>社保基金收支结余按险种划分，城乡居民基本养老保险基金收支结余6907万元，滚存结余31963万元；机关事业基本养老保险基金收支结余1484万元，滚存结余6419万元。</w:t>
      </w:r>
    </w:p>
    <w:p w14:paraId="6ED47732">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ascii="黑体" w:hAnsi="黑体" w:eastAsia="黑体" w:cs="Times New Roman"/>
          <w:b w:val="0"/>
          <w:bCs w:val="0"/>
          <w:sz w:val="32"/>
          <w:szCs w:val="32"/>
          <w:highlight w:val="none"/>
        </w:rPr>
      </w:pP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rPr>
        <w:t>、</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5</w:t>
      </w:r>
      <w:r>
        <w:rPr>
          <w:rFonts w:hint="eastAsia" w:ascii="黑体" w:hAnsi="黑体" w:eastAsia="黑体" w:cs="黑体"/>
          <w:b w:val="0"/>
          <w:bCs w:val="0"/>
          <w:sz w:val="32"/>
          <w:szCs w:val="32"/>
          <w:highlight w:val="none"/>
        </w:rPr>
        <w:t>年</w:t>
      </w:r>
      <w:r>
        <w:rPr>
          <w:rFonts w:hint="eastAsia" w:ascii="黑体" w:hAnsi="黑体" w:eastAsia="黑体" w:cs="黑体"/>
          <w:b w:val="0"/>
          <w:bCs w:val="0"/>
          <w:sz w:val="32"/>
          <w:szCs w:val="32"/>
          <w:highlight w:val="none"/>
          <w:lang w:val="en-US" w:eastAsia="zh-CN"/>
        </w:rPr>
        <w:t>国有资本经营</w:t>
      </w:r>
      <w:r>
        <w:rPr>
          <w:rFonts w:hint="eastAsia" w:ascii="黑体" w:hAnsi="黑体" w:eastAsia="黑体" w:cs="黑体"/>
          <w:b w:val="0"/>
          <w:bCs w:val="0"/>
          <w:sz w:val="32"/>
          <w:szCs w:val="32"/>
          <w:highlight w:val="none"/>
        </w:rPr>
        <w:t>预算执行情况</w:t>
      </w:r>
    </w:p>
    <w:p w14:paraId="6F2C2B0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（一）202</w:t>
      </w:r>
      <w:r>
        <w:rPr>
          <w:rFonts w:hint="eastAsia" w:ascii="楷体_GB2312" w:hAnsi="楷体" w:eastAsia="楷体_GB2312" w:cs="楷体_GB2312"/>
          <w:b/>
          <w:bCs/>
          <w:sz w:val="32"/>
          <w:szCs w:val="32"/>
          <w:highlight w:val="none"/>
          <w:lang w:val="en-US" w:eastAsia="zh-CN"/>
        </w:rPr>
        <w:t>5</w:t>
      </w:r>
      <w:r>
        <w:rPr>
          <w:rFonts w:hint="eastAsia" w:ascii="楷体_GB2312" w:hAnsi="楷体" w:eastAsia="楷体_GB2312" w:cs="楷体_GB2312"/>
          <w:b/>
          <w:bCs/>
          <w:sz w:val="32"/>
          <w:szCs w:val="32"/>
          <w:highlight w:val="none"/>
        </w:rPr>
        <w:t>年国有资本经营预算收入安排情况</w:t>
      </w:r>
    </w:p>
    <w:p w14:paraId="3FE8B22B">
      <w:pPr>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z w:val="32"/>
          <w:szCs w:val="32"/>
          <w:highlight w:val="none"/>
          <w:lang w:val="en-US" w:eastAsia="zh-CN"/>
        </w:rPr>
      </w:pPr>
      <w:r>
        <w:rPr>
          <w:rFonts w:hint="eastAsia" w:eastAsia="仿宋"/>
          <w:b w:val="0"/>
          <w:bCs w:val="0"/>
          <w:sz w:val="32"/>
          <w:szCs w:val="32"/>
          <w:highlight w:val="none"/>
        </w:rPr>
        <w:t>202</w:t>
      </w:r>
      <w:r>
        <w:rPr>
          <w:rFonts w:hint="eastAsia" w:eastAsia="仿宋"/>
          <w:b w:val="0"/>
          <w:bCs w:val="0"/>
          <w:sz w:val="32"/>
          <w:szCs w:val="32"/>
          <w:highlight w:val="none"/>
          <w:lang w:val="en-US" w:eastAsia="zh-CN"/>
        </w:rPr>
        <w:t>5</w:t>
      </w:r>
      <w:r>
        <w:rPr>
          <w:rFonts w:eastAsia="仿宋"/>
          <w:b w:val="0"/>
          <w:bCs w:val="0"/>
          <w:sz w:val="32"/>
          <w:szCs w:val="32"/>
          <w:highlight w:val="none"/>
        </w:rPr>
        <w:t>年</w:t>
      </w:r>
      <w:r>
        <w:rPr>
          <w:rFonts w:hint="eastAsia" w:eastAsia="仿宋"/>
          <w:b w:val="0"/>
          <w:bCs w:val="0"/>
          <w:sz w:val="32"/>
          <w:szCs w:val="32"/>
          <w:highlight w:val="none"/>
          <w:lang w:val="en-US" w:eastAsia="zh-CN"/>
        </w:rPr>
        <w:t>全年</w:t>
      </w:r>
      <w:r>
        <w:rPr>
          <w:rFonts w:hint="eastAsia" w:ascii="仿宋_GB2312" w:hAnsi="仿宋_GB2312" w:eastAsia="仿宋_GB2312" w:cs="仿宋_GB2312"/>
          <w:b w:val="0"/>
          <w:bCs w:val="0"/>
          <w:sz w:val="32"/>
          <w:szCs w:val="32"/>
          <w:highlight w:val="none"/>
        </w:rPr>
        <w:t>国有资本经营预算收入</w:t>
      </w:r>
      <w:r>
        <w:rPr>
          <w:rFonts w:hint="eastAsia" w:ascii="仿宋_GB2312" w:hAnsi="仿宋_GB2312" w:eastAsia="仿宋_GB2312" w:cs="仿宋_GB2312"/>
          <w:b w:val="0"/>
          <w:bCs w:val="0"/>
          <w:sz w:val="32"/>
          <w:szCs w:val="32"/>
          <w:highlight w:val="none"/>
          <w:lang w:val="en-US" w:eastAsia="zh-CN"/>
        </w:rPr>
        <w:t>完成681万元，其中：利润收入580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含</w:t>
      </w:r>
      <w:r>
        <w:rPr>
          <w:rFonts w:hint="eastAsia" w:ascii="仿宋_GB2312" w:hAnsi="仿宋_GB2312" w:eastAsia="仿宋_GB2312" w:cs="仿宋_GB2312"/>
          <w:b w:val="0"/>
          <w:bCs w:val="0"/>
          <w:sz w:val="32"/>
          <w:szCs w:val="32"/>
          <w:highlight w:val="none"/>
        </w:rPr>
        <w:t>石钟控股集团收入500万元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水产集团收入</w:t>
      </w:r>
      <w:r>
        <w:rPr>
          <w:rFonts w:hint="eastAsia" w:ascii="仿宋_GB2312" w:hAnsi="仿宋_GB2312" w:eastAsia="仿宋_GB2312" w:cs="仿宋_GB2312"/>
          <w:b w:val="0"/>
          <w:bCs w:val="0"/>
          <w:sz w:val="32"/>
          <w:szCs w:val="32"/>
          <w:highlight w:val="none"/>
          <w:lang w:val="en-US" w:eastAsia="zh-CN"/>
        </w:rPr>
        <w:t>80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上级转移性收入35万元，上年结余收入66万元。</w:t>
      </w:r>
    </w:p>
    <w:p w14:paraId="706203B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（二）202</w:t>
      </w:r>
      <w:r>
        <w:rPr>
          <w:rFonts w:hint="eastAsia" w:ascii="楷体_GB2312" w:hAnsi="楷体" w:eastAsia="楷体_GB2312" w:cs="楷体_GB2312"/>
          <w:b/>
          <w:bCs/>
          <w:sz w:val="32"/>
          <w:szCs w:val="32"/>
          <w:highlight w:val="none"/>
          <w:lang w:val="en-US" w:eastAsia="zh-CN"/>
        </w:rPr>
        <w:t>5</w:t>
      </w:r>
      <w:r>
        <w:rPr>
          <w:rFonts w:hint="eastAsia" w:ascii="楷体_GB2312" w:hAnsi="楷体" w:eastAsia="楷体_GB2312" w:cs="楷体_GB2312"/>
          <w:b/>
          <w:bCs/>
          <w:sz w:val="32"/>
          <w:szCs w:val="32"/>
          <w:highlight w:val="none"/>
        </w:rPr>
        <w:t>年国有资本经营预算支出安排情况</w:t>
      </w:r>
    </w:p>
    <w:p w14:paraId="2D7C0E16">
      <w:pPr>
        <w:spacing w:line="56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2025年全年国有资本经营预算支出完成681万元，其中：解决历史遗留问题及改革成本支出35万元，调出资金580万元，年终结余66万元。</w:t>
      </w:r>
    </w:p>
    <w:p w14:paraId="6DE1668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（三）202</w:t>
      </w:r>
      <w:r>
        <w:rPr>
          <w:rFonts w:hint="eastAsia" w:ascii="楷体_GB2312" w:hAnsi="楷体" w:eastAsia="楷体_GB2312" w:cs="楷体_GB2312"/>
          <w:b/>
          <w:bCs/>
          <w:sz w:val="32"/>
          <w:szCs w:val="32"/>
          <w:highlight w:val="none"/>
          <w:lang w:val="en-US" w:eastAsia="zh-CN"/>
        </w:rPr>
        <w:t>5</w:t>
      </w:r>
      <w:r>
        <w:rPr>
          <w:rFonts w:hint="eastAsia" w:ascii="楷体_GB2312" w:hAnsi="楷体" w:eastAsia="楷体_GB2312" w:cs="楷体_GB2312"/>
          <w:b/>
          <w:bCs/>
          <w:sz w:val="32"/>
          <w:szCs w:val="32"/>
          <w:highlight w:val="none"/>
        </w:rPr>
        <w:t>年国有资本经营预算收支结余情况</w:t>
      </w:r>
    </w:p>
    <w:p w14:paraId="3488BEC6">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按以上收支安排，2025年国有资本经营预算收支基本平衡。</w:t>
      </w:r>
    </w:p>
    <w:p w14:paraId="0B8C5667">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五、地方政府债务情况</w:t>
      </w:r>
    </w:p>
    <w:p w14:paraId="2648528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 xml:space="preserve">（一）债券收入情况 </w:t>
      </w:r>
    </w:p>
    <w:p w14:paraId="435BE384">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2025年共争取上级债券资金272635万元，其中：</w:t>
      </w:r>
    </w:p>
    <w:p w14:paraId="7C1D2B7B">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新增债券资金203928万元（含一般债券21828万元，专项债券182100万元），一般债券资金主要安排用于12个建设项目（详见附表五）；专项债券资金用于补充政府性基金财力44000万元、用于解决地方政府拖欠企业账款9829万元、用于项目建设76271万元、用于土地储备52000万元，主要安排用于58个项目。</w:t>
      </w:r>
    </w:p>
    <w:p w14:paraId="66576BE1">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再融资债券68707万元，其中：39307万元用于本年到期债券还本支出，29400万元用于置换存量隐性债务。</w:t>
      </w:r>
    </w:p>
    <w:p w14:paraId="0DD8FCD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 xml:space="preserve">（二）债券支出情况 </w:t>
      </w:r>
    </w:p>
    <w:p w14:paraId="6C5D968E">
      <w:pPr>
        <w:spacing w:line="56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截</w:t>
      </w:r>
      <w:r>
        <w:rPr>
          <w:rFonts w:hint="eastAsia" w:eastAsia="仿宋_GB2312" w:cs="仿宋_GB2312"/>
          <w:sz w:val="32"/>
          <w:szCs w:val="32"/>
          <w:highlight w:val="none"/>
          <w:lang w:val="en-US" w:eastAsia="zh-CN"/>
        </w:rPr>
        <w:t>至</w:t>
      </w:r>
      <w:r>
        <w:rPr>
          <w:rFonts w:hint="eastAsia" w:ascii="Times New Roman" w:hAnsi="Times New Roman" w:eastAsia="仿宋_GB2312" w:cs="仿宋_GB2312"/>
          <w:sz w:val="32"/>
          <w:szCs w:val="32"/>
          <w:highlight w:val="none"/>
          <w:lang w:val="en-US" w:eastAsia="zh-CN"/>
        </w:rPr>
        <w:t>2025年底，</w:t>
      </w:r>
      <w:r>
        <w:rPr>
          <w:rFonts w:hint="eastAsia" w:eastAsia="仿宋_GB2312" w:cs="仿宋_GB2312"/>
          <w:sz w:val="32"/>
          <w:szCs w:val="32"/>
          <w:highlight w:val="none"/>
          <w:lang w:val="en-US" w:eastAsia="zh-CN"/>
        </w:rPr>
        <w:t>债券支出共254721万元，其中：</w:t>
      </w:r>
    </w:p>
    <w:p w14:paraId="593734C7">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全县新增债券资金支出</w:t>
      </w:r>
      <w:r>
        <w:rPr>
          <w:rFonts w:hint="eastAsia" w:eastAsia="仿宋_GB2312" w:cs="仿宋_GB2312"/>
          <w:sz w:val="32"/>
          <w:szCs w:val="32"/>
          <w:highlight w:val="none"/>
          <w:lang w:val="en-US" w:eastAsia="zh-CN"/>
        </w:rPr>
        <w:t>186014</w:t>
      </w:r>
      <w:r>
        <w:rPr>
          <w:rFonts w:hint="eastAsia" w:ascii="Times New Roman" w:hAnsi="Times New Roman" w:eastAsia="仿宋_GB2312" w:cs="仿宋_GB2312"/>
          <w:sz w:val="32"/>
          <w:szCs w:val="32"/>
          <w:highlight w:val="none"/>
          <w:lang w:val="en-US" w:eastAsia="zh-CN"/>
        </w:rPr>
        <w:t>万元，支出占债券总额的</w:t>
      </w:r>
      <w:r>
        <w:rPr>
          <w:rFonts w:hint="eastAsia" w:eastAsia="仿宋_GB2312" w:cs="仿宋_GB2312"/>
          <w:sz w:val="32"/>
          <w:szCs w:val="32"/>
          <w:highlight w:val="none"/>
          <w:lang w:val="en-US" w:eastAsia="zh-CN"/>
        </w:rPr>
        <w:t>91.2</w:t>
      </w:r>
      <w:r>
        <w:rPr>
          <w:rFonts w:hint="eastAsia" w:ascii="Times New Roman" w:hAnsi="Times New Roman" w:eastAsia="仿宋_GB2312" w:cs="仿宋_GB2312"/>
          <w:sz w:val="32"/>
          <w:szCs w:val="32"/>
          <w:highlight w:val="none"/>
          <w:lang w:val="en-US" w:eastAsia="zh-CN"/>
        </w:rPr>
        <w:t>%，其中：一般债券资金支出</w:t>
      </w:r>
      <w:r>
        <w:rPr>
          <w:rFonts w:hint="eastAsia" w:eastAsia="仿宋_GB2312" w:cs="仿宋_GB2312"/>
          <w:sz w:val="32"/>
          <w:szCs w:val="32"/>
          <w:highlight w:val="none"/>
          <w:lang w:val="en-US" w:eastAsia="zh-CN"/>
        </w:rPr>
        <w:t>19759</w:t>
      </w:r>
      <w:r>
        <w:rPr>
          <w:rFonts w:hint="eastAsia" w:ascii="Times New Roman" w:hAnsi="Times New Roman" w:eastAsia="仿宋_GB2312" w:cs="仿宋_GB2312"/>
          <w:sz w:val="32"/>
          <w:szCs w:val="32"/>
          <w:highlight w:val="none"/>
          <w:lang w:val="en-US" w:eastAsia="zh-CN"/>
        </w:rPr>
        <w:t>万元，支出进度</w:t>
      </w:r>
      <w:r>
        <w:rPr>
          <w:rFonts w:hint="eastAsia" w:eastAsia="仿宋_GB2312" w:cs="仿宋_GB2312"/>
          <w:sz w:val="32"/>
          <w:szCs w:val="32"/>
          <w:highlight w:val="none"/>
          <w:lang w:val="en-US" w:eastAsia="zh-CN"/>
        </w:rPr>
        <w:t>90.5</w:t>
      </w:r>
      <w:r>
        <w:rPr>
          <w:rFonts w:hint="eastAsia" w:ascii="Times New Roman" w:hAnsi="Times New Roman" w:eastAsia="仿宋_GB2312" w:cs="仿宋_GB2312"/>
          <w:sz w:val="32"/>
          <w:szCs w:val="32"/>
          <w:highlight w:val="none"/>
          <w:lang w:val="en-US" w:eastAsia="zh-CN"/>
        </w:rPr>
        <w:t>%；专项债券资金支出</w:t>
      </w:r>
      <w:r>
        <w:rPr>
          <w:rFonts w:hint="eastAsia" w:eastAsia="仿宋_GB2312" w:cs="仿宋_GB2312"/>
          <w:sz w:val="32"/>
          <w:szCs w:val="32"/>
          <w:highlight w:val="none"/>
          <w:lang w:val="en-US" w:eastAsia="zh-CN"/>
        </w:rPr>
        <w:t>166255</w:t>
      </w:r>
      <w:r>
        <w:rPr>
          <w:rFonts w:hint="eastAsia" w:ascii="Times New Roman" w:hAnsi="Times New Roman" w:eastAsia="仿宋_GB2312" w:cs="仿宋_GB2312"/>
          <w:sz w:val="32"/>
          <w:szCs w:val="32"/>
          <w:highlight w:val="none"/>
          <w:lang w:val="en-US" w:eastAsia="zh-CN"/>
        </w:rPr>
        <w:t>万元，支出进度</w:t>
      </w:r>
      <w:r>
        <w:rPr>
          <w:rFonts w:hint="eastAsia" w:eastAsia="仿宋_GB2312" w:cs="仿宋_GB2312"/>
          <w:sz w:val="32"/>
          <w:szCs w:val="32"/>
          <w:highlight w:val="none"/>
          <w:lang w:val="en-US" w:eastAsia="zh-CN"/>
        </w:rPr>
        <w:t>91.3</w:t>
      </w:r>
      <w:r>
        <w:rPr>
          <w:rFonts w:hint="eastAsia" w:ascii="Times New Roman" w:hAnsi="Times New Roman" w:eastAsia="仿宋_GB2312" w:cs="仿宋_GB2312"/>
          <w:sz w:val="32"/>
          <w:szCs w:val="32"/>
          <w:highlight w:val="none"/>
          <w:lang w:val="en-US" w:eastAsia="zh-CN"/>
        </w:rPr>
        <w:t>%。</w:t>
      </w:r>
    </w:p>
    <w:p w14:paraId="2C355C2D">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再融资债券</w:t>
      </w:r>
      <w:r>
        <w:rPr>
          <w:rFonts w:hint="eastAsia" w:eastAsia="仿宋_GB2312" w:cs="仿宋_GB2312"/>
          <w:sz w:val="32"/>
          <w:szCs w:val="32"/>
          <w:highlight w:val="none"/>
          <w:lang w:val="en-US" w:eastAsia="zh-CN"/>
        </w:rPr>
        <w:t>68707万元，</w:t>
      </w:r>
      <w:r>
        <w:rPr>
          <w:rFonts w:hint="eastAsia" w:ascii="Times New Roman" w:hAnsi="Times New Roman" w:eastAsia="仿宋_GB2312" w:cs="仿宋_GB2312"/>
          <w:sz w:val="32"/>
          <w:szCs w:val="32"/>
          <w:highlight w:val="none"/>
          <w:lang w:val="en-US" w:eastAsia="zh-CN"/>
        </w:rPr>
        <w:t>已全部用于偿还到期债券本金及存量隐性债务偿还。</w:t>
      </w:r>
    </w:p>
    <w:p w14:paraId="7488964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（三）债务限额情况</w:t>
      </w:r>
    </w:p>
    <w:p w14:paraId="132B2776">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 xml:space="preserve">2025年省厅最终下达我县债务总限额为1120951万元，其中：一般债务限额265056万元，专项债务限额855895万元。 </w:t>
      </w:r>
    </w:p>
    <w:p w14:paraId="1D458F43">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 xml:space="preserve">（四）债务余额情况 </w:t>
      </w:r>
    </w:p>
    <w:p w14:paraId="3B238ED9">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2025年年初，系统内债务余额864125万元，其中：政府负有偿还责任债务余额85852</w:t>
      </w:r>
      <w:r>
        <w:rPr>
          <w:rFonts w:hint="eastAsia"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val="en-US" w:eastAsia="zh-CN"/>
        </w:rPr>
        <w:t>万元，政府负有担保责任的债务余额5401万元，政府可能承担一定救助责任的债务余额200万元。</w:t>
      </w:r>
    </w:p>
    <w:p w14:paraId="296CA161">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截至2025年底，系统内债务余额108498</w:t>
      </w:r>
      <w:r>
        <w:rPr>
          <w:rFonts w:hint="eastAsia"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万元，其中：政府负有偿还责任债务余额107938</w:t>
      </w:r>
      <w:r>
        <w:rPr>
          <w:rFonts w:hint="eastAsia"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val="en-US" w:eastAsia="zh-CN"/>
        </w:rPr>
        <w:t>万元，政府负有担保责任的债务余额5401万元，政府可能承担一定救助责任的债务余额200万元。</w:t>
      </w:r>
    </w:p>
    <w:p w14:paraId="2CDCC614">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（五）总体债务风险情况</w:t>
      </w:r>
    </w:p>
    <w:p w14:paraId="3518BCE1">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2025年底我县政府法定债务余额未突破上级下达法定债务限额，经初步测算，预计我县全口径债务率为143%，较2024年底我县全口径债务率131%增长了12个百分点，尚处于黄色区域，政府债务风险总体可控。</w:t>
      </w:r>
    </w:p>
    <w:p w14:paraId="57CEDD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 w:val="0"/>
          <w:bCs/>
          <w:sz w:val="32"/>
          <w:szCs w:val="32"/>
          <w:highlight w:val="none"/>
        </w:rPr>
      </w:pPr>
      <w:r>
        <w:rPr>
          <w:rFonts w:hint="eastAsia" w:eastAsia="黑体"/>
          <w:b w:val="0"/>
          <w:bCs/>
          <w:sz w:val="32"/>
          <w:szCs w:val="32"/>
          <w:highlight w:val="none"/>
          <w:lang w:val="en-US" w:eastAsia="zh-CN"/>
        </w:rPr>
        <w:t>六</w:t>
      </w:r>
      <w:r>
        <w:rPr>
          <w:rFonts w:eastAsia="黑体"/>
          <w:b w:val="0"/>
          <w:bCs/>
          <w:sz w:val="32"/>
          <w:szCs w:val="32"/>
          <w:highlight w:val="none"/>
        </w:rPr>
        <w:t>、需要特别说明的事项</w:t>
      </w:r>
    </w:p>
    <w:p w14:paraId="5ED2C6AC">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1.目前2025年财政预算收支执行数中上下级往来金额尚未全部结算，待年度决算时将按照市财政对我县财政收支决算的正式批复进行调整，届时再向县人大</w:t>
      </w:r>
      <w:r>
        <w:rPr>
          <w:rFonts w:hint="eastAsia" w:eastAsia="仿宋_GB2312" w:cs="仿宋_GB2312"/>
          <w:sz w:val="32"/>
          <w:szCs w:val="32"/>
          <w:highlight w:val="none"/>
          <w:lang w:val="en-US" w:eastAsia="zh-CN"/>
        </w:rPr>
        <w:t>常委</w:t>
      </w:r>
      <w:r>
        <w:rPr>
          <w:rFonts w:hint="eastAsia" w:ascii="Times New Roman" w:hAnsi="Times New Roman" w:eastAsia="仿宋_GB2312" w:cs="仿宋_GB2312"/>
          <w:sz w:val="32"/>
          <w:szCs w:val="32"/>
          <w:highlight w:val="none"/>
          <w:lang w:val="en-US" w:eastAsia="zh-CN"/>
        </w:rPr>
        <w:t>会专题报告。</w:t>
      </w:r>
    </w:p>
    <w:p w14:paraId="63026904">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按照财政存量资金管理要求，2025年底将对财政预算管理一体化大平台上未使用完毕的资金全部收回，其中：一部分资金要用于平衡缺口，一部分下年度需继续使用的上级专项及转移支付资金、部分新增债券资金，结转下年使用。由于具体数据目前难以准确预计，将在年度决算报告中一并说明。</w:t>
      </w:r>
    </w:p>
    <w:p w14:paraId="0BD992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七、2025年财政主要工作</w:t>
      </w:r>
    </w:p>
    <w:p w14:paraId="6476C1C5">
      <w:pPr>
        <w:spacing w:line="56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w:t>
      </w:r>
      <w:r>
        <w:rPr>
          <w:rFonts w:hint="eastAsia" w:eastAsia="仿宋_GB2312" w:cs="仿宋_GB2312"/>
          <w:sz w:val="32"/>
          <w:szCs w:val="32"/>
          <w:highlight w:val="none"/>
          <w:lang w:val="en-US" w:eastAsia="zh-CN"/>
        </w:rPr>
        <w:t>湖口县</w:t>
      </w:r>
      <w:r>
        <w:rPr>
          <w:rFonts w:hint="eastAsia" w:ascii="Times New Roman" w:hAnsi="Times New Roman" w:eastAsia="仿宋_GB2312" w:cs="仿宋_GB2312"/>
          <w:sz w:val="32"/>
          <w:szCs w:val="32"/>
          <w:highlight w:val="none"/>
          <w:lang w:val="en-US" w:eastAsia="zh-CN"/>
        </w:rPr>
        <w:t>深入贯彻党的二十大、二十届四中全会精神和习近平总书记考察江西重要讲话精神，坚持“走在前、勇争先、善作为”的目标要求，全力履职尽责，狠抓各项工作落实，圆满完成了各项工作任务，实现了湖口县高质量发展新面貌。</w:t>
      </w:r>
    </w:p>
    <w:p w14:paraId="2E47CFE9">
      <w:pPr>
        <w:spacing w:line="560" w:lineRule="exact"/>
        <w:ind w:firstLine="643" w:firstLineChars="200"/>
        <w:rPr>
          <w:rFonts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（一）收入征管精准有力，财力保障持续稳固。</w:t>
      </w:r>
    </w:p>
    <w:p w14:paraId="3151C085">
      <w:pPr>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财政收入</w:t>
      </w:r>
      <w:r>
        <w:rPr>
          <w:rFonts w:hint="eastAsia" w:ascii="Times New Roman" w:hAnsi="Times New Roman" w:eastAsia="仿宋_GB2312" w:cs="仿宋_GB2312"/>
          <w:sz w:val="32"/>
          <w:szCs w:val="32"/>
          <w:highlight w:val="none"/>
          <w:lang w:val="en-US" w:eastAsia="zh-CN"/>
        </w:rPr>
        <w:t>稳中有进</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2025年</w:t>
      </w:r>
      <w:r>
        <w:rPr>
          <w:rFonts w:hint="eastAsia" w:ascii="Times New Roman" w:hAnsi="Times New Roman" w:eastAsia="仿宋_GB2312" w:cs="仿宋_GB2312"/>
          <w:sz w:val="32"/>
          <w:szCs w:val="32"/>
          <w:highlight w:val="none"/>
        </w:rPr>
        <w:t>全县</w:t>
      </w:r>
      <w:r>
        <w:rPr>
          <w:rFonts w:hint="eastAsia" w:ascii="Times New Roman" w:hAnsi="Times New Roman" w:eastAsia="仿宋_GB2312" w:cs="仿宋_GB2312"/>
          <w:sz w:val="32"/>
          <w:szCs w:val="32"/>
          <w:highlight w:val="none"/>
          <w:lang w:val="en-US" w:eastAsia="zh-CN"/>
        </w:rPr>
        <w:t>一般公共预算</w:t>
      </w:r>
      <w:r>
        <w:rPr>
          <w:rFonts w:hint="eastAsia" w:ascii="Times New Roman" w:hAnsi="Times New Roman" w:eastAsia="仿宋_GB2312" w:cs="仿宋_GB2312"/>
          <w:sz w:val="32"/>
          <w:szCs w:val="32"/>
          <w:highlight w:val="none"/>
        </w:rPr>
        <w:t>收入完成</w:t>
      </w:r>
      <w:r>
        <w:rPr>
          <w:rFonts w:hint="eastAsia" w:ascii="Times New Roman" w:hAnsi="Times New Roman" w:eastAsia="仿宋_GB2312" w:cs="仿宋_GB2312"/>
          <w:sz w:val="32"/>
          <w:szCs w:val="32"/>
          <w:highlight w:val="none"/>
          <w:lang w:val="en-US" w:eastAsia="zh-CN"/>
        </w:rPr>
        <w:t>28.</w:t>
      </w:r>
      <w:r>
        <w:rPr>
          <w:rFonts w:hint="eastAsia"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亿元，同比增长</w:t>
      </w:r>
      <w:r>
        <w:rPr>
          <w:rFonts w:hint="eastAsia" w:ascii="Times New Roman" w:hAnsi="Times New Roman" w:eastAsia="仿宋_GB2312" w:cs="仿宋_GB2312"/>
          <w:sz w:val="32"/>
          <w:szCs w:val="32"/>
          <w:highlight w:val="none"/>
          <w:lang w:val="en-US" w:eastAsia="zh-CN"/>
        </w:rPr>
        <w:t>1.</w:t>
      </w:r>
      <w:r>
        <w:rPr>
          <w:rFonts w:hint="eastAsia"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lang w:eastAsia="zh-CN"/>
        </w:rPr>
        <w:t>%</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积极向上争资争项</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及时对接上级政策，</w:t>
      </w:r>
      <w:r>
        <w:rPr>
          <w:rFonts w:hint="eastAsia" w:eastAsia="仿宋_GB2312" w:cs="仿宋_GB2312"/>
          <w:sz w:val="32"/>
          <w:szCs w:val="32"/>
          <w:highlight w:val="none"/>
          <w:lang w:val="en-US" w:eastAsia="zh-CN"/>
        </w:rPr>
        <w:t>共</w:t>
      </w:r>
      <w:r>
        <w:rPr>
          <w:rFonts w:hint="eastAsia" w:ascii="Times New Roman" w:hAnsi="Times New Roman" w:eastAsia="仿宋_GB2312" w:cs="仿宋_GB2312"/>
          <w:sz w:val="32"/>
          <w:szCs w:val="32"/>
          <w:highlight w:val="none"/>
          <w:lang w:eastAsia="zh-CN"/>
        </w:rPr>
        <w:t>争取各类</w:t>
      </w:r>
      <w:r>
        <w:rPr>
          <w:rFonts w:hint="eastAsia" w:eastAsia="仿宋_GB2312" w:cs="仿宋_GB2312"/>
          <w:sz w:val="32"/>
          <w:szCs w:val="32"/>
          <w:highlight w:val="none"/>
          <w:lang w:val="en-US" w:eastAsia="zh-CN"/>
        </w:rPr>
        <w:t>上级资金48.82亿元（其中：</w:t>
      </w:r>
      <w:r>
        <w:rPr>
          <w:rFonts w:hint="eastAsia" w:ascii="Times New Roman" w:hAnsi="Times New Roman" w:eastAsia="仿宋_GB2312" w:cs="仿宋_GB2312"/>
          <w:sz w:val="32"/>
          <w:szCs w:val="32"/>
          <w:highlight w:val="none"/>
          <w:lang w:eastAsia="zh-CN"/>
        </w:rPr>
        <w:t>转移支付资金</w:t>
      </w:r>
      <w:r>
        <w:rPr>
          <w:rFonts w:hint="eastAsia" w:ascii="Times New Roman" w:hAnsi="Times New Roman" w:eastAsia="仿宋_GB2312" w:cs="仿宋_GB2312"/>
          <w:sz w:val="32"/>
          <w:szCs w:val="32"/>
          <w:highlight w:val="none"/>
          <w:lang w:val="en-US" w:eastAsia="zh-CN"/>
        </w:rPr>
        <w:t>21.</w:t>
      </w:r>
      <w:r>
        <w:rPr>
          <w:rFonts w:hint="eastAsia" w:eastAsia="仿宋_GB2312" w:cs="仿宋_GB2312"/>
          <w:sz w:val="32"/>
          <w:szCs w:val="32"/>
          <w:highlight w:val="none"/>
          <w:lang w:val="en-US" w:eastAsia="zh-CN"/>
        </w:rPr>
        <w:t>56</w:t>
      </w:r>
      <w:r>
        <w:rPr>
          <w:rFonts w:hint="eastAsia" w:ascii="Times New Roman" w:hAnsi="Times New Roman" w:eastAsia="仿宋_GB2312" w:cs="仿宋_GB2312"/>
          <w:sz w:val="32"/>
          <w:szCs w:val="32"/>
          <w:highlight w:val="none"/>
          <w:lang w:eastAsia="zh-CN"/>
        </w:rPr>
        <w:t>亿元（</w:t>
      </w:r>
      <w:r>
        <w:rPr>
          <w:rFonts w:hint="eastAsia" w:ascii="Times New Roman" w:hAnsi="Times New Roman" w:eastAsia="仿宋_GB2312" w:cs="仿宋_GB2312"/>
          <w:sz w:val="32"/>
          <w:szCs w:val="32"/>
          <w:highlight w:val="none"/>
          <w:lang w:val="en-US" w:eastAsia="zh-CN"/>
        </w:rPr>
        <w:t>含</w:t>
      </w:r>
      <w:r>
        <w:rPr>
          <w:rFonts w:hint="eastAsia" w:ascii="Times New Roman" w:hAnsi="Times New Roman" w:eastAsia="仿宋_GB2312" w:cs="仿宋_GB2312"/>
          <w:sz w:val="32"/>
          <w:szCs w:val="32"/>
          <w:highlight w:val="none"/>
          <w:lang w:eastAsia="zh-CN"/>
        </w:rPr>
        <w:t>超长期特别国债“</w:t>
      </w:r>
      <w:r>
        <w:rPr>
          <w:rFonts w:hint="eastAsia" w:ascii="Times New Roman" w:hAnsi="Times New Roman" w:eastAsia="仿宋_GB2312" w:cs="仿宋_GB2312"/>
          <w:sz w:val="32"/>
          <w:szCs w:val="32"/>
          <w:highlight w:val="none"/>
          <w:lang w:val="en-US" w:eastAsia="zh-CN"/>
        </w:rPr>
        <w:t>两重”资金1.63</w:t>
      </w:r>
      <w:r>
        <w:rPr>
          <w:rFonts w:hint="eastAsia" w:ascii="Times New Roman" w:hAnsi="Times New Roman" w:eastAsia="仿宋_GB2312" w:cs="仿宋_GB2312"/>
          <w:sz w:val="32"/>
          <w:szCs w:val="32"/>
          <w:highlight w:val="none"/>
          <w:lang w:eastAsia="zh-CN"/>
        </w:rPr>
        <w:t>亿元</w:t>
      </w:r>
      <w:r>
        <w:rPr>
          <w:rFonts w:hint="eastAsia" w:eastAsia="仿宋_GB2312" w:cs="仿宋_GB2312"/>
          <w:sz w:val="32"/>
          <w:szCs w:val="32"/>
          <w:highlight w:val="none"/>
          <w:lang w:val="en-US" w:eastAsia="zh-CN"/>
        </w:rPr>
        <w:t>及</w:t>
      </w:r>
      <w:r>
        <w:rPr>
          <w:rFonts w:hint="eastAsia" w:ascii="Times New Roman" w:hAnsi="Times New Roman" w:eastAsia="仿宋_GB2312" w:cs="仿宋_GB2312"/>
          <w:sz w:val="32"/>
          <w:szCs w:val="32"/>
          <w:highlight w:val="none"/>
          <w:lang w:eastAsia="zh-CN"/>
        </w:rPr>
        <w:t>“两新”资金1.6</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亿元）</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新增</w:t>
      </w:r>
      <w:r>
        <w:rPr>
          <w:rFonts w:hint="eastAsia" w:eastAsia="仿宋_GB2312" w:cs="仿宋_GB2312"/>
          <w:sz w:val="32"/>
          <w:szCs w:val="32"/>
          <w:highlight w:val="none"/>
          <w:lang w:val="en-US" w:eastAsia="zh-CN"/>
        </w:rPr>
        <w:t>政府</w:t>
      </w:r>
      <w:r>
        <w:rPr>
          <w:rFonts w:hint="eastAsia" w:ascii="Times New Roman" w:hAnsi="Times New Roman" w:eastAsia="仿宋_GB2312" w:cs="仿宋_GB2312"/>
          <w:sz w:val="32"/>
          <w:szCs w:val="32"/>
          <w:highlight w:val="none"/>
          <w:lang w:eastAsia="zh-CN"/>
        </w:rPr>
        <w:t>债券资金</w:t>
      </w:r>
      <w:r>
        <w:rPr>
          <w:rFonts w:hint="eastAsia" w:ascii="Times New Roman" w:hAnsi="Times New Roman" w:eastAsia="仿宋_GB2312" w:cs="仿宋_GB2312"/>
          <w:sz w:val="32"/>
          <w:szCs w:val="32"/>
          <w:highlight w:val="none"/>
          <w:lang w:val="en-US" w:eastAsia="zh-CN"/>
        </w:rPr>
        <w:t>20.39</w:t>
      </w:r>
      <w:r>
        <w:rPr>
          <w:rFonts w:hint="eastAsia" w:ascii="Times New Roman" w:hAnsi="Times New Roman" w:eastAsia="仿宋_GB2312" w:cs="仿宋_GB2312"/>
          <w:sz w:val="32"/>
          <w:szCs w:val="32"/>
          <w:highlight w:val="none"/>
          <w:lang w:eastAsia="zh-CN"/>
        </w:rPr>
        <w:t>亿元</w:t>
      </w:r>
      <w:r>
        <w:rPr>
          <w:rFonts w:hint="eastAsia" w:eastAsia="仿宋_GB2312" w:cs="仿宋_GB2312"/>
          <w:sz w:val="32"/>
          <w:szCs w:val="32"/>
          <w:highlight w:val="none"/>
          <w:lang w:eastAsia="zh-CN"/>
        </w:rPr>
        <w:t>、</w:t>
      </w:r>
      <w:r>
        <w:rPr>
          <w:rFonts w:hint="eastAsia" w:eastAsia="仿宋_GB2312" w:cs="仿宋_GB2312"/>
          <w:sz w:val="32"/>
          <w:szCs w:val="32"/>
          <w:highlight w:val="none"/>
          <w:lang w:val="en-US" w:eastAsia="zh-CN"/>
        </w:rPr>
        <w:t>再融资债券资金6.87亿元</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w:t>
      </w:r>
      <w:r>
        <w:rPr>
          <w:rFonts w:hint="eastAsia" w:eastAsia="仿宋_GB2312" w:cs="仿宋_GB2312"/>
          <w:sz w:val="32"/>
          <w:szCs w:val="32"/>
          <w:highlight w:val="none"/>
          <w:lang w:val="en-US" w:eastAsia="zh-CN"/>
        </w:rPr>
        <w:t>较2024年度41.83亿元增长6.99亿元，同比增长16.7%，</w:t>
      </w:r>
      <w:r>
        <w:rPr>
          <w:rFonts w:hint="eastAsia" w:ascii="Times New Roman" w:hAnsi="Times New Roman" w:eastAsia="仿宋_GB2312" w:cs="仿宋_GB2312"/>
          <w:sz w:val="32"/>
          <w:szCs w:val="32"/>
          <w:highlight w:val="none"/>
          <w:lang w:val="en-US" w:eastAsia="zh-CN"/>
        </w:rPr>
        <w:t>有效</w:t>
      </w:r>
      <w:r>
        <w:rPr>
          <w:rFonts w:hint="eastAsia" w:ascii="Times New Roman" w:hAnsi="Times New Roman" w:eastAsia="仿宋_GB2312" w:cs="仿宋_GB2312"/>
          <w:sz w:val="32"/>
          <w:szCs w:val="32"/>
          <w:highlight w:val="none"/>
          <w:lang w:eastAsia="zh-CN"/>
        </w:rPr>
        <w:t>缓解</w:t>
      </w:r>
      <w:r>
        <w:rPr>
          <w:rFonts w:hint="eastAsia" w:eastAsia="仿宋_GB2312" w:cs="仿宋_GB2312"/>
          <w:sz w:val="32"/>
          <w:szCs w:val="32"/>
          <w:highlight w:val="none"/>
          <w:lang w:val="en-US" w:eastAsia="zh-CN"/>
        </w:rPr>
        <w:t>了</w:t>
      </w:r>
      <w:r>
        <w:rPr>
          <w:rFonts w:hint="eastAsia" w:ascii="Times New Roman" w:hAnsi="Times New Roman" w:eastAsia="仿宋_GB2312" w:cs="仿宋_GB2312"/>
          <w:sz w:val="32"/>
          <w:szCs w:val="32"/>
          <w:highlight w:val="none"/>
          <w:lang w:eastAsia="zh-CN"/>
        </w:rPr>
        <w:t>财力缺口。</w:t>
      </w:r>
    </w:p>
    <w:p w14:paraId="57BF1F40">
      <w:pPr>
        <w:spacing w:line="560" w:lineRule="exact"/>
        <w:ind w:firstLine="643" w:firstLineChars="200"/>
        <w:rPr>
          <w:rFonts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（二）支出结构持续优化，资金效益显著提升。</w:t>
      </w:r>
    </w:p>
    <w:p w14:paraId="6A84B1C3">
      <w:pPr>
        <w:spacing w:line="560" w:lineRule="exact"/>
        <w:ind w:firstLine="640" w:firstLineChars="200"/>
        <w:rPr>
          <w:rFonts w:ascii="Times New Roman" w:hAnsi="Times New Roman" w:eastAsia="楷体_GB2312" w:cs="楷体_GB2312"/>
          <w:b/>
          <w:bCs/>
          <w:color w:val="auto"/>
          <w:sz w:val="32"/>
          <w:szCs w:val="32"/>
          <w:highlight w:val="none"/>
          <w:u w:val="none"/>
        </w:rPr>
      </w:pPr>
      <w:r>
        <w:rPr>
          <w:rFonts w:hint="eastAsia" w:ascii="Times New Roman" w:hAnsi="Times New Roman" w:eastAsia="仿宋_GB2312" w:cs="仿宋_GB2312"/>
          <w:sz w:val="32"/>
          <w:szCs w:val="32"/>
          <w:highlight w:val="none"/>
          <w:lang w:val="en-US" w:eastAsia="zh-CN"/>
        </w:rPr>
        <w:t>支出规模稳步增长</w:t>
      </w:r>
      <w:r>
        <w:rPr>
          <w:rFonts w:hint="eastAsia"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2025年一般公共预算支出完成48.5</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亿元，同比增长12.3%，其中民生支出累计投入35.88亿元，占一般公共预算支出74%</w:t>
      </w:r>
      <w:r>
        <w:rPr>
          <w:rFonts w:hint="eastAsia" w:eastAsia="仿宋_GB2312" w:cs="仿宋_GB2312"/>
          <w:sz w:val="32"/>
          <w:szCs w:val="32"/>
          <w:highlight w:val="none"/>
          <w:lang w:val="en-US" w:eastAsia="zh-CN"/>
        </w:rPr>
        <w:t>。</w:t>
      </w:r>
      <w:r>
        <w:rPr>
          <w:rFonts w:hint="eastAsia" w:ascii="Times New Roman" w:hAnsi="Times New Roman" w:eastAsia="仿宋_GB2312" w:cs="仿宋_GB2312"/>
          <w:color w:val="auto"/>
          <w:sz w:val="32"/>
          <w:szCs w:val="32"/>
          <w:highlight w:val="none"/>
          <w:u w:val="none"/>
        </w:rPr>
        <w:t>严格落实“过紧日子”要求，年初压减定额公用经费节约资金约268万元</w:t>
      </w:r>
      <w:r>
        <w:rPr>
          <w:rFonts w:hint="eastAsia" w:eastAsia="仿宋_GB2312" w:cs="仿宋_GB2312"/>
          <w:color w:val="auto"/>
          <w:sz w:val="32"/>
          <w:szCs w:val="32"/>
          <w:highlight w:val="none"/>
          <w:u w:val="none"/>
          <w:lang w:eastAsia="zh-CN"/>
        </w:rPr>
        <w:t>。</w:t>
      </w:r>
      <w:r>
        <w:rPr>
          <w:rFonts w:hint="eastAsia" w:eastAsia="仿宋_GB2312" w:cs="仿宋_GB2312"/>
          <w:color w:val="auto"/>
          <w:sz w:val="32"/>
          <w:szCs w:val="32"/>
          <w:highlight w:val="none"/>
          <w:u w:val="none"/>
          <w:lang w:val="en-US" w:eastAsia="zh-CN"/>
        </w:rPr>
        <w:t>全年</w:t>
      </w:r>
      <w:r>
        <w:rPr>
          <w:rFonts w:hint="eastAsia" w:ascii="Times New Roman" w:hAnsi="Times New Roman" w:eastAsia="仿宋_GB2312" w:cs="仿宋_GB2312"/>
          <w:color w:val="auto"/>
          <w:sz w:val="32"/>
          <w:szCs w:val="32"/>
          <w:highlight w:val="none"/>
          <w:u w:val="none"/>
        </w:rPr>
        <w:t>“三公”经费支出</w:t>
      </w:r>
      <w:r>
        <w:rPr>
          <w:rFonts w:hint="eastAsia" w:eastAsia="仿宋_GB2312" w:cs="仿宋_GB2312"/>
          <w:color w:val="auto"/>
          <w:sz w:val="32"/>
          <w:szCs w:val="32"/>
          <w:highlight w:val="none"/>
          <w:u w:val="none"/>
          <w:lang w:val="en-US" w:eastAsia="zh-CN"/>
        </w:rPr>
        <w:t>781</w:t>
      </w:r>
      <w:r>
        <w:rPr>
          <w:rFonts w:hint="eastAsia" w:ascii="Times New Roman" w:hAnsi="Times New Roman" w:eastAsia="仿宋_GB2312" w:cs="仿宋_GB2312"/>
          <w:color w:val="auto"/>
          <w:sz w:val="32"/>
          <w:szCs w:val="32"/>
          <w:highlight w:val="none"/>
          <w:u w:val="none"/>
        </w:rPr>
        <w:t>万元，</w:t>
      </w:r>
      <w:r>
        <w:rPr>
          <w:rFonts w:hint="eastAsia" w:eastAsia="仿宋_GB2312" w:cs="仿宋_GB2312"/>
          <w:color w:val="auto"/>
          <w:sz w:val="32"/>
          <w:szCs w:val="32"/>
          <w:highlight w:val="none"/>
          <w:u w:val="none"/>
          <w:lang w:val="en-US" w:eastAsia="zh-CN"/>
        </w:rPr>
        <w:t>较上年减少179万元，</w:t>
      </w:r>
      <w:r>
        <w:rPr>
          <w:rFonts w:hint="eastAsia" w:ascii="Times New Roman" w:hAnsi="Times New Roman" w:eastAsia="仿宋_GB2312" w:cs="仿宋_GB2312"/>
          <w:color w:val="auto"/>
          <w:sz w:val="32"/>
          <w:szCs w:val="32"/>
          <w:highlight w:val="none"/>
          <w:u w:val="none"/>
        </w:rPr>
        <w:t>同比下降</w:t>
      </w:r>
      <w:r>
        <w:rPr>
          <w:rFonts w:hint="eastAsia" w:eastAsia="仿宋_GB2312" w:cs="仿宋_GB2312"/>
          <w:color w:val="auto"/>
          <w:sz w:val="32"/>
          <w:szCs w:val="32"/>
          <w:highlight w:val="none"/>
          <w:u w:val="none"/>
          <w:lang w:val="en-US" w:eastAsia="zh-CN"/>
        </w:rPr>
        <w:t>18.65</w:t>
      </w:r>
      <w:r>
        <w:rPr>
          <w:rFonts w:hint="eastAsia"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lang w:eastAsia="zh-CN"/>
        </w:rPr>
        <w:t>。投资评审精准发力</w:t>
      </w:r>
      <w:r>
        <w:rPr>
          <w:rFonts w:hint="eastAsia" w:eastAsia="仿宋_GB2312" w:cs="仿宋_GB2312"/>
          <w:color w:val="auto"/>
          <w:sz w:val="32"/>
          <w:szCs w:val="32"/>
          <w:highlight w:val="none"/>
          <w:u w:val="none"/>
          <w:lang w:eastAsia="zh-CN"/>
        </w:rPr>
        <w:t>，</w:t>
      </w:r>
      <w:r>
        <w:rPr>
          <w:rFonts w:hint="eastAsia" w:eastAsia="仿宋_GB2312" w:cs="仿宋_GB2312"/>
          <w:color w:val="auto"/>
          <w:sz w:val="32"/>
          <w:szCs w:val="32"/>
          <w:highlight w:val="none"/>
          <w:u w:val="none"/>
          <w:lang w:val="en-US" w:eastAsia="zh-CN"/>
        </w:rPr>
        <w:t>全年</w:t>
      </w:r>
      <w:r>
        <w:rPr>
          <w:rFonts w:hint="eastAsia" w:ascii="Times New Roman" w:hAnsi="Times New Roman" w:eastAsia="仿宋_GB2312" w:cs="仿宋_GB2312"/>
          <w:color w:val="auto"/>
          <w:sz w:val="32"/>
          <w:szCs w:val="32"/>
          <w:highlight w:val="none"/>
          <w:u w:val="none"/>
        </w:rPr>
        <w:t>完成评审项目</w:t>
      </w:r>
      <w:r>
        <w:rPr>
          <w:rFonts w:hint="eastAsia" w:eastAsia="仿宋_GB2312" w:cs="仿宋_GB2312"/>
          <w:color w:val="auto"/>
          <w:sz w:val="32"/>
          <w:szCs w:val="32"/>
          <w:highlight w:val="none"/>
          <w:u w:val="none"/>
          <w:lang w:val="en-US" w:eastAsia="zh-CN"/>
        </w:rPr>
        <w:t>350</w:t>
      </w:r>
      <w:r>
        <w:rPr>
          <w:rFonts w:hint="eastAsia" w:ascii="Times New Roman" w:hAnsi="Times New Roman" w:eastAsia="仿宋_GB2312" w:cs="仿宋_GB2312"/>
          <w:color w:val="auto"/>
          <w:sz w:val="32"/>
          <w:szCs w:val="32"/>
          <w:highlight w:val="none"/>
          <w:u w:val="none"/>
        </w:rPr>
        <w:t>个，送审金额</w:t>
      </w:r>
      <w:r>
        <w:rPr>
          <w:rFonts w:hint="eastAsia" w:eastAsia="仿宋_GB2312" w:cs="仿宋_GB2312"/>
          <w:color w:val="auto"/>
          <w:sz w:val="32"/>
          <w:szCs w:val="32"/>
          <w:highlight w:val="none"/>
          <w:u w:val="none"/>
          <w:lang w:val="en-US" w:eastAsia="zh-CN"/>
        </w:rPr>
        <w:t>22.91</w:t>
      </w:r>
      <w:r>
        <w:rPr>
          <w:rFonts w:hint="eastAsia" w:ascii="Times New Roman" w:hAnsi="Times New Roman" w:eastAsia="仿宋_GB2312" w:cs="仿宋_GB2312"/>
          <w:color w:val="auto"/>
          <w:sz w:val="32"/>
          <w:szCs w:val="32"/>
          <w:highlight w:val="none"/>
          <w:u w:val="none"/>
        </w:rPr>
        <w:t>亿元，审定金额</w:t>
      </w:r>
      <w:r>
        <w:rPr>
          <w:rFonts w:hint="eastAsia" w:eastAsia="仿宋_GB2312" w:cs="仿宋_GB2312"/>
          <w:color w:val="auto"/>
          <w:sz w:val="32"/>
          <w:szCs w:val="32"/>
          <w:highlight w:val="none"/>
          <w:u w:val="none"/>
          <w:lang w:val="en-US" w:eastAsia="zh-CN"/>
        </w:rPr>
        <w:t>21.09</w:t>
      </w:r>
      <w:r>
        <w:rPr>
          <w:rFonts w:hint="eastAsia" w:ascii="Times New Roman" w:hAnsi="Times New Roman" w:eastAsia="仿宋_GB2312" w:cs="仿宋_GB2312"/>
          <w:color w:val="auto"/>
          <w:sz w:val="32"/>
          <w:szCs w:val="32"/>
          <w:highlight w:val="none"/>
          <w:u w:val="none"/>
        </w:rPr>
        <w:t>亿元，审减金额</w:t>
      </w:r>
      <w:r>
        <w:rPr>
          <w:rFonts w:hint="eastAsia" w:eastAsia="仿宋_GB2312" w:cs="仿宋_GB2312"/>
          <w:color w:val="auto"/>
          <w:sz w:val="32"/>
          <w:szCs w:val="32"/>
          <w:highlight w:val="none"/>
          <w:u w:val="none"/>
          <w:lang w:val="en-US" w:eastAsia="zh-CN"/>
        </w:rPr>
        <w:t>1.82</w:t>
      </w:r>
      <w:r>
        <w:rPr>
          <w:rFonts w:hint="eastAsia" w:ascii="Times New Roman" w:hAnsi="Times New Roman" w:eastAsia="仿宋_GB2312" w:cs="仿宋_GB2312"/>
          <w:color w:val="auto"/>
          <w:sz w:val="32"/>
          <w:szCs w:val="32"/>
          <w:highlight w:val="none"/>
          <w:u w:val="none"/>
        </w:rPr>
        <w:t>亿元，平均核减率</w:t>
      </w:r>
      <w:r>
        <w:rPr>
          <w:rFonts w:hint="eastAsia" w:eastAsia="仿宋_GB2312" w:cs="仿宋_GB2312"/>
          <w:color w:val="auto"/>
          <w:sz w:val="32"/>
          <w:szCs w:val="32"/>
          <w:highlight w:val="none"/>
          <w:u w:val="none"/>
          <w:lang w:val="en-US" w:eastAsia="zh-CN"/>
        </w:rPr>
        <w:t>7.94</w:t>
      </w:r>
      <w:r>
        <w:rPr>
          <w:rFonts w:hint="eastAsia" w:ascii="Times New Roman" w:hAnsi="Times New Roman" w:eastAsia="仿宋_GB2312" w:cs="仿宋_GB2312"/>
          <w:color w:val="auto"/>
          <w:sz w:val="32"/>
          <w:szCs w:val="32"/>
          <w:highlight w:val="none"/>
          <w:u w:val="none"/>
        </w:rPr>
        <w:t>%，财政资金</w:t>
      </w:r>
      <w:r>
        <w:rPr>
          <w:rFonts w:hint="eastAsia" w:ascii="Times New Roman" w:hAnsi="Times New Roman" w:eastAsia="仿宋_GB2312" w:cs="仿宋_GB2312"/>
          <w:color w:val="auto"/>
          <w:sz w:val="32"/>
          <w:szCs w:val="32"/>
          <w:highlight w:val="none"/>
          <w:u w:val="none"/>
          <w:lang w:eastAsia="zh-CN"/>
        </w:rPr>
        <w:t>使用效益持续优化</w:t>
      </w:r>
      <w:r>
        <w:rPr>
          <w:rFonts w:hint="eastAsia" w:ascii="Times New Roman" w:hAnsi="Times New Roman" w:eastAsia="仿宋_GB2312" w:cs="仿宋_GB2312"/>
          <w:color w:val="auto"/>
          <w:sz w:val="32"/>
          <w:szCs w:val="32"/>
          <w:highlight w:val="none"/>
          <w:u w:val="none"/>
        </w:rPr>
        <w:t>。</w:t>
      </w:r>
    </w:p>
    <w:p w14:paraId="1E07B572">
      <w:pPr>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（三）风险防控扎实有效，</w:t>
      </w:r>
      <w:r>
        <w:rPr>
          <w:rFonts w:hint="eastAsia" w:ascii="楷体_GB2312" w:hAnsi="楷体_GB2312" w:eastAsia="楷体_GB2312" w:cs="楷体_GB2312"/>
          <w:b/>
          <w:bCs/>
          <w:sz w:val="32"/>
          <w:szCs w:val="32"/>
          <w:highlight w:val="none"/>
          <w:lang w:val="en-US" w:eastAsia="zh-CN"/>
        </w:rPr>
        <w:t>财政大局发展稳健</w:t>
      </w:r>
      <w:r>
        <w:rPr>
          <w:rFonts w:hint="eastAsia" w:ascii="楷体_GB2312" w:hAnsi="楷体_GB2312" w:eastAsia="楷体_GB2312" w:cs="楷体_GB2312"/>
          <w:b/>
          <w:bCs/>
          <w:sz w:val="32"/>
          <w:szCs w:val="32"/>
          <w:highlight w:val="none"/>
        </w:rPr>
        <w:t>。</w:t>
      </w:r>
    </w:p>
    <w:p w14:paraId="1D400E50">
      <w:pPr>
        <w:spacing w:line="560" w:lineRule="exact"/>
        <w:ind w:firstLine="640" w:firstLineChars="200"/>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按时偿还</w:t>
      </w:r>
      <w:r>
        <w:rPr>
          <w:rFonts w:hint="eastAsia" w:eastAsia="仿宋_GB2312" w:cs="仿宋_GB2312"/>
          <w:color w:val="auto"/>
          <w:sz w:val="32"/>
          <w:szCs w:val="32"/>
          <w:highlight w:val="none"/>
          <w:lang w:val="en-US" w:eastAsia="zh-CN"/>
        </w:rPr>
        <w:t>政府法定</w:t>
      </w:r>
      <w:r>
        <w:rPr>
          <w:rFonts w:hint="eastAsia" w:ascii="Times New Roman" w:hAnsi="Times New Roman" w:eastAsia="仿宋_GB2312" w:cs="仿宋_GB2312"/>
          <w:color w:val="auto"/>
          <w:sz w:val="32"/>
          <w:szCs w:val="32"/>
          <w:highlight w:val="none"/>
        </w:rPr>
        <w:t>债券本息，</w:t>
      </w:r>
      <w:r>
        <w:rPr>
          <w:rFonts w:hint="eastAsia" w:eastAsia="仿宋_GB2312" w:cs="仿宋_GB2312"/>
          <w:color w:val="auto"/>
          <w:sz w:val="32"/>
          <w:szCs w:val="32"/>
          <w:highlight w:val="none"/>
          <w:lang w:val="en-US" w:eastAsia="zh-CN"/>
        </w:rPr>
        <w:t>2025年度</w:t>
      </w:r>
      <w:r>
        <w:rPr>
          <w:rFonts w:hint="eastAsia" w:ascii="Times New Roman" w:hAnsi="Times New Roman" w:eastAsia="仿宋_GB2312" w:cs="仿宋_GB2312"/>
          <w:color w:val="auto"/>
          <w:sz w:val="32"/>
          <w:szCs w:val="32"/>
          <w:highlight w:val="none"/>
        </w:rPr>
        <w:t>一般债券、专项债券共计还本4.3</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亿元、付息2.51亿</w:t>
      </w:r>
      <w:r>
        <w:rPr>
          <w:rFonts w:hint="eastAsia" w:ascii="Times New Roman" w:hAnsi="Times New Roman" w:eastAsia="仿宋_GB2312" w:cs="仿宋_GB2312"/>
          <w:color w:val="auto"/>
          <w:sz w:val="32"/>
          <w:szCs w:val="32"/>
          <w:highlight w:val="none"/>
          <w:lang w:eastAsia="zh-CN"/>
        </w:rPr>
        <w:t>元</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2025年累计</w:t>
      </w:r>
      <w:r>
        <w:rPr>
          <w:rFonts w:hint="eastAsia" w:ascii="Times New Roman" w:hAnsi="Times New Roman" w:eastAsia="仿宋_GB2312" w:cs="仿宋_GB2312"/>
          <w:color w:val="auto"/>
          <w:sz w:val="32"/>
          <w:szCs w:val="32"/>
          <w:highlight w:val="none"/>
          <w:lang w:eastAsia="zh-CN"/>
        </w:rPr>
        <w:t>化解</w:t>
      </w:r>
      <w:r>
        <w:rPr>
          <w:rFonts w:hint="eastAsia" w:eastAsia="仿宋_GB2312" w:cs="仿宋_GB2312"/>
          <w:color w:val="auto"/>
          <w:sz w:val="32"/>
          <w:szCs w:val="32"/>
          <w:highlight w:val="none"/>
          <w:lang w:val="en-US" w:eastAsia="zh-CN"/>
        </w:rPr>
        <w:t>融资平台隐性债务</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7.46亿</w:t>
      </w:r>
      <w:r>
        <w:rPr>
          <w:rFonts w:hint="eastAsia" w:ascii="Times New Roman" w:hAnsi="Times New Roman" w:eastAsia="仿宋_GB2312" w:cs="仿宋_GB2312"/>
          <w:color w:val="auto"/>
          <w:sz w:val="32"/>
          <w:szCs w:val="32"/>
          <w:highlight w:val="none"/>
        </w:rPr>
        <w:t>元</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清理</w:t>
      </w:r>
      <w:r>
        <w:rPr>
          <w:rFonts w:hint="eastAsia" w:ascii="Times New Roman" w:hAnsi="Times New Roman" w:eastAsia="仿宋_GB2312" w:cs="仿宋_GB2312"/>
          <w:color w:val="auto"/>
          <w:sz w:val="32"/>
          <w:szCs w:val="32"/>
          <w:highlight w:val="none"/>
        </w:rPr>
        <w:t>拖欠企业账款9829万元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圆满完成全年化债任务</w:t>
      </w:r>
      <w:r>
        <w:rPr>
          <w:rFonts w:hint="eastAsia" w:ascii="Times New Roman" w:hAnsi="Times New Roman" w:eastAsia="仿宋_GB2312" w:cs="仿宋_GB2312"/>
          <w:color w:val="auto"/>
          <w:sz w:val="32"/>
          <w:szCs w:val="32"/>
          <w:highlight w:val="none"/>
          <w:lang w:eastAsia="zh-CN"/>
        </w:rPr>
        <w:t>，风险防控坚实有力</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强化“三保”资金保障</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足额安排“三保”支出预算</w:t>
      </w:r>
      <w:r>
        <w:rPr>
          <w:rFonts w:hint="eastAsia" w:ascii="Times New Roman" w:hAnsi="Times New Roman" w:eastAsia="仿宋_GB2312" w:cs="仿宋_GB2312"/>
          <w:color w:val="auto"/>
          <w:sz w:val="32"/>
          <w:szCs w:val="32"/>
          <w:highlight w:val="none"/>
          <w:lang w:val="en-US" w:eastAsia="zh-CN"/>
        </w:rPr>
        <w:t>14.0</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亿元，“三保”支出已完成</w:t>
      </w:r>
      <w:r>
        <w:rPr>
          <w:rFonts w:hint="eastAsia" w:eastAsia="仿宋_GB2312" w:cs="仿宋_GB2312"/>
          <w:color w:val="auto"/>
          <w:sz w:val="32"/>
          <w:szCs w:val="32"/>
          <w:highlight w:val="none"/>
          <w:lang w:val="en-US" w:eastAsia="zh-CN"/>
        </w:rPr>
        <w:t>14.03</w:t>
      </w:r>
      <w:r>
        <w:rPr>
          <w:rFonts w:hint="eastAsia" w:ascii="Times New Roman" w:hAnsi="Times New Roman" w:eastAsia="仿宋_GB2312" w:cs="仿宋_GB2312"/>
          <w:color w:val="auto"/>
          <w:sz w:val="32"/>
          <w:szCs w:val="32"/>
          <w:highlight w:val="none"/>
        </w:rPr>
        <w:t>亿元，</w:t>
      </w:r>
      <w:r>
        <w:rPr>
          <w:rFonts w:hint="eastAsia" w:eastAsia="仿宋_GB2312" w:cs="仿宋_GB2312"/>
          <w:color w:val="auto"/>
          <w:sz w:val="32"/>
          <w:szCs w:val="32"/>
          <w:highlight w:val="none"/>
          <w:lang w:val="en-US" w:eastAsia="zh-CN"/>
        </w:rPr>
        <w:t>整体</w:t>
      </w:r>
      <w:r>
        <w:rPr>
          <w:rFonts w:hint="eastAsia" w:ascii="Times New Roman" w:hAnsi="Times New Roman" w:eastAsia="仿宋_GB2312" w:cs="仿宋_GB2312"/>
          <w:color w:val="auto"/>
          <w:sz w:val="32"/>
          <w:szCs w:val="32"/>
          <w:highlight w:val="none"/>
        </w:rPr>
        <w:t>支出进度</w:t>
      </w:r>
      <w:r>
        <w:rPr>
          <w:rFonts w:hint="eastAsia" w:eastAsia="仿宋_GB2312" w:cs="仿宋_GB2312"/>
          <w:color w:val="auto"/>
          <w:sz w:val="32"/>
          <w:szCs w:val="32"/>
          <w:highlight w:val="none"/>
          <w:lang w:val="en-US" w:eastAsia="zh-CN"/>
        </w:rPr>
        <w:t>99.7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其中“保基本民生”、“保工资”支出进度均达到100%，民生</w:t>
      </w:r>
      <w:r>
        <w:rPr>
          <w:rFonts w:hint="eastAsia" w:ascii="Times New Roman" w:hAnsi="Times New Roman" w:eastAsia="仿宋_GB2312" w:cs="仿宋_GB2312"/>
          <w:color w:val="auto"/>
          <w:sz w:val="32"/>
          <w:szCs w:val="32"/>
          <w:highlight w:val="none"/>
          <w:lang w:val="en-US" w:eastAsia="zh-CN"/>
        </w:rPr>
        <w:t>保障扎实有力。</w:t>
      </w:r>
    </w:p>
    <w:p w14:paraId="4C7FAFE1">
      <w:pPr>
        <w:spacing w:line="560" w:lineRule="exact"/>
        <w:ind w:firstLine="643" w:firstLineChars="200"/>
        <w:rPr>
          <w:rFonts w:ascii="楷体_GB2312" w:hAnsi="Times New Roman" w:eastAsia="楷体_GB2312" w:cs="仿宋_GB2312"/>
          <w:b/>
          <w:bCs/>
          <w:sz w:val="32"/>
          <w:szCs w:val="32"/>
          <w:highlight w:val="none"/>
        </w:rPr>
      </w:pPr>
      <w:r>
        <w:rPr>
          <w:rFonts w:hint="eastAsia" w:ascii="楷体_GB2312" w:hAnsi="Times New Roman" w:eastAsia="楷体_GB2312" w:cs="仿宋_GB2312"/>
          <w:b/>
          <w:bCs/>
          <w:sz w:val="32"/>
          <w:szCs w:val="32"/>
          <w:highlight w:val="none"/>
        </w:rPr>
        <w:t>（四）服务企业主动作为，营商环境做强做优。</w:t>
      </w:r>
    </w:p>
    <w:p w14:paraId="10BE093E">
      <w:pPr>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缓解企业资金难题</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通过“惠企通”平台兑付惠企资金超过9717万元，财园信贷通审批推荐贷款企业115家，实际放贷112户</w:t>
      </w:r>
      <w:r>
        <w:rPr>
          <w:rFonts w:hint="eastAsia" w:eastAsia="仿宋_GB2312" w:cs="仿宋_GB2312"/>
          <w:sz w:val="32"/>
          <w:szCs w:val="32"/>
          <w:highlight w:val="none"/>
          <w:lang w:eastAsia="zh-CN"/>
        </w:rPr>
        <w:t>，</w:t>
      </w:r>
      <w:r>
        <w:rPr>
          <w:rFonts w:hint="eastAsia" w:eastAsia="仿宋_GB2312" w:cs="仿宋_GB2312"/>
          <w:sz w:val="32"/>
          <w:szCs w:val="32"/>
          <w:highlight w:val="none"/>
          <w:lang w:val="en-US" w:eastAsia="zh-CN"/>
        </w:rPr>
        <w:t>共计发放贷款资金</w:t>
      </w:r>
      <w:r>
        <w:rPr>
          <w:rFonts w:hint="eastAsia" w:ascii="Times New Roman" w:hAnsi="Times New Roman" w:eastAsia="仿宋_GB2312" w:cs="仿宋_GB2312"/>
          <w:sz w:val="32"/>
          <w:szCs w:val="32"/>
          <w:highlight w:val="none"/>
        </w:rPr>
        <w:t>5.39亿元。</w:t>
      </w:r>
      <w:r>
        <w:rPr>
          <w:rFonts w:hint="eastAsia" w:ascii="Times New Roman" w:hAnsi="Times New Roman" w:eastAsia="仿宋_GB2312" w:cs="仿宋_GB2312"/>
          <w:sz w:val="32"/>
          <w:szCs w:val="32"/>
          <w:highlight w:val="none"/>
          <w:lang w:eastAsia="zh-CN"/>
        </w:rPr>
        <w:t>激发科技创新活力</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下拨县级科技奖资金2216万元，推动“科贷通”扩面增效，合作银行增至6家，为20家企业放贷8800万元。规范政府采购管理</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全县政府采购合同总金额1.56亿元，中小微企业合同金额占比93.6%；全面取消投标及履约保证金政策，免收保证金约5278万元，实现全流程“不见面开标”。</w:t>
      </w:r>
    </w:p>
    <w:p w14:paraId="0FFFEE7E">
      <w:pPr>
        <w:spacing w:line="560" w:lineRule="exact"/>
        <w:ind w:firstLine="643" w:firstLineChars="200"/>
        <w:rPr>
          <w:rFonts w:ascii="楷体_GB2312" w:hAnsi="Times New Roman" w:eastAsia="楷体_GB2312" w:cs="仿宋_GB2312"/>
          <w:b/>
          <w:bCs/>
          <w:sz w:val="32"/>
          <w:szCs w:val="32"/>
          <w:highlight w:val="none"/>
        </w:rPr>
      </w:pPr>
      <w:r>
        <w:rPr>
          <w:rFonts w:hint="eastAsia" w:ascii="楷体_GB2312" w:hAnsi="Times New Roman" w:eastAsia="楷体_GB2312" w:cs="仿宋_GB2312"/>
          <w:b/>
          <w:bCs/>
          <w:sz w:val="32"/>
          <w:szCs w:val="32"/>
          <w:highlight w:val="none"/>
        </w:rPr>
        <w:t>（五）聚焦乡村全面振兴，发展基础不断夯实。</w:t>
      </w:r>
    </w:p>
    <w:p w14:paraId="6AB25895">
      <w:pPr>
        <w:spacing w:line="560" w:lineRule="exact"/>
        <w:ind w:firstLine="640" w:firstLineChars="200"/>
        <w:rPr>
          <w:rFonts w:hint="eastAsia" w:ascii="Times New Roman" w:hAnsi="Times New Roman" w:eastAsia="仿宋_GB2312" w:cs="仿宋_GB2312"/>
          <w:color w:val="0000FF"/>
          <w:sz w:val="32"/>
          <w:szCs w:val="32"/>
          <w:highlight w:val="none"/>
        </w:rPr>
      </w:pPr>
      <w:r>
        <w:rPr>
          <w:rFonts w:hint="eastAsia" w:eastAsia="仿宋_GB2312" w:cs="仿宋_GB2312"/>
          <w:sz w:val="32"/>
          <w:szCs w:val="32"/>
          <w:highlight w:val="none"/>
          <w:lang w:val="en-US" w:eastAsia="zh-CN"/>
        </w:rPr>
        <w:t>保障</w:t>
      </w:r>
      <w:r>
        <w:rPr>
          <w:rFonts w:hint="eastAsia" w:ascii="Times New Roman" w:hAnsi="Times New Roman" w:eastAsia="仿宋_GB2312" w:cs="仿宋_GB2312"/>
          <w:sz w:val="32"/>
          <w:szCs w:val="32"/>
          <w:highlight w:val="none"/>
          <w:lang w:eastAsia="zh-CN"/>
        </w:rPr>
        <w:t>惠农补贴</w:t>
      </w:r>
      <w:r>
        <w:rPr>
          <w:rFonts w:hint="eastAsia" w:ascii="Times New Roman" w:hAnsi="Times New Roman" w:eastAsia="仿宋_GB2312" w:cs="仿宋_GB2312"/>
          <w:sz w:val="32"/>
          <w:szCs w:val="32"/>
          <w:highlight w:val="none"/>
          <w:lang w:val="en-US" w:eastAsia="zh-CN"/>
        </w:rPr>
        <w:t>兑现</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累计安排兑现</w:t>
      </w:r>
      <w:r>
        <w:rPr>
          <w:rFonts w:hint="eastAsia" w:ascii="Times New Roman" w:hAnsi="Times New Roman" w:eastAsia="仿宋_GB2312" w:cs="仿宋_GB2312"/>
          <w:sz w:val="32"/>
          <w:szCs w:val="32"/>
          <w:highlight w:val="none"/>
        </w:rPr>
        <w:t>乡村振兴衔接资金5142万元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耕地地力保护补贴3101万元、稻谷目标价格补贴414万元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稳定粮食生产促进早稻生产政策扶持资金620万元</w:t>
      </w:r>
      <w:r>
        <w:rPr>
          <w:rFonts w:hint="eastAsia" w:ascii="Times New Roman" w:hAnsi="Times New Roman" w:eastAsia="仿宋_GB2312" w:cs="仿宋_GB2312"/>
          <w:sz w:val="32"/>
          <w:szCs w:val="32"/>
          <w:highlight w:val="none"/>
          <w:lang w:val="en-US" w:eastAsia="zh-CN"/>
        </w:rPr>
        <w:t>等</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以奖代补”</w:t>
      </w:r>
      <w:r>
        <w:rPr>
          <w:rFonts w:hint="eastAsia" w:ascii="Times New Roman" w:hAnsi="Times New Roman" w:eastAsia="仿宋_GB2312" w:cs="仿宋_GB2312"/>
          <w:sz w:val="32"/>
          <w:szCs w:val="32"/>
          <w:highlight w:val="none"/>
          <w:lang w:eastAsia="zh-CN"/>
        </w:rPr>
        <w:t>壮大村集体经济，</w:t>
      </w:r>
      <w:r>
        <w:rPr>
          <w:rFonts w:hint="eastAsia" w:ascii="Times New Roman" w:hAnsi="Times New Roman" w:eastAsia="仿宋_GB2312" w:cs="仿宋_GB2312"/>
          <w:sz w:val="32"/>
          <w:szCs w:val="32"/>
          <w:highlight w:val="none"/>
        </w:rPr>
        <w:t>奖励经营性收益超10万元的行政村48个、优秀村集体17个</w:t>
      </w:r>
      <w:r>
        <w:rPr>
          <w:rFonts w:hint="eastAsia" w:ascii="Times New Roman" w:hAnsi="Times New Roman" w:eastAsia="仿宋_GB2312" w:cs="仿宋_GB2312"/>
          <w:sz w:val="32"/>
          <w:szCs w:val="32"/>
          <w:highlight w:val="none"/>
          <w:lang w:eastAsia="zh-CN"/>
        </w:rPr>
        <w:t>，共计</w:t>
      </w:r>
      <w:r>
        <w:rPr>
          <w:rFonts w:hint="eastAsia" w:ascii="Times New Roman" w:hAnsi="Times New Roman" w:eastAsia="仿宋_GB2312" w:cs="仿宋_GB2312"/>
          <w:sz w:val="32"/>
          <w:szCs w:val="32"/>
          <w:highlight w:val="none"/>
          <w:lang w:val="en-US" w:eastAsia="zh-CN"/>
        </w:rPr>
        <w:t>201.84万元，推动村级集体经济持续健康发展</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加大财政金融支持，</w:t>
      </w:r>
      <w:r>
        <w:rPr>
          <w:rFonts w:hint="eastAsia" w:ascii="Times New Roman" w:hAnsi="Times New Roman" w:eastAsia="仿宋_GB2312" w:cs="仿宋_GB2312"/>
          <w:sz w:val="32"/>
          <w:szCs w:val="32"/>
          <w:highlight w:val="none"/>
        </w:rPr>
        <w:t>设立1000万元村级集体经济发展基金</w:t>
      </w:r>
      <w:r>
        <w:rPr>
          <w:rFonts w:hint="eastAsia" w:ascii="Times New Roman" w:hAnsi="Times New Roman" w:eastAsia="仿宋_GB2312" w:cs="仿宋_GB2312"/>
          <w:color w:val="0000FF"/>
          <w:sz w:val="32"/>
          <w:szCs w:val="32"/>
          <w:highlight w:val="none"/>
        </w:rPr>
        <w:t>。</w:t>
      </w:r>
    </w:p>
    <w:p w14:paraId="07895885">
      <w:pPr>
        <w:spacing w:line="560" w:lineRule="exact"/>
        <w:ind w:firstLine="643" w:firstLineChars="200"/>
        <w:rPr>
          <w:rFonts w:ascii="楷体_GB2312" w:hAnsi="Times New Roman" w:eastAsia="楷体_GB2312" w:cs="仿宋_GB2312"/>
          <w:b/>
          <w:bCs/>
          <w:sz w:val="32"/>
          <w:szCs w:val="32"/>
          <w:highlight w:val="none"/>
        </w:rPr>
      </w:pPr>
      <w:r>
        <w:rPr>
          <w:rFonts w:hint="eastAsia" w:ascii="楷体_GB2312" w:hAnsi="Times New Roman" w:eastAsia="楷体_GB2312" w:cs="仿宋_GB2312"/>
          <w:b/>
          <w:bCs/>
          <w:sz w:val="32"/>
          <w:szCs w:val="32"/>
          <w:highlight w:val="none"/>
        </w:rPr>
        <w:t>（六）强化</w:t>
      </w:r>
      <w:r>
        <w:rPr>
          <w:rFonts w:hint="eastAsia" w:ascii="楷体_GB2312" w:hAnsi="Times New Roman" w:eastAsia="楷体_GB2312" w:cs="仿宋_GB2312"/>
          <w:b/>
          <w:bCs/>
          <w:sz w:val="32"/>
          <w:szCs w:val="32"/>
          <w:highlight w:val="none"/>
          <w:lang w:eastAsia="zh-CN"/>
        </w:rPr>
        <w:t>财政</w:t>
      </w:r>
      <w:r>
        <w:rPr>
          <w:rFonts w:hint="eastAsia" w:ascii="楷体_GB2312" w:hAnsi="Times New Roman" w:eastAsia="楷体_GB2312" w:cs="仿宋_GB2312"/>
          <w:b/>
          <w:bCs/>
          <w:sz w:val="32"/>
          <w:szCs w:val="32"/>
          <w:highlight w:val="none"/>
        </w:rPr>
        <w:t>监管</w:t>
      </w:r>
      <w:r>
        <w:rPr>
          <w:rFonts w:hint="eastAsia" w:ascii="楷体_GB2312" w:hAnsi="Times New Roman" w:eastAsia="楷体_GB2312" w:cs="仿宋_GB2312"/>
          <w:b/>
          <w:bCs/>
          <w:sz w:val="32"/>
          <w:szCs w:val="32"/>
          <w:highlight w:val="none"/>
          <w:lang w:eastAsia="zh-CN"/>
        </w:rPr>
        <w:t>职能</w:t>
      </w:r>
      <w:r>
        <w:rPr>
          <w:rFonts w:hint="eastAsia" w:ascii="楷体_GB2312" w:hAnsi="Times New Roman" w:eastAsia="楷体_GB2312" w:cs="仿宋_GB2312"/>
          <w:b/>
          <w:bCs/>
          <w:sz w:val="32"/>
          <w:szCs w:val="32"/>
          <w:highlight w:val="none"/>
        </w:rPr>
        <w:t>，</w:t>
      </w:r>
      <w:r>
        <w:rPr>
          <w:rFonts w:hint="eastAsia" w:ascii="楷体_GB2312" w:hAnsi="Times New Roman" w:eastAsia="楷体_GB2312" w:cs="仿宋_GB2312"/>
          <w:b/>
          <w:bCs/>
          <w:sz w:val="32"/>
          <w:szCs w:val="32"/>
          <w:highlight w:val="none"/>
          <w:lang w:val="en-US" w:eastAsia="zh-CN"/>
        </w:rPr>
        <w:t>切实</w:t>
      </w:r>
      <w:r>
        <w:rPr>
          <w:rFonts w:hint="eastAsia" w:ascii="楷体_GB2312" w:hAnsi="Times New Roman" w:eastAsia="楷体_GB2312" w:cs="仿宋_GB2312"/>
          <w:b/>
          <w:bCs/>
          <w:sz w:val="32"/>
          <w:szCs w:val="32"/>
          <w:highlight w:val="none"/>
          <w:lang w:eastAsia="zh-CN"/>
        </w:rPr>
        <w:t>严肃财经纪律</w:t>
      </w:r>
      <w:r>
        <w:rPr>
          <w:rFonts w:hint="eastAsia" w:ascii="楷体_GB2312" w:hAnsi="Times New Roman" w:eastAsia="楷体_GB2312" w:cs="仿宋_GB2312"/>
          <w:b/>
          <w:bCs/>
          <w:sz w:val="32"/>
          <w:szCs w:val="32"/>
          <w:highlight w:val="none"/>
        </w:rPr>
        <w:t>。</w:t>
      </w:r>
    </w:p>
    <w:p w14:paraId="2DBDC277">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color w:val="auto"/>
          <w:sz w:val="32"/>
          <w:szCs w:val="32"/>
          <w:highlight w:val="none"/>
        </w:rPr>
        <w:t>深化问题整改整治</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组织乡镇</w:t>
      </w:r>
      <w:r>
        <w:rPr>
          <w:rFonts w:hint="eastAsia" w:ascii="Times New Roman" w:hAnsi="Times New Roman" w:eastAsia="仿宋_GB2312" w:cs="仿宋_GB2312"/>
          <w:color w:val="auto"/>
          <w:sz w:val="32"/>
          <w:szCs w:val="32"/>
          <w:highlight w:val="none"/>
          <w:lang w:eastAsia="zh-CN"/>
        </w:rPr>
        <w:t>对</w:t>
      </w:r>
      <w:r>
        <w:rPr>
          <w:rFonts w:hint="eastAsia" w:ascii="Times New Roman" w:hAnsi="Times New Roman" w:eastAsia="仿宋_GB2312" w:cs="仿宋_GB2312"/>
          <w:color w:val="auto"/>
          <w:sz w:val="32"/>
          <w:szCs w:val="32"/>
          <w:highlight w:val="none"/>
        </w:rPr>
        <w:t>2022年以来财政资金使用情况</w:t>
      </w:r>
      <w:r>
        <w:rPr>
          <w:rFonts w:hint="eastAsia" w:ascii="Times New Roman" w:hAnsi="Times New Roman" w:eastAsia="仿宋_GB2312" w:cs="仿宋_GB2312"/>
          <w:color w:val="auto"/>
          <w:sz w:val="32"/>
          <w:szCs w:val="32"/>
          <w:highlight w:val="none"/>
          <w:lang w:eastAsia="zh-CN"/>
        </w:rPr>
        <w:t>进行自查自纠、交叉检查和重点抽查</w:t>
      </w:r>
      <w:r>
        <w:rPr>
          <w:rFonts w:hint="eastAsia" w:ascii="Times New Roman" w:hAnsi="Times New Roman" w:eastAsia="仿宋_GB2312" w:cs="仿宋_GB2312"/>
          <w:color w:val="auto"/>
          <w:sz w:val="32"/>
          <w:szCs w:val="32"/>
          <w:highlight w:val="none"/>
        </w:rPr>
        <w:t>，发现问题</w:t>
      </w:r>
      <w:r>
        <w:rPr>
          <w:rFonts w:hint="eastAsia" w:ascii="Times New Roman" w:hAnsi="Times New Roman" w:eastAsia="仿宋_GB2312" w:cs="仿宋_GB2312"/>
          <w:color w:val="auto"/>
          <w:sz w:val="32"/>
          <w:szCs w:val="32"/>
          <w:highlight w:val="none"/>
          <w:lang w:val="en-US" w:eastAsia="zh-CN"/>
        </w:rPr>
        <w:t>79</w:t>
      </w:r>
      <w:r>
        <w:rPr>
          <w:rFonts w:hint="eastAsia" w:ascii="Times New Roman" w:hAnsi="Times New Roman" w:eastAsia="仿宋_GB2312" w:cs="仿宋_GB2312"/>
          <w:color w:val="auto"/>
          <w:sz w:val="32"/>
          <w:szCs w:val="32"/>
          <w:highlight w:val="none"/>
        </w:rPr>
        <w:t>个、涉及金额</w:t>
      </w:r>
      <w:r>
        <w:rPr>
          <w:rFonts w:hint="eastAsia" w:ascii="Times New Roman" w:hAnsi="Times New Roman" w:eastAsia="仿宋_GB2312" w:cs="仿宋_GB2312"/>
          <w:color w:val="auto"/>
          <w:sz w:val="32"/>
          <w:szCs w:val="32"/>
          <w:highlight w:val="none"/>
          <w:lang w:val="en-US" w:eastAsia="zh-CN"/>
        </w:rPr>
        <w:t>182</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整改完成</w:t>
      </w:r>
      <w:r>
        <w:rPr>
          <w:rFonts w:hint="eastAsia" w:ascii="Times New Roman" w:hAnsi="Times New Roman" w:eastAsia="仿宋_GB2312" w:cs="仿宋_GB2312"/>
          <w:color w:val="auto"/>
          <w:sz w:val="32"/>
          <w:szCs w:val="32"/>
          <w:highlight w:val="none"/>
          <w:lang w:val="en-US" w:eastAsia="zh-CN"/>
        </w:rPr>
        <w:t>73</w:t>
      </w:r>
      <w:r>
        <w:rPr>
          <w:rFonts w:hint="eastAsia" w:ascii="Times New Roman" w:hAnsi="Times New Roman" w:eastAsia="仿宋_GB2312" w:cs="仿宋_GB2312"/>
          <w:color w:val="auto"/>
          <w:sz w:val="32"/>
          <w:szCs w:val="32"/>
          <w:highlight w:val="none"/>
        </w:rPr>
        <w:t>个</w:t>
      </w:r>
      <w:r>
        <w:rPr>
          <w:rFonts w:hint="eastAsia" w:ascii="Times New Roman" w:hAnsi="Times New Roman" w:eastAsia="仿宋_GB2312" w:cs="仿宋_GB2312"/>
          <w:color w:val="auto"/>
          <w:sz w:val="32"/>
          <w:szCs w:val="32"/>
          <w:highlight w:val="none"/>
          <w:lang w:eastAsia="zh-CN"/>
        </w:rPr>
        <w:t>。建立健全制度机制</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推动样板乡镇建设，强化乡镇“五费”限额监控，着力</w:t>
      </w:r>
      <w:r>
        <w:rPr>
          <w:rFonts w:hint="eastAsia" w:ascii="Times New Roman" w:hAnsi="Times New Roman" w:eastAsia="仿宋_GB2312" w:cs="仿宋_GB2312"/>
          <w:color w:val="auto"/>
          <w:sz w:val="32"/>
          <w:szCs w:val="32"/>
          <w:highlight w:val="none"/>
        </w:rPr>
        <w:t>构建“2+N”乡镇财政管理制度体系，</w:t>
      </w:r>
      <w:r>
        <w:rPr>
          <w:rFonts w:hint="eastAsia" w:ascii="Times New Roman" w:hAnsi="Times New Roman" w:eastAsia="仿宋_GB2312" w:cs="仿宋_GB2312"/>
          <w:color w:val="auto"/>
          <w:sz w:val="32"/>
          <w:szCs w:val="32"/>
          <w:highlight w:val="none"/>
          <w:lang w:eastAsia="zh-CN"/>
        </w:rPr>
        <w:t>今年以来，</w:t>
      </w:r>
      <w:r>
        <w:rPr>
          <w:rFonts w:hint="eastAsia" w:ascii="Times New Roman" w:hAnsi="Times New Roman" w:eastAsia="仿宋_GB2312" w:cs="仿宋_GB2312"/>
          <w:color w:val="auto"/>
          <w:sz w:val="32"/>
          <w:szCs w:val="32"/>
          <w:highlight w:val="none"/>
        </w:rPr>
        <w:t>新增5项配套文件，</w:t>
      </w:r>
      <w:r>
        <w:rPr>
          <w:rFonts w:hint="eastAsia" w:ascii="Times New Roman" w:hAnsi="Times New Roman" w:eastAsia="仿宋_GB2312" w:cs="仿宋_GB2312"/>
          <w:color w:val="auto"/>
          <w:sz w:val="32"/>
          <w:szCs w:val="32"/>
          <w:highlight w:val="none"/>
          <w:lang w:eastAsia="zh-CN"/>
        </w:rPr>
        <w:t>切实</w:t>
      </w:r>
      <w:r>
        <w:rPr>
          <w:rFonts w:hint="eastAsia" w:ascii="Times New Roman" w:hAnsi="Times New Roman" w:eastAsia="仿宋_GB2312" w:cs="仿宋_GB2312"/>
          <w:color w:val="auto"/>
          <w:sz w:val="32"/>
          <w:szCs w:val="32"/>
          <w:highlight w:val="none"/>
        </w:rPr>
        <w:t>优化资金限额标准与制度衔接</w:t>
      </w:r>
      <w:r>
        <w:rPr>
          <w:rFonts w:hint="eastAsia" w:ascii="Times New Roman" w:hAnsi="Times New Roman" w:eastAsia="仿宋_GB2312" w:cs="仿宋_GB2312"/>
          <w:color w:val="auto"/>
          <w:sz w:val="32"/>
          <w:szCs w:val="32"/>
          <w:highlight w:val="none"/>
          <w:lang w:eastAsia="zh-CN"/>
        </w:rPr>
        <w:t>。财会监督</w:t>
      </w:r>
      <w:r>
        <w:rPr>
          <w:rFonts w:hint="eastAsia" w:eastAsia="仿宋_GB2312" w:cs="仿宋_GB2312"/>
          <w:color w:val="auto"/>
          <w:sz w:val="32"/>
          <w:szCs w:val="32"/>
          <w:highlight w:val="none"/>
          <w:lang w:val="en-US" w:eastAsia="zh-CN"/>
        </w:rPr>
        <w:t>协同</w:t>
      </w:r>
      <w:r>
        <w:rPr>
          <w:rFonts w:hint="eastAsia" w:ascii="Times New Roman" w:hAnsi="Times New Roman" w:eastAsia="仿宋_GB2312" w:cs="仿宋_GB2312"/>
          <w:color w:val="auto"/>
          <w:sz w:val="32"/>
          <w:szCs w:val="32"/>
          <w:highlight w:val="none"/>
          <w:lang w:eastAsia="zh-CN"/>
        </w:rPr>
        <w:t>合力</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牵头村党组织书记、村民委员会主任报酬不能按时发放突出问题民生实事，</w:t>
      </w:r>
      <w:r>
        <w:rPr>
          <w:rFonts w:hint="eastAsia" w:ascii="Times New Roman" w:hAnsi="Times New Roman" w:eastAsia="仿宋_GB2312" w:cs="仿宋_GB2312"/>
          <w:color w:val="auto"/>
          <w:sz w:val="32"/>
          <w:szCs w:val="32"/>
          <w:highlight w:val="none"/>
        </w:rPr>
        <w:t>协同县直各部门推进“三大突击战”、殡葬、工程招投标等领域专项整治，发现并整改一批问题</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移交一批线索</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切实维护财政纪律。</w:t>
      </w:r>
    </w:p>
    <w:p w14:paraId="735C54A1">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center"/>
        <w:textAlignment w:val="auto"/>
        <w:rPr>
          <w:rFonts w:ascii="方正小标宋简体" w:hAnsi="黑体" w:eastAsia="方正小标宋简体" w:cs="方正小标宋简体"/>
          <w:sz w:val="44"/>
          <w:szCs w:val="44"/>
          <w:highlight w:val="none"/>
        </w:rPr>
      </w:pPr>
    </w:p>
    <w:p w14:paraId="6CF03A87">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both"/>
        <w:textAlignment w:val="auto"/>
        <w:rPr>
          <w:rFonts w:ascii="方正小标宋简体" w:hAnsi="黑体" w:eastAsia="方正小标宋简体" w:cs="方正小标宋简体"/>
          <w:sz w:val="44"/>
          <w:szCs w:val="44"/>
          <w:highlight w:val="none"/>
        </w:rPr>
      </w:pPr>
    </w:p>
    <w:p w14:paraId="6B7593C3">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center"/>
        <w:textAlignment w:val="auto"/>
        <w:rPr>
          <w:rFonts w:hint="eastAsia" w:ascii="黑体" w:hAnsi="黑体" w:eastAsia="方正小标宋简体" w:cs="Times New Roman"/>
          <w:b/>
          <w:bCs/>
          <w:sz w:val="44"/>
          <w:szCs w:val="44"/>
          <w:highlight w:val="none"/>
          <w:lang w:val="en-US" w:eastAsia="zh-CN"/>
        </w:rPr>
      </w:pPr>
      <w:r>
        <w:rPr>
          <w:rFonts w:ascii="方正小标宋简体" w:hAnsi="黑体" w:eastAsia="方正小标宋简体" w:cs="方正小标宋简体"/>
          <w:sz w:val="44"/>
          <w:szCs w:val="44"/>
          <w:highlight w:val="none"/>
        </w:rPr>
        <w:t>202</w:t>
      </w:r>
      <w:r>
        <w:rPr>
          <w:rFonts w:hint="eastAsia" w:ascii="方正小标宋简体" w:hAnsi="黑体" w:eastAsia="方正小标宋简体" w:cs="方正小标宋简体"/>
          <w:sz w:val="44"/>
          <w:szCs w:val="44"/>
          <w:highlight w:val="none"/>
          <w:lang w:val="en-US" w:eastAsia="zh-CN"/>
        </w:rPr>
        <w:t>6</w:t>
      </w:r>
      <w:r>
        <w:rPr>
          <w:rFonts w:hint="eastAsia" w:ascii="方正小标宋简体" w:hAnsi="黑体" w:eastAsia="方正小标宋简体" w:cs="方正小标宋简体"/>
          <w:sz w:val="44"/>
          <w:szCs w:val="44"/>
          <w:highlight w:val="none"/>
        </w:rPr>
        <w:t>年财政预算安排</w:t>
      </w:r>
      <w:r>
        <w:rPr>
          <w:rFonts w:hint="eastAsia" w:ascii="方正小标宋简体" w:hAnsi="黑体" w:eastAsia="方正小标宋简体" w:cs="方正小标宋简体"/>
          <w:sz w:val="44"/>
          <w:szCs w:val="44"/>
          <w:highlight w:val="none"/>
          <w:lang w:val="en-US" w:eastAsia="zh-CN"/>
        </w:rPr>
        <w:t>情况</w:t>
      </w:r>
      <w:r>
        <w:rPr>
          <w:rFonts w:hint="eastAsia" w:ascii="方正小标宋简体" w:hAnsi="黑体" w:eastAsia="方正小标宋简体" w:cs="方正小标宋简体"/>
          <w:sz w:val="44"/>
          <w:szCs w:val="44"/>
          <w:highlight w:val="none"/>
        </w:rPr>
        <w:t>（草案）</w:t>
      </w:r>
    </w:p>
    <w:p w14:paraId="17C31E75">
      <w:pPr>
        <w:pStyle w:val="2"/>
        <w:pageBreakBefore w:val="0"/>
        <w:kinsoku/>
        <w:wordWrap/>
        <w:overflowPunct/>
        <w:topLinePunct w:val="0"/>
        <w:autoSpaceDE/>
        <w:autoSpaceDN/>
        <w:bidi w:val="0"/>
        <w:adjustRightInd/>
        <w:spacing w:before="0" w:after="0" w:line="54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rPr>
        <w:t>一、</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6</w:t>
      </w:r>
      <w:r>
        <w:rPr>
          <w:rFonts w:hint="eastAsia" w:ascii="黑体" w:hAnsi="黑体" w:eastAsia="黑体" w:cs="黑体"/>
          <w:b w:val="0"/>
          <w:bCs w:val="0"/>
          <w:sz w:val="32"/>
          <w:szCs w:val="32"/>
          <w:highlight w:val="none"/>
        </w:rPr>
        <w:t>年一般公共预算安排</w:t>
      </w:r>
      <w:r>
        <w:rPr>
          <w:rFonts w:hint="eastAsia" w:ascii="黑体" w:hAnsi="黑体" w:eastAsia="黑体" w:cs="黑体"/>
          <w:b w:val="0"/>
          <w:bCs w:val="0"/>
          <w:sz w:val="32"/>
          <w:szCs w:val="32"/>
          <w:highlight w:val="none"/>
          <w:lang w:val="en-US" w:eastAsia="zh-CN"/>
        </w:rPr>
        <w:t>情况</w:t>
      </w:r>
      <w:r>
        <w:rPr>
          <w:rFonts w:hint="eastAsia" w:ascii="黑体" w:hAnsi="黑体" w:eastAsia="黑体" w:cs="黑体"/>
          <w:b w:val="0"/>
          <w:bCs w:val="0"/>
          <w:sz w:val="32"/>
          <w:szCs w:val="32"/>
          <w:highlight w:val="none"/>
        </w:rPr>
        <w:t>（草案）</w:t>
      </w:r>
      <w:r>
        <w:rPr>
          <w:rFonts w:eastAsia="仿宋"/>
          <w:b w:val="0"/>
          <w:bCs w:val="0"/>
          <w:sz w:val="32"/>
          <w:szCs w:val="32"/>
          <w:highlight w:val="none"/>
        </w:rPr>
        <w:t xml:space="preserve">   </w:t>
      </w:r>
      <w:r>
        <w:rPr>
          <w:rFonts w:ascii="楷体_GB2312" w:hAnsi="楷体" w:eastAsia="楷体_GB2312" w:cs="楷体_GB2312"/>
          <w:b w:val="0"/>
          <w:bCs w:val="0"/>
          <w:sz w:val="32"/>
          <w:szCs w:val="32"/>
          <w:highlight w:val="none"/>
        </w:rPr>
        <w:t xml:space="preserve"> </w:t>
      </w:r>
    </w:p>
    <w:p w14:paraId="18B2861F">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2026年是“十五五”规划开局之年，做好明年的财政工作责任重大、意义重大。2026年预算编制工作的指导思想是：坚持以习近平新时代中国特色社会主义思想为指导，深入贯彻党的二十大和二十届</w:t>
      </w:r>
      <w:r>
        <w:rPr>
          <w:rFonts w:hint="eastAsia" w:eastAsia="仿宋_GB2312" w:cs="仿宋_GB2312"/>
          <w:color w:val="auto"/>
          <w:sz w:val="32"/>
          <w:szCs w:val="32"/>
          <w:highlight w:val="none"/>
          <w:lang w:val="en-US" w:eastAsia="zh-CN"/>
        </w:rPr>
        <w:t>三中、</w:t>
      </w:r>
      <w:r>
        <w:rPr>
          <w:rFonts w:hint="eastAsia" w:ascii="Times New Roman" w:hAnsi="Times New Roman" w:eastAsia="仿宋_GB2312" w:cs="仿宋_GB2312"/>
          <w:color w:val="auto"/>
          <w:sz w:val="32"/>
          <w:szCs w:val="32"/>
          <w:highlight w:val="none"/>
          <w:lang w:val="en-US" w:eastAsia="zh-CN"/>
        </w:rPr>
        <w:t>四中全会精神，全面落实习近平总书记考察江西重要讲话精神，准确把握中央经济工作会议精神，聚焦“走在前、勇争先、善作为”目标要求</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加强财政资源科学统筹和合理分配，推进零基预算改革，加快预算项目支出标准体系建设，牢固树立“过紧日子”思想，严控一般性支出，不断增强落实重大战略任务和“三保”支出的保障能力，凝心聚力描绘中国式现代化“湖口画卷”，为九江高标准建设长江经济带重要节点城市提供更加坚实的财政保障。</w:t>
      </w:r>
    </w:p>
    <w:p w14:paraId="2AA52BD6">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根据上述指导思想，综合考虑各种因素，我们编制了 2026 年预算草案。</w:t>
      </w:r>
    </w:p>
    <w:p w14:paraId="13D0047E">
      <w:pPr>
        <w:pageBreakBefore w:val="0"/>
        <w:kinsoku/>
        <w:wordWrap/>
        <w:overflowPunct/>
        <w:topLinePunct w:val="0"/>
        <w:autoSpaceDE/>
        <w:autoSpaceDN/>
        <w:bidi w:val="0"/>
        <w:adjustRightInd/>
        <w:spacing w:line="560" w:lineRule="exact"/>
        <w:ind w:firstLine="643"/>
        <w:jc w:val="left"/>
        <w:textAlignment w:val="auto"/>
        <w:rPr>
          <w:rFonts w:hint="default" w:eastAsia="楷体_GB2312" w:cs="Times New Roman"/>
          <w:sz w:val="32"/>
          <w:szCs w:val="32"/>
          <w:highlight w:val="none"/>
          <w:lang w:val="en-US" w:eastAsia="zh-CN"/>
        </w:rPr>
      </w:pPr>
      <w:r>
        <w:rPr>
          <w:rFonts w:hint="eastAsia" w:ascii="楷体_GB2312" w:hAnsi="楷体" w:eastAsia="楷体_GB2312" w:cs="楷体_GB2312"/>
          <w:b/>
          <w:bCs/>
          <w:sz w:val="32"/>
          <w:szCs w:val="32"/>
          <w:highlight w:val="none"/>
        </w:rPr>
        <w:t>（一）</w:t>
      </w:r>
      <w:r>
        <w:rPr>
          <w:rFonts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年一般公共预算收入</w:t>
      </w:r>
      <w:r>
        <w:rPr>
          <w:rFonts w:hint="eastAsia" w:ascii="楷体_GB2312" w:hAnsi="楷体" w:eastAsia="楷体_GB2312" w:cs="楷体_GB2312"/>
          <w:b/>
          <w:bCs/>
          <w:sz w:val="32"/>
          <w:szCs w:val="32"/>
          <w:highlight w:val="none"/>
          <w:lang w:val="en-US" w:eastAsia="zh-CN"/>
        </w:rPr>
        <w:t>安排情况</w:t>
      </w:r>
    </w:p>
    <w:p w14:paraId="2E491637">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2026年一般公共预算收入计划安排286</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00万元，</w:t>
      </w:r>
      <w:r>
        <w:rPr>
          <w:rFonts w:hint="eastAsia" w:eastAsia="仿宋_GB2312" w:cs="仿宋_GB2312"/>
          <w:color w:val="auto"/>
          <w:sz w:val="32"/>
          <w:szCs w:val="32"/>
          <w:highlight w:val="none"/>
          <w:lang w:val="en-US" w:eastAsia="zh-CN"/>
        </w:rPr>
        <w:t>保持正增长</w:t>
      </w:r>
      <w:r>
        <w:rPr>
          <w:rFonts w:hint="eastAsia" w:ascii="Times New Roman" w:hAnsi="Times New Roman" w:eastAsia="仿宋_GB2312" w:cs="仿宋_GB2312"/>
          <w:color w:val="auto"/>
          <w:sz w:val="32"/>
          <w:szCs w:val="32"/>
          <w:highlight w:val="none"/>
          <w:lang w:val="en-US" w:eastAsia="zh-CN"/>
        </w:rPr>
        <w:t>，其中：税收收入186000万元，较上年预计执行数增长</w:t>
      </w:r>
      <w:r>
        <w:rPr>
          <w:rFonts w:hint="eastAsia"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lang w:val="en-US" w:eastAsia="zh-CN"/>
        </w:rPr>
        <w:t>%；非税收入100</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00万元，较上年预计执行数下降4%。</w:t>
      </w:r>
    </w:p>
    <w:p w14:paraId="1694D1CB">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2026年预计全县一般公共预算可用财力为</w:t>
      </w:r>
      <w:r>
        <w:rPr>
          <w:rFonts w:hint="eastAsia" w:eastAsia="仿宋_GB2312" w:cs="仿宋_GB2312"/>
          <w:color w:val="auto"/>
          <w:sz w:val="32"/>
          <w:szCs w:val="32"/>
          <w:highlight w:val="none"/>
          <w:lang w:val="en-US" w:eastAsia="zh-CN"/>
        </w:rPr>
        <w:t>492451</w:t>
      </w:r>
      <w:r>
        <w:rPr>
          <w:rFonts w:hint="eastAsia" w:ascii="Times New Roman" w:hAnsi="Times New Roman" w:eastAsia="仿宋_GB2312" w:cs="仿宋_GB2312"/>
          <w:color w:val="auto"/>
          <w:sz w:val="32"/>
          <w:szCs w:val="32"/>
          <w:highlight w:val="none"/>
          <w:lang w:val="en-US" w:eastAsia="zh-CN"/>
        </w:rPr>
        <w:t>万元，其中：</w:t>
      </w:r>
    </w:p>
    <w:p w14:paraId="44E5F78C">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一般公共预算收入286</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00万元，预计上级财力性补助收入62797万元，预计调入资金12000万元，预计下达上级专项50000万元，预计新增</w:t>
      </w:r>
      <w:r>
        <w:rPr>
          <w:rFonts w:hint="eastAsia" w:eastAsia="仿宋_GB2312" w:cs="仿宋_GB2312"/>
          <w:color w:val="auto"/>
          <w:sz w:val="32"/>
          <w:szCs w:val="32"/>
          <w:highlight w:val="none"/>
          <w:lang w:val="en-US" w:eastAsia="zh-CN"/>
        </w:rPr>
        <w:t>一般</w:t>
      </w:r>
      <w:r>
        <w:rPr>
          <w:rFonts w:hint="eastAsia" w:ascii="Times New Roman" w:hAnsi="Times New Roman" w:eastAsia="仿宋_GB2312" w:cs="仿宋_GB2312"/>
          <w:color w:val="auto"/>
          <w:sz w:val="32"/>
          <w:szCs w:val="32"/>
          <w:highlight w:val="none"/>
          <w:lang w:val="en-US" w:eastAsia="zh-CN"/>
        </w:rPr>
        <w:t>债券</w:t>
      </w:r>
      <w:r>
        <w:rPr>
          <w:rFonts w:hint="eastAsia" w:eastAsia="仿宋_GB2312" w:cs="仿宋_GB2312"/>
          <w:color w:val="auto"/>
          <w:sz w:val="32"/>
          <w:szCs w:val="32"/>
          <w:highlight w:val="none"/>
          <w:lang w:val="en-US" w:eastAsia="zh-CN"/>
        </w:rPr>
        <w:t>22054万元，</w:t>
      </w:r>
      <w:r>
        <w:rPr>
          <w:rFonts w:hint="eastAsia" w:ascii="Times New Roman" w:hAnsi="Times New Roman" w:eastAsia="仿宋_GB2312" w:cs="仿宋_GB2312"/>
          <w:color w:val="auto"/>
          <w:sz w:val="32"/>
          <w:szCs w:val="32"/>
          <w:highlight w:val="none"/>
          <w:lang w:val="en-US" w:eastAsia="zh-CN"/>
        </w:rPr>
        <w:t>预计上年结余收入9100万元，预计动用预算稳定调节基金50000万元。</w:t>
      </w:r>
    </w:p>
    <w:p w14:paraId="45569F35">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因目前上级补助收入、上级专项指标还未</w:t>
      </w:r>
      <w:r>
        <w:rPr>
          <w:rFonts w:hint="eastAsia" w:eastAsia="仿宋_GB2312" w:cs="仿宋_GB2312"/>
          <w:color w:val="auto"/>
          <w:sz w:val="32"/>
          <w:szCs w:val="32"/>
          <w:highlight w:val="none"/>
          <w:lang w:val="en-US" w:eastAsia="zh-CN"/>
        </w:rPr>
        <w:t>完整</w:t>
      </w:r>
      <w:r>
        <w:rPr>
          <w:rFonts w:hint="eastAsia" w:ascii="Times New Roman" w:hAnsi="Times New Roman" w:eastAsia="仿宋_GB2312" w:cs="仿宋_GB2312"/>
          <w:color w:val="auto"/>
          <w:sz w:val="32"/>
          <w:szCs w:val="32"/>
          <w:highlight w:val="none"/>
          <w:lang w:val="en-US" w:eastAsia="zh-CN"/>
        </w:rPr>
        <w:t>下达，因此上级补助收入、上级专项</w:t>
      </w:r>
      <w:r>
        <w:rPr>
          <w:rFonts w:hint="eastAsia" w:eastAsia="仿宋_GB2312" w:cs="仿宋_GB2312"/>
          <w:color w:val="auto"/>
          <w:sz w:val="32"/>
          <w:szCs w:val="32"/>
          <w:highlight w:val="none"/>
          <w:lang w:val="en-US" w:eastAsia="zh-CN"/>
        </w:rPr>
        <w:t>收入</w:t>
      </w:r>
      <w:r>
        <w:rPr>
          <w:rFonts w:hint="eastAsia" w:ascii="Times New Roman" w:hAnsi="Times New Roman" w:eastAsia="仿宋_GB2312" w:cs="仿宋_GB2312"/>
          <w:color w:val="auto"/>
          <w:sz w:val="32"/>
          <w:szCs w:val="32"/>
          <w:highlight w:val="none"/>
          <w:lang w:val="en-US" w:eastAsia="zh-CN"/>
        </w:rPr>
        <w:t>均按预计数列入2026年预算，待进一步测算后列入预算收支安排。</w:t>
      </w:r>
    </w:p>
    <w:p w14:paraId="0B3F5127">
      <w:pPr>
        <w:pageBreakBefore w:val="0"/>
        <w:kinsoku/>
        <w:wordWrap/>
        <w:overflowPunct/>
        <w:topLinePunct w:val="0"/>
        <w:autoSpaceDE/>
        <w:autoSpaceDN/>
        <w:bidi w:val="0"/>
        <w:adjustRightInd/>
        <w:spacing w:line="560" w:lineRule="exact"/>
        <w:ind w:firstLine="643"/>
        <w:jc w:val="left"/>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（二）202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年一般公共预算支出编制的初步原则</w:t>
      </w:r>
    </w:p>
    <w:p w14:paraId="215EE0D2">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2026年公共财政县本级支出预算，初步按照以下原则编制：</w:t>
      </w:r>
    </w:p>
    <w:p w14:paraId="4FC1CCB5">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坚持政治引领。严格落实2025年中央经济工作会议精神，完整准确全面贯彻新发展理念，着力推动高质量发展，坚持稳中求进工作总基调，更好统筹发展和安全，持续防范化解重点领域风险，推动经济实现质的有效提升和量的合理增长，保持社会和谐稳定，实现“十五五”良好开局。</w:t>
      </w:r>
    </w:p>
    <w:p w14:paraId="10C93BC7">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坚持预算法定。坚持依法行政、依法理财，严格按照预算法等法律法规要求编制预算，严格执行人大批复的法定预算，非经规范程序不得随意调整部门预算，坚决做到“无预算、不支出”，进一步强化预算硬约束。</w:t>
      </w:r>
    </w:p>
    <w:p w14:paraId="37EA9879">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坚持量财办事。坚持将党政机关习惯“过紧日子”的各项要求落实落细，厉行节约办好一切事业。进一步深化落实“零基预算”，根据实际需要和财政支出政策、经费支出标准、现实财力可能精准安排预算，坚持有保有压、量入为出，实现有限公共资源与政策目标的有效匹配。</w:t>
      </w:r>
    </w:p>
    <w:p w14:paraId="38A578A3">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4.坚持绩效导向。严格按照全方位、全过程、全覆盖的要求，牢固树立成本效益理念，持续推进绩效管理提质增效，将绩效理念和方法融入预算管理全过程，充分发挥预算绩效管理的引导约束作用。</w:t>
      </w:r>
    </w:p>
    <w:p w14:paraId="49ECC3EB">
      <w:pPr>
        <w:pageBreakBefore w:val="0"/>
        <w:kinsoku/>
        <w:wordWrap/>
        <w:overflowPunct/>
        <w:topLinePunct w:val="0"/>
        <w:autoSpaceDE/>
        <w:autoSpaceDN/>
        <w:bidi w:val="0"/>
        <w:adjustRightInd/>
        <w:spacing w:line="560" w:lineRule="exact"/>
        <w:ind w:firstLine="643"/>
        <w:jc w:val="left"/>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w:t>
      </w:r>
      <w:r>
        <w:rPr>
          <w:rFonts w:hint="eastAsia" w:ascii="楷体_GB2312" w:hAnsi="楷体" w:eastAsia="楷体_GB2312" w:cs="楷体_GB2312"/>
          <w:b/>
          <w:bCs/>
          <w:sz w:val="32"/>
          <w:szCs w:val="32"/>
          <w:highlight w:val="none"/>
          <w:lang w:val="en-US" w:eastAsia="zh-CN"/>
        </w:rPr>
        <w:t>三</w:t>
      </w:r>
      <w:r>
        <w:rPr>
          <w:rFonts w:hint="eastAsia"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年一般公共预算支出安排情况</w:t>
      </w:r>
    </w:p>
    <w:p w14:paraId="1B24EA50">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2026年一般公共预算安排支出</w:t>
      </w:r>
      <w:r>
        <w:rPr>
          <w:rFonts w:hint="eastAsia" w:eastAsia="仿宋_GB2312" w:cs="仿宋_GB2312"/>
          <w:color w:val="auto"/>
          <w:sz w:val="32"/>
          <w:szCs w:val="32"/>
          <w:highlight w:val="none"/>
          <w:lang w:val="en-US" w:eastAsia="zh-CN"/>
        </w:rPr>
        <w:t>492451</w:t>
      </w:r>
      <w:r>
        <w:rPr>
          <w:rFonts w:hint="eastAsia" w:ascii="Times New Roman" w:hAnsi="Times New Roman" w:eastAsia="仿宋_GB2312" w:cs="仿宋_GB2312"/>
          <w:color w:val="auto"/>
          <w:sz w:val="32"/>
          <w:szCs w:val="32"/>
          <w:highlight w:val="none"/>
          <w:lang w:val="en-US" w:eastAsia="zh-CN"/>
        </w:rPr>
        <w:t>万元,初步安排如下：</w:t>
      </w:r>
    </w:p>
    <w:p w14:paraId="7E1C7907">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1.基本支出</w:t>
      </w:r>
    </w:p>
    <w:p w14:paraId="723DADAA">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2026年基本支出共计1351</w:t>
      </w:r>
      <w:r>
        <w:rPr>
          <w:rFonts w:hint="eastAsia" w:eastAsia="仿宋_GB2312" w:cs="仿宋_GB2312"/>
          <w:color w:val="auto"/>
          <w:sz w:val="32"/>
          <w:szCs w:val="32"/>
          <w:highlight w:val="none"/>
          <w:lang w:val="en-US" w:eastAsia="zh-CN"/>
        </w:rPr>
        <w:t>80</w:t>
      </w:r>
      <w:r>
        <w:rPr>
          <w:rFonts w:hint="eastAsia" w:ascii="Times New Roman" w:hAnsi="Times New Roman" w:eastAsia="仿宋_GB2312" w:cs="仿宋_GB2312"/>
          <w:color w:val="auto"/>
          <w:sz w:val="32"/>
          <w:szCs w:val="32"/>
          <w:highlight w:val="none"/>
          <w:lang w:val="en-US" w:eastAsia="zh-CN"/>
        </w:rPr>
        <w:t>万元，较去年预算安排增加53</w:t>
      </w:r>
      <w:r>
        <w:rPr>
          <w:rFonts w:hint="eastAsia" w:eastAsia="仿宋_GB2312" w:cs="仿宋_GB2312"/>
          <w:color w:val="auto"/>
          <w:sz w:val="32"/>
          <w:szCs w:val="32"/>
          <w:highlight w:val="none"/>
          <w:lang w:val="en-US" w:eastAsia="zh-CN"/>
        </w:rPr>
        <w:t>99</w:t>
      </w:r>
      <w:r>
        <w:rPr>
          <w:rFonts w:hint="eastAsia" w:ascii="Times New Roman" w:hAnsi="Times New Roman" w:eastAsia="仿宋_GB2312" w:cs="仿宋_GB2312"/>
          <w:color w:val="auto"/>
          <w:sz w:val="32"/>
          <w:szCs w:val="32"/>
          <w:highlight w:val="none"/>
          <w:lang w:val="en-US" w:eastAsia="zh-CN"/>
        </w:rPr>
        <w:t>万元。其中：</w:t>
      </w:r>
    </w:p>
    <w:p w14:paraId="2934A4C3">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人员支出1229</w:t>
      </w:r>
      <w:r>
        <w:rPr>
          <w:rFonts w:hint="eastAsia" w:eastAsia="仿宋_GB2312" w:cs="仿宋_GB2312"/>
          <w:color w:val="auto"/>
          <w:sz w:val="32"/>
          <w:szCs w:val="32"/>
          <w:highlight w:val="none"/>
          <w:lang w:val="en-US" w:eastAsia="zh-CN"/>
        </w:rPr>
        <w:t>80</w:t>
      </w:r>
      <w:r>
        <w:rPr>
          <w:rFonts w:hint="eastAsia" w:ascii="Times New Roman" w:hAnsi="Times New Roman" w:eastAsia="仿宋_GB2312" w:cs="仿宋_GB2312"/>
          <w:color w:val="auto"/>
          <w:sz w:val="32"/>
          <w:szCs w:val="32"/>
          <w:highlight w:val="none"/>
          <w:lang w:val="en-US" w:eastAsia="zh-CN"/>
        </w:rPr>
        <w:t>万元，较上年预算安排增加65</w:t>
      </w:r>
      <w:r>
        <w:rPr>
          <w:rFonts w:hint="eastAsia" w:eastAsia="仿宋_GB2312" w:cs="仿宋_GB2312"/>
          <w:color w:val="auto"/>
          <w:sz w:val="32"/>
          <w:szCs w:val="32"/>
          <w:highlight w:val="none"/>
          <w:lang w:val="en-US" w:eastAsia="zh-CN"/>
        </w:rPr>
        <w:t>55</w:t>
      </w:r>
      <w:r>
        <w:rPr>
          <w:rFonts w:hint="eastAsia" w:ascii="Times New Roman" w:hAnsi="Times New Roman" w:eastAsia="仿宋_GB2312" w:cs="仿宋_GB2312"/>
          <w:color w:val="auto"/>
          <w:sz w:val="32"/>
          <w:szCs w:val="32"/>
          <w:highlight w:val="none"/>
          <w:lang w:val="en-US" w:eastAsia="zh-CN"/>
        </w:rPr>
        <w:t>万元。</w:t>
      </w:r>
    </w:p>
    <w:p w14:paraId="0C9B4A0B">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主要变化原因为：乡镇绩效奖励以及补贴增加3188万元、机关事业养老县级配套增加1000万元、增加教师绩效等</w:t>
      </w:r>
      <w:r>
        <w:rPr>
          <w:rFonts w:hint="eastAsia" w:eastAsia="仿宋_GB2312" w:cs="仿宋_GB2312"/>
          <w:color w:val="auto"/>
          <w:sz w:val="32"/>
          <w:szCs w:val="32"/>
          <w:highlight w:val="none"/>
          <w:lang w:val="en-US" w:eastAsia="zh-CN"/>
        </w:rPr>
        <w:t>1408</w:t>
      </w:r>
      <w:r>
        <w:rPr>
          <w:rFonts w:hint="eastAsia" w:ascii="Times New Roman" w:hAnsi="Times New Roman" w:eastAsia="仿宋_GB2312" w:cs="仿宋_GB2312"/>
          <w:color w:val="auto"/>
          <w:sz w:val="32"/>
          <w:szCs w:val="32"/>
          <w:highlight w:val="none"/>
          <w:lang w:val="en-US" w:eastAsia="zh-CN"/>
        </w:rPr>
        <w:t>万元、其它工资及附加性支出正常增长等。</w:t>
      </w:r>
    </w:p>
    <w:p w14:paraId="6D56998F">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（2）基本公用支出12200万元，较上年预算安排减少1156万元，主要变化原因为：单位定额公用标准较上年压减10%，减少约400万元；教育系统师均公用经费提标，增加659万元；</w:t>
      </w:r>
      <w:r>
        <w:rPr>
          <w:rFonts w:hint="eastAsia" w:eastAsia="仿宋_GB2312" w:cs="仿宋_GB2312"/>
          <w:color w:val="auto"/>
          <w:sz w:val="32"/>
          <w:szCs w:val="32"/>
          <w:highlight w:val="none"/>
          <w:lang w:val="en-US" w:eastAsia="zh-CN"/>
        </w:rPr>
        <w:t>部分单位安排的执法工作经费</w:t>
      </w:r>
      <w:r>
        <w:rPr>
          <w:rFonts w:hint="eastAsia" w:ascii="Times New Roman" w:hAnsi="Times New Roman" w:eastAsia="仿宋_GB2312" w:cs="仿宋_GB2312"/>
          <w:color w:val="auto"/>
          <w:sz w:val="32"/>
          <w:szCs w:val="32"/>
          <w:highlight w:val="none"/>
          <w:lang w:val="en-US" w:eastAsia="zh-CN"/>
        </w:rPr>
        <w:t>6416万元，较2025年减少1389万元等。</w:t>
      </w:r>
    </w:p>
    <w:p w14:paraId="0E3E0AFD">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2.县本级专项支出</w:t>
      </w:r>
    </w:p>
    <w:p w14:paraId="4B56F822">
      <w:pPr>
        <w:spacing w:line="560" w:lineRule="exact"/>
        <w:ind w:firstLine="640" w:firstLineChars="20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严格落实“零基预算”要求，</w:t>
      </w:r>
      <w:r>
        <w:rPr>
          <w:rFonts w:hint="eastAsia" w:eastAsia="仿宋_GB2312" w:cs="仿宋_GB2312"/>
          <w:color w:val="auto"/>
          <w:sz w:val="32"/>
          <w:szCs w:val="32"/>
          <w:highlight w:val="none"/>
          <w:lang w:val="en-US" w:eastAsia="zh-CN"/>
        </w:rPr>
        <w:t>强化预算编制审核，</w:t>
      </w:r>
      <w:r>
        <w:rPr>
          <w:rFonts w:hint="eastAsia" w:ascii="Times New Roman" w:hAnsi="Times New Roman" w:eastAsia="仿宋_GB2312" w:cs="仿宋_GB2312"/>
          <w:color w:val="auto"/>
          <w:sz w:val="32"/>
          <w:szCs w:val="32"/>
          <w:highlight w:val="none"/>
          <w:lang w:val="en-US" w:eastAsia="zh-CN"/>
        </w:rPr>
        <w:t>在编制2026年预算时</w:t>
      </w:r>
      <w:r>
        <w:rPr>
          <w:rFonts w:hint="eastAsia" w:eastAsia="仿宋_GB2312" w:cs="仿宋_GB2312"/>
          <w:color w:val="auto"/>
          <w:sz w:val="32"/>
          <w:szCs w:val="32"/>
          <w:highlight w:val="none"/>
          <w:lang w:val="en-US" w:eastAsia="zh-CN"/>
        </w:rPr>
        <w:t>，逐项对各部门提供的文件依据进行审核，并明确无依据的一律不予以列入预算，确保县本级专项安排准确完整。</w:t>
      </w:r>
    </w:p>
    <w:p w14:paraId="3FDA1504">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2026年县本级专项安排</w:t>
      </w:r>
      <w:r>
        <w:rPr>
          <w:rFonts w:hint="eastAsia" w:eastAsia="仿宋_GB2312" w:cs="仿宋_GB2312"/>
          <w:color w:val="auto"/>
          <w:sz w:val="32"/>
          <w:szCs w:val="32"/>
          <w:highlight w:val="none"/>
          <w:lang w:val="en-US" w:eastAsia="zh-CN"/>
        </w:rPr>
        <w:t>226179</w:t>
      </w:r>
      <w:r>
        <w:rPr>
          <w:rFonts w:hint="eastAsia" w:ascii="Times New Roman" w:hAnsi="Times New Roman" w:eastAsia="仿宋_GB2312" w:cs="仿宋_GB2312"/>
          <w:color w:val="auto"/>
          <w:sz w:val="32"/>
          <w:szCs w:val="32"/>
          <w:highlight w:val="none"/>
          <w:lang w:val="en-US" w:eastAsia="zh-CN"/>
        </w:rPr>
        <w:t>万元，较2025年安排的220018万元增长</w:t>
      </w:r>
      <w:r>
        <w:rPr>
          <w:rFonts w:hint="eastAsia" w:eastAsia="仿宋_GB2312" w:cs="仿宋_GB2312"/>
          <w:color w:val="auto"/>
          <w:sz w:val="32"/>
          <w:szCs w:val="32"/>
          <w:highlight w:val="none"/>
          <w:lang w:val="en-US" w:eastAsia="zh-CN"/>
        </w:rPr>
        <w:t>6161</w:t>
      </w:r>
      <w:r>
        <w:rPr>
          <w:rFonts w:hint="eastAsia" w:ascii="Times New Roman" w:hAnsi="Times New Roman" w:eastAsia="仿宋_GB2312" w:cs="仿宋_GB2312"/>
          <w:color w:val="auto"/>
          <w:sz w:val="32"/>
          <w:szCs w:val="32"/>
          <w:highlight w:val="none"/>
          <w:lang w:val="en-US" w:eastAsia="zh-CN"/>
        </w:rPr>
        <w:t>万元。</w:t>
      </w:r>
    </w:p>
    <w:p w14:paraId="09C48018">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主要原因是：民政局专项增加448万元（主要有：城乡低保提标增加300万元、特困人员救助增支80万元等）；社保中心专项增加5613万元（主要有：城乡居民养老保险提标增加1055万元、征地农民养老保险提标增加1903万元、消化以前年度欠缴被征地农民基本养老保险挂账增加2409万元等）；医保局增加医疗救助577万元</w:t>
      </w:r>
      <w:r>
        <w:rPr>
          <w:rFonts w:hint="eastAsia" w:eastAsia="仿宋_GB2312" w:cs="仿宋_GB2312"/>
          <w:color w:val="auto"/>
          <w:sz w:val="32"/>
          <w:szCs w:val="32"/>
          <w:highlight w:val="none"/>
          <w:lang w:val="en-US" w:eastAsia="zh-CN"/>
        </w:rPr>
        <w:t>；卫健委增加医共体改革经费1000万元</w:t>
      </w:r>
      <w:r>
        <w:rPr>
          <w:rFonts w:hint="eastAsia" w:ascii="Times New Roman" w:hAnsi="Times New Roman" w:eastAsia="仿宋_GB2312" w:cs="仿宋_GB2312"/>
          <w:color w:val="auto"/>
          <w:sz w:val="32"/>
          <w:szCs w:val="32"/>
          <w:highlight w:val="none"/>
          <w:lang w:val="en-US" w:eastAsia="zh-CN"/>
        </w:rPr>
        <w:t>等。</w:t>
      </w:r>
    </w:p>
    <w:p w14:paraId="6B0825D0">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3.上级专项列收列支，预计支出50000万元。</w:t>
      </w:r>
    </w:p>
    <w:p w14:paraId="56B5C47E">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w:t>
      </w:r>
      <w:r>
        <w:rPr>
          <w:rFonts w:hint="eastAsia" w:eastAsia="仿宋_GB2312" w:cs="仿宋_GB2312"/>
          <w:color w:val="auto"/>
          <w:sz w:val="32"/>
          <w:szCs w:val="32"/>
          <w:highlight w:val="none"/>
          <w:lang w:val="en-US" w:eastAsia="zh-CN"/>
        </w:rPr>
        <w:t>预计新增一般债券支出22054万元。</w:t>
      </w:r>
    </w:p>
    <w:p w14:paraId="34F05058">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上年结转支出</w:t>
      </w:r>
      <w:r>
        <w:rPr>
          <w:rFonts w:hint="eastAsia" w:eastAsia="仿宋_GB2312" w:cs="仿宋_GB2312"/>
          <w:color w:val="auto"/>
          <w:sz w:val="32"/>
          <w:szCs w:val="32"/>
          <w:highlight w:val="none"/>
          <w:lang w:val="en-US" w:eastAsia="zh-CN"/>
        </w:rPr>
        <w:t>59038</w:t>
      </w:r>
      <w:r>
        <w:rPr>
          <w:rFonts w:hint="eastAsia" w:ascii="Times New Roman" w:hAnsi="Times New Roman" w:eastAsia="仿宋_GB2312" w:cs="仿宋_GB2312"/>
          <w:color w:val="auto"/>
          <w:sz w:val="32"/>
          <w:szCs w:val="32"/>
          <w:highlight w:val="none"/>
          <w:lang w:val="en-US" w:eastAsia="zh-CN"/>
        </w:rPr>
        <w:t>万元。</w:t>
      </w:r>
    </w:p>
    <w:p w14:paraId="574F65AD">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通过上述财政预算收支安排后，2026年一般公共预算收支基本平衡。</w:t>
      </w:r>
    </w:p>
    <w:p w14:paraId="5B898372">
      <w:pPr>
        <w:pageBreakBefore w:val="0"/>
        <w:kinsoku/>
        <w:wordWrap/>
        <w:overflowPunct/>
        <w:topLinePunct w:val="0"/>
        <w:autoSpaceDE/>
        <w:autoSpaceDN/>
        <w:bidi w:val="0"/>
        <w:adjustRightInd/>
        <w:spacing w:line="560" w:lineRule="exact"/>
        <w:ind w:firstLine="643"/>
        <w:jc w:val="left"/>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w:t>
      </w:r>
      <w:r>
        <w:rPr>
          <w:rFonts w:hint="eastAsia" w:ascii="楷体_GB2312" w:hAnsi="楷体" w:eastAsia="楷体_GB2312" w:cs="楷体_GB2312"/>
          <w:b/>
          <w:bCs/>
          <w:sz w:val="32"/>
          <w:szCs w:val="32"/>
          <w:highlight w:val="none"/>
          <w:lang w:val="en-US" w:eastAsia="zh-CN"/>
        </w:rPr>
        <w:t>四</w:t>
      </w:r>
      <w:r>
        <w:rPr>
          <w:rFonts w:hint="eastAsia" w:ascii="楷体_GB2312" w:hAnsi="楷体" w:eastAsia="楷体_GB2312" w:cs="楷体_GB2312"/>
          <w:b/>
          <w:bCs/>
          <w:sz w:val="32"/>
          <w:szCs w:val="32"/>
          <w:highlight w:val="none"/>
        </w:rPr>
        <w:t>）</w:t>
      </w:r>
      <w:r>
        <w:rPr>
          <w:rFonts w:hint="eastAsia" w:ascii="楷体_GB2312" w:hAnsi="楷体" w:eastAsia="楷体_GB2312" w:cs="楷体_GB2312"/>
          <w:b/>
          <w:bCs/>
          <w:sz w:val="32"/>
          <w:szCs w:val="32"/>
          <w:highlight w:val="none"/>
          <w:lang w:val="en-US" w:eastAsia="zh-CN"/>
        </w:rPr>
        <w:t>需要特别说明的事项</w:t>
      </w:r>
    </w:p>
    <w:p w14:paraId="4584983C">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1.在预算安排中，对本级财力的支出安排主要突出几个方面：</w:t>
      </w:r>
    </w:p>
    <w:p w14:paraId="138238AC">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（1）确保个人刚性和民生支出。将财政供养人员绩效奖列入各预算单位个人支出安排，同时预留晋级晋档、调资增人等支出7408万元，机关事业养老支出10000万元。</w:t>
      </w:r>
    </w:p>
    <w:p w14:paraId="05C4D38A">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多方筹措资金，继续保障对教育、科技、文化、社保、卫生、环保、基础设施、乡村振兴、低碳园区建设等投入。2026年县本级预算安排：教育附加、义务教育和标准化建设等配套7479万元，科技三项4000万元，文化旅游发展专项1000万元，社会保障与就业专项21604万元，国家基本公共卫生等卫生专项9261万元，生态环保专项1500万元，污水处理经费1800万元，城乡垃圾一体化PPP项目3000万元，全县农业大专项整合9195万元，重点工程5000万元，低碳园区建设专项28000万元，</w:t>
      </w:r>
      <w:r>
        <w:rPr>
          <w:rFonts w:hint="eastAsia" w:eastAsia="仿宋_GB2312" w:cs="仿宋_GB2312"/>
          <w:color w:val="auto"/>
          <w:sz w:val="32"/>
          <w:szCs w:val="32"/>
          <w:highlight w:val="none"/>
          <w:lang w:val="en-US" w:eastAsia="zh-CN"/>
        </w:rPr>
        <w:t>人才发展专项2300万元，</w:t>
      </w:r>
      <w:r>
        <w:rPr>
          <w:rFonts w:hint="eastAsia" w:ascii="Times New Roman" w:hAnsi="Times New Roman" w:eastAsia="仿宋_GB2312" w:cs="仿宋_GB2312"/>
          <w:color w:val="auto"/>
          <w:sz w:val="32"/>
          <w:szCs w:val="32"/>
          <w:highlight w:val="none"/>
          <w:lang w:val="en-US" w:eastAsia="zh-CN"/>
        </w:rPr>
        <w:t>预备费5000万元，新增政府一次性经费6000万元。</w:t>
      </w:r>
    </w:p>
    <w:p w14:paraId="121219D1">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（3）着力防范化解债务风险。安排地方性政府债务偿债准备金支出29785万元。（</w:t>
      </w:r>
      <w:r>
        <w:rPr>
          <w:rFonts w:hint="eastAsia" w:eastAsia="仿宋_GB2312" w:cs="仿宋_GB2312"/>
          <w:color w:val="auto"/>
          <w:sz w:val="32"/>
          <w:szCs w:val="32"/>
          <w:highlight w:val="none"/>
          <w:lang w:val="en-US" w:eastAsia="zh-CN"/>
        </w:rPr>
        <w:t>主要为</w:t>
      </w:r>
      <w:r>
        <w:rPr>
          <w:rFonts w:hint="eastAsia" w:ascii="Times New Roman" w:hAnsi="Times New Roman" w:eastAsia="仿宋_GB2312" w:cs="仿宋_GB2312"/>
          <w:color w:val="auto"/>
          <w:sz w:val="32"/>
          <w:szCs w:val="32"/>
          <w:highlight w:val="none"/>
          <w:lang w:val="en-US" w:eastAsia="zh-CN"/>
        </w:rPr>
        <w:t>2026年地方政府债券还本付息支出25894万元，其中：债券到期付息23733万元，到期还本扣除再融资债券后县本级负担2161万元）。按照上级相关要求，预算</w:t>
      </w:r>
      <w:r>
        <w:rPr>
          <w:rFonts w:hint="eastAsia" w:eastAsia="仿宋_GB2312" w:cs="仿宋_GB2312"/>
          <w:color w:val="auto"/>
          <w:sz w:val="32"/>
          <w:szCs w:val="32"/>
          <w:highlight w:val="none"/>
          <w:lang w:val="en-US" w:eastAsia="zh-CN"/>
        </w:rPr>
        <w:t>安排</w:t>
      </w:r>
      <w:r>
        <w:rPr>
          <w:rFonts w:hint="eastAsia" w:ascii="Times New Roman" w:hAnsi="Times New Roman" w:eastAsia="仿宋_GB2312" w:cs="仿宋_GB2312"/>
          <w:color w:val="auto"/>
          <w:sz w:val="32"/>
          <w:szCs w:val="32"/>
          <w:highlight w:val="none"/>
          <w:lang w:val="en-US" w:eastAsia="zh-CN"/>
        </w:rPr>
        <w:t>资金偿还</w:t>
      </w:r>
      <w:r>
        <w:rPr>
          <w:rFonts w:hint="eastAsia" w:eastAsia="仿宋_GB2312" w:cs="仿宋_GB2312"/>
          <w:color w:val="auto"/>
          <w:sz w:val="32"/>
          <w:szCs w:val="32"/>
          <w:highlight w:val="none"/>
          <w:lang w:val="en-US" w:eastAsia="zh-CN"/>
        </w:rPr>
        <w:t>地方政府债券</w:t>
      </w:r>
      <w:r>
        <w:rPr>
          <w:rFonts w:hint="eastAsia" w:ascii="Times New Roman" w:hAnsi="Times New Roman" w:eastAsia="仿宋_GB2312" w:cs="仿宋_GB2312"/>
          <w:color w:val="auto"/>
          <w:sz w:val="32"/>
          <w:szCs w:val="32"/>
          <w:highlight w:val="none"/>
          <w:lang w:val="en-US" w:eastAsia="zh-CN"/>
        </w:rPr>
        <w:t>本金金额不</w:t>
      </w:r>
      <w:r>
        <w:rPr>
          <w:rFonts w:hint="eastAsia" w:eastAsia="仿宋_GB2312" w:cs="仿宋_GB2312"/>
          <w:color w:val="auto"/>
          <w:sz w:val="32"/>
          <w:szCs w:val="32"/>
          <w:highlight w:val="none"/>
          <w:lang w:val="en-US" w:eastAsia="zh-CN"/>
        </w:rPr>
        <w:t>得</w:t>
      </w:r>
      <w:r>
        <w:rPr>
          <w:rFonts w:hint="eastAsia" w:ascii="Times New Roman" w:hAnsi="Times New Roman" w:eastAsia="仿宋_GB2312" w:cs="仿宋_GB2312"/>
          <w:color w:val="auto"/>
          <w:sz w:val="32"/>
          <w:szCs w:val="32"/>
          <w:highlight w:val="none"/>
          <w:lang w:val="en-US" w:eastAsia="zh-CN"/>
        </w:rPr>
        <w:t>低于10%，目前10%部分已列入预算安排，剩余部分我们将努力通过申报再融资债券来减缓债券还本支出压力。</w:t>
      </w:r>
    </w:p>
    <w:p w14:paraId="5B751D06">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尽管我们努力按各部门各单位的实际支出需求统筹方方面面的资金对2026年的预算进行了初步安排，但在预算安排中，由于财力仍然十分有限，加之结转支出需要在2026年支付，所以很多单位要求增加的预算项目，难以安排，有待于财税收入的增长和财力的增加，以及在预算执行过程中，我们将进一步通过优化支出结构、大力盘活财政存量资金等措施来解决，在此一并进行说明。</w:t>
      </w:r>
    </w:p>
    <w:p w14:paraId="36E74E90">
      <w:pPr>
        <w:pStyle w:val="2"/>
        <w:pageBreakBefore w:val="0"/>
        <w:kinsoku/>
        <w:wordWrap/>
        <w:overflowPunct/>
        <w:topLinePunct w:val="0"/>
        <w:autoSpaceDE/>
        <w:autoSpaceDN/>
        <w:bidi w:val="0"/>
        <w:adjustRightInd/>
        <w:spacing w:before="0" w:after="0" w:line="560" w:lineRule="exact"/>
        <w:ind w:firstLine="643"/>
        <w:textAlignment w:val="auto"/>
        <w:rPr>
          <w:rFonts w:ascii="黑体" w:hAnsi="黑体" w:eastAsia="黑体" w:cs="Times New Roman"/>
          <w:b w:val="0"/>
          <w:bCs w:val="0"/>
          <w:sz w:val="32"/>
          <w:szCs w:val="32"/>
          <w:highlight w:val="none"/>
        </w:rPr>
      </w:pPr>
      <w:r>
        <w:rPr>
          <w:rFonts w:hint="eastAsia" w:ascii="黑体" w:hAnsi="黑体" w:eastAsia="黑体" w:cs="黑体"/>
          <w:b w:val="0"/>
          <w:bCs w:val="0"/>
          <w:sz w:val="32"/>
          <w:szCs w:val="32"/>
          <w:highlight w:val="none"/>
        </w:rPr>
        <w:t>二、</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6</w:t>
      </w:r>
      <w:r>
        <w:rPr>
          <w:rFonts w:hint="eastAsia" w:ascii="黑体" w:hAnsi="黑体" w:eastAsia="黑体" w:cs="黑体"/>
          <w:b w:val="0"/>
          <w:bCs w:val="0"/>
          <w:sz w:val="32"/>
          <w:szCs w:val="32"/>
          <w:highlight w:val="none"/>
        </w:rPr>
        <w:t>年政府性基金预算安排</w:t>
      </w:r>
      <w:r>
        <w:rPr>
          <w:rFonts w:hint="eastAsia" w:ascii="黑体" w:hAnsi="黑体" w:eastAsia="黑体" w:cs="黑体"/>
          <w:b w:val="0"/>
          <w:bCs w:val="0"/>
          <w:sz w:val="32"/>
          <w:szCs w:val="32"/>
          <w:highlight w:val="none"/>
          <w:lang w:val="en-US" w:eastAsia="zh-CN"/>
        </w:rPr>
        <w:t>情况</w:t>
      </w:r>
      <w:r>
        <w:rPr>
          <w:rFonts w:hint="eastAsia" w:ascii="黑体" w:hAnsi="黑体" w:eastAsia="黑体" w:cs="黑体"/>
          <w:b w:val="0"/>
          <w:bCs w:val="0"/>
          <w:sz w:val="32"/>
          <w:szCs w:val="32"/>
          <w:highlight w:val="none"/>
        </w:rPr>
        <w:t>（草案）</w:t>
      </w:r>
    </w:p>
    <w:p w14:paraId="62BDCCEB">
      <w:pPr>
        <w:pageBreakBefore w:val="0"/>
        <w:kinsoku/>
        <w:wordWrap/>
        <w:overflowPunct/>
        <w:topLinePunct w:val="0"/>
        <w:autoSpaceDE/>
        <w:autoSpaceDN/>
        <w:bidi w:val="0"/>
        <w:adjustRightInd/>
        <w:spacing w:line="560" w:lineRule="exact"/>
        <w:ind w:firstLine="643"/>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（一）202</w:t>
      </w:r>
      <w:r>
        <w:rPr>
          <w:rFonts w:hint="eastAsia" w:ascii="楷体_GB2312" w:hAnsi="楷体_GB2312" w:eastAsia="楷体_GB2312" w:cs="楷体_GB2312"/>
          <w:b/>
          <w:bCs/>
          <w:sz w:val="32"/>
          <w:szCs w:val="32"/>
          <w:highlight w:val="none"/>
          <w:lang w:val="en-US" w:eastAsia="zh-CN"/>
        </w:rPr>
        <w:t>6</w:t>
      </w:r>
      <w:r>
        <w:rPr>
          <w:rFonts w:hint="eastAsia" w:ascii="楷体_GB2312" w:hAnsi="楷体_GB2312" w:eastAsia="楷体_GB2312" w:cs="楷体_GB2312"/>
          <w:b/>
          <w:bCs/>
          <w:sz w:val="32"/>
          <w:szCs w:val="32"/>
          <w:highlight w:val="none"/>
        </w:rPr>
        <w:t>年政府性基金预算收入安排情况</w:t>
      </w:r>
    </w:p>
    <w:p w14:paraId="013096DE">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2026年政府性基金预算收入安排107633万元，其中：国有土地使用权出让收入89000万元，彩票公益金收入495万元，专项债券对应项目专项收入18138万元。</w:t>
      </w:r>
    </w:p>
    <w:p w14:paraId="7B37CD68">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2026年预计全县政府性基金预算可用财力为</w:t>
      </w:r>
      <w:r>
        <w:rPr>
          <w:rFonts w:hint="eastAsia" w:eastAsia="仿宋_GB2312" w:cs="仿宋_GB2312"/>
          <w:color w:val="auto"/>
          <w:sz w:val="32"/>
          <w:szCs w:val="32"/>
          <w:highlight w:val="none"/>
          <w:lang w:val="en-US" w:eastAsia="zh-CN"/>
        </w:rPr>
        <w:t>311318</w:t>
      </w:r>
      <w:r>
        <w:rPr>
          <w:rFonts w:hint="eastAsia" w:ascii="Times New Roman" w:hAnsi="Times New Roman" w:eastAsia="仿宋_GB2312" w:cs="仿宋_GB2312"/>
          <w:color w:val="auto"/>
          <w:sz w:val="32"/>
          <w:szCs w:val="32"/>
          <w:highlight w:val="none"/>
          <w:lang w:val="en-US" w:eastAsia="zh-CN"/>
        </w:rPr>
        <w:t>万元，其中：地方本级收入107633万元，预计下达上级专项收入10000万元，预计上年结余收入43000万元，预计债务转贷收入</w:t>
      </w:r>
      <w:r>
        <w:rPr>
          <w:rFonts w:hint="eastAsia" w:eastAsia="仿宋_GB2312" w:cs="仿宋_GB2312"/>
          <w:color w:val="auto"/>
          <w:sz w:val="32"/>
          <w:szCs w:val="32"/>
          <w:highlight w:val="none"/>
          <w:lang w:val="en-US" w:eastAsia="zh-CN"/>
        </w:rPr>
        <w:t>150685</w:t>
      </w:r>
      <w:r>
        <w:rPr>
          <w:rFonts w:hint="eastAsia" w:ascii="Times New Roman" w:hAnsi="Times New Roman" w:eastAsia="仿宋_GB2312" w:cs="仿宋_GB2312"/>
          <w:color w:val="auto"/>
          <w:sz w:val="32"/>
          <w:szCs w:val="32"/>
          <w:highlight w:val="none"/>
          <w:lang w:val="en-US" w:eastAsia="zh-CN"/>
        </w:rPr>
        <w:t>万元。</w:t>
      </w:r>
    </w:p>
    <w:p w14:paraId="78EBBFB3">
      <w:pPr>
        <w:pageBreakBefore w:val="0"/>
        <w:kinsoku/>
        <w:wordWrap/>
        <w:overflowPunct/>
        <w:topLinePunct w:val="0"/>
        <w:autoSpaceDE/>
        <w:autoSpaceDN/>
        <w:bidi w:val="0"/>
        <w:adjustRightInd/>
        <w:spacing w:line="560" w:lineRule="exact"/>
        <w:ind w:firstLine="643"/>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（二）202</w:t>
      </w:r>
      <w:r>
        <w:rPr>
          <w:rFonts w:hint="eastAsia" w:ascii="楷体_GB2312" w:hAnsi="楷体_GB2312" w:eastAsia="楷体_GB2312" w:cs="楷体_GB2312"/>
          <w:b/>
          <w:bCs/>
          <w:sz w:val="32"/>
          <w:szCs w:val="32"/>
          <w:highlight w:val="none"/>
          <w:lang w:val="en-US" w:eastAsia="zh-CN"/>
        </w:rPr>
        <w:t>6</w:t>
      </w:r>
      <w:r>
        <w:rPr>
          <w:rFonts w:hint="eastAsia" w:ascii="楷体_GB2312" w:hAnsi="楷体_GB2312" w:eastAsia="楷体_GB2312" w:cs="楷体_GB2312"/>
          <w:b/>
          <w:bCs/>
          <w:sz w:val="32"/>
          <w:szCs w:val="32"/>
          <w:highlight w:val="none"/>
        </w:rPr>
        <w:t>年政府性基金预算支出安排情况</w:t>
      </w:r>
    </w:p>
    <w:p w14:paraId="3B252A2D">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按照收支平衡的原则，相应安排全县政府性基金预算支出</w:t>
      </w:r>
      <w:r>
        <w:rPr>
          <w:rFonts w:hint="eastAsia" w:eastAsia="仿宋_GB2312" w:cs="仿宋_GB2312"/>
          <w:color w:val="auto"/>
          <w:sz w:val="32"/>
          <w:szCs w:val="32"/>
          <w:highlight w:val="none"/>
          <w:lang w:val="en-US" w:eastAsia="zh-CN"/>
        </w:rPr>
        <w:t>311318</w:t>
      </w:r>
      <w:r>
        <w:rPr>
          <w:rFonts w:hint="eastAsia" w:ascii="Times New Roman" w:hAnsi="Times New Roman" w:eastAsia="仿宋_GB2312" w:cs="仿宋_GB2312"/>
          <w:color w:val="auto"/>
          <w:sz w:val="32"/>
          <w:szCs w:val="32"/>
          <w:highlight w:val="none"/>
          <w:lang w:val="en-US" w:eastAsia="zh-CN"/>
        </w:rPr>
        <w:t>万元，其中：</w:t>
      </w:r>
    </w:p>
    <w:p w14:paraId="333C45D8">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自然资源局“十四五”基础测绘规划编制、湖口县国土空间总体规划等工作项目经费支出3743万元；预计2026年征地拆迁、重点工程建设支出62164万元；上级专项支出24900万元；农业农村支出（预计国有土地使用权出让收入8%）6400万元； 其他政府性基金及对应专项债务收入安排的支出</w:t>
      </w:r>
      <w:r>
        <w:rPr>
          <w:rFonts w:hint="eastAsia" w:eastAsia="仿宋_GB2312" w:cs="仿宋_GB2312"/>
          <w:color w:val="auto"/>
          <w:sz w:val="32"/>
          <w:szCs w:val="32"/>
          <w:highlight w:val="none"/>
          <w:lang w:val="en-US" w:eastAsia="zh-CN"/>
        </w:rPr>
        <w:t>126385</w:t>
      </w:r>
      <w:r>
        <w:rPr>
          <w:rFonts w:hint="eastAsia" w:ascii="Times New Roman" w:hAnsi="Times New Roman" w:eastAsia="仿宋_GB2312" w:cs="仿宋_GB2312"/>
          <w:color w:val="auto"/>
          <w:sz w:val="32"/>
          <w:szCs w:val="32"/>
          <w:highlight w:val="none"/>
          <w:lang w:val="en-US" w:eastAsia="zh-CN"/>
        </w:rPr>
        <w:t>万元；福彩公益金188万元，体彩公益金307万元；债务付息22601万元；消化暂付款11800万元；调出资金12000万元，省统筹（预计国有土地使用权出让收入2%）1600万元；债务还本39230万元。</w:t>
      </w:r>
    </w:p>
    <w:p w14:paraId="5F0F91C9">
      <w:pPr>
        <w:pageBreakBefore w:val="0"/>
        <w:kinsoku/>
        <w:wordWrap/>
        <w:overflowPunct/>
        <w:topLinePunct w:val="0"/>
        <w:autoSpaceDE/>
        <w:autoSpaceDN/>
        <w:bidi w:val="0"/>
        <w:adjustRightInd/>
        <w:spacing w:line="560" w:lineRule="exact"/>
        <w:ind w:firstLine="643"/>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（三）202</w:t>
      </w:r>
      <w:r>
        <w:rPr>
          <w:rFonts w:hint="eastAsia" w:ascii="楷体_GB2312" w:hAnsi="楷体_GB2312" w:eastAsia="楷体_GB2312" w:cs="楷体_GB2312"/>
          <w:b/>
          <w:bCs/>
          <w:sz w:val="32"/>
          <w:szCs w:val="32"/>
          <w:highlight w:val="none"/>
          <w:lang w:val="en-US" w:eastAsia="zh-CN"/>
        </w:rPr>
        <w:t>6</w:t>
      </w:r>
      <w:r>
        <w:rPr>
          <w:rFonts w:hint="eastAsia" w:ascii="楷体_GB2312" w:hAnsi="楷体_GB2312" w:eastAsia="楷体_GB2312" w:cs="楷体_GB2312"/>
          <w:b/>
          <w:bCs/>
          <w:sz w:val="32"/>
          <w:szCs w:val="32"/>
          <w:highlight w:val="none"/>
        </w:rPr>
        <w:t>年政府性基金预算收支平衡情况</w:t>
      </w:r>
    </w:p>
    <w:p w14:paraId="7358A508">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按以上收支安排，2026年政府性基金预算收支基本平衡。</w:t>
      </w:r>
    </w:p>
    <w:p w14:paraId="2AC01C05">
      <w:pPr>
        <w:pStyle w:val="2"/>
        <w:pageBreakBefore w:val="0"/>
        <w:kinsoku/>
        <w:wordWrap/>
        <w:overflowPunct/>
        <w:topLinePunct w:val="0"/>
        <w:autoSpaceDE/>
        <w:autoSpaceDN/>
        <w:bidi w:val="0"/>
        <w:adjustRightInd/>
        <w:spacing w:before="0" w:after="0" w:line="560" w:lineRule="exact"/>
        <w:ind w:firstLine="643"/>
        <w:textAlignment w:val="auto"/>
        <w:rPr>
          <w:rFonts w:ascii="黑体" w:hAnsi="黑体" w:eastAsia="黑体" w:cs="Times New Roman"/>
          <w:b w:val="0"/>
          <w:bCs w:val="0"/>
          <w:sz w:val="32"/>
          <w:szCs w:val="32"/>
          <w:highlight w:val="none"/>
        </w:rPr>
      </w:pPr>
      <w:r>
        <w:rPr>
          <w:rFonts w:hint="eastAsia" w:ascii="黑体" w:hAnsi="黑体" w:eastAsia="黑体" w:cs="黑体"/>
          <w:b w:val="0"/>
          <w:bCs w:val="0"/>
          <w:sz w:val="32"/>
          <w:szCs w:val="32"/>
          <w:highlight w:val="none"/>
        </w:rPr>
        <w:t>三、</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6</w:t>
      </w:r>
      <w:r>
        <w:rPr>
          <w:rFonts w:hint="eastAsia" w:ascii="黑体" w:hAnsi="黑体" w:eastAsia="黑体" w:cs="黑体"/>
          <w:b w:val="0"/>
          <w:bCs w:val="0"/>
          <w:sz w:val="32"/>
          <w:szCs w:val="32"/>
          <w:highlight w:val="none"/>
        </w:rPr>
        <w:t>年社会保险基金预算安排</w:t>
      </w:r>
      <w:r>
        <w:rPr>
          <w:rFonts w:hint="eastAsia" w:ascii="黑体" w:hAnsi="黑体" w:eastAsia="黑体" w:cs="黑体"/>
          <w:b w:val="0"/>
          <w:bCs w:val="0"/>
          <w:sz w:val="32"/>
          <w:szCs w:val="32"/>
          <w:highlight w:val="none"/>
          <w:lang w:val="en-US" w:eastAsia="zh-CN"/>
        </w:rPr>
        <w:t>情况</w:t>
      </w:r>
      <w:r>
        <w:rPr>
          <w:rFonts w:hint="eastAsia" w:ascii="黑体" w:hAnsi="黑体" w:eastAsia="黑体" w:cs="黑体"/>
          <w:b w:val="0"/>
          <w:bCs w:val="0"/>
          <w:sz w:val="32"/>
          <w:szCs w:val="32"/>
          <w:highlight w:val="none"/>
        </w:rPr>
        <w:t>（草案）</w:t>
      </w:r>
    </w:p>
    <w:p w14:paraId="26FFA5E3">
      <w:pPr>
        <w:pageBreakBefore w:val="0"/>
        <w:kinsoku/>
        <w:wordWrap/>
        <w:overflowPunct/>
        <w:topLinePunct w:val="0"/>
        <w:autoSpaceDE/>
        <w:autoSpaceDN/>
        <w:bidi w:val="0"/>
        <w:adjustRightInd/>
        <w:spacing w:line="560" w:lineRule="exact"/>
        <w:ind w:firstLine="640"/>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w:t>
      </w:r>
      <w:r>
        <w:rPr>
          <w:rFonts w:hint="eastAsia" w:ascii="楷体_GB2312" w:hAnsi="楷体" w:eastAsia="楷体_GB2312" w:cs="楷体_GB2312"/>
          <w:b/>
          <w:bCs/>
          <w:sz w:val="32"/>
          <w:szCs w:val="32"/>
          <w:highlight w:val="none"/>
        </w:rPr>
        <w:t>一</w:t>
      </w:r>
      <w:r>
        <w:rPr>
          <w:rFonts w:hint="eastAsia" w:ascii="黑体" w:hAnsi="黑体" w:eastAsia="黑体" w:cs="黑体"/>
          <w:sz w:val="32"/>
          <w:szCs w:val="32"/>
          <w:highlight w:val="none"/>
        </w:rPr>
        <w:t>）</w:t>
      </w:r>
      <w:r>
        <w:rPr>
          <w:rFonts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年社会保险基金预算收入安排情况</w:t>
      </w:r>
    </w:p>
    <w:p w14:paraId="388BC68A">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全县社会保险基金预算安排总收入46435万元，其中：保险费收入17498万元，财政补贴收入25637万元，利息收入255万元，委托投资收益收入626万元，转移收入103万元，其他收入2316万元。</w:t>
      </w:r>
    </w:p>
    <w:p w14:paraId="654C6423">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highlight w:val="none"/>
        </w:rPr>
      </w:pPr>
      <w:r>
        <w:rPr>
          <w:rFonts w:hint="eastAsia" w:ascii="楷体_GB2312" w:hAnsi="楷体" w:eastAsia="楷体_GB2312" w:cs="楷体_GB2312"/>
          <w:b/>
          <w:bCs/>
          <w:sz w:val="32"/>
          <w:szCs w:val="32"/>
          <w:highlight w:val="none"/>
        </w:rPr>
        <w:t>（二）</w:t>
      </w:r>
      <w:r>
        <w:rPr>
          <w:rFonts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年社会保险基金预算支出安排情况</w:t>
      </w:r>
    </w:p>
    <w:p w14:paraId="3EAA81E9">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社会保险基金预算安排总支出39474万元，其中：社会保险待遇支出39401万元，转移支出74万元。</w:t>
      </w:r>
    </w:p>
    <w:p w14:paraId="2E469067">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highlight w:val="none"/>
        </w:rPr>
      </w:pPr>
      <w:r>
        <w:rPr>
          <w:rFonts w:hint="eastAsia" w:ascii="楷体_GB2312" w:hAnsi="楷体" w:eastAsia="楷体_GB2312" w:cs="楷体_GB2312"/>
          <w:b/>
          <w:bCs/>
          <w:sz w:val="32"/>
          <w:szCs w:val="32"/>
          <w:highlight w:val="none"/>
        </w:rPr>
        <w:t>（三）</w:t>
      </w:r>
      <w:r>
        <w:rPr>
          <w:rFonts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年社会保险基金预算收支结余情况</w:t>
      </w:r>
    </w:p>
    <w:p w14:paraId="641E8134">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基金当年收支结余6961万元，年末滚存结余42490万元。</w:t>
      </w:r>
    </w:p>
    <w:p w14:paraId="014F942B">
      <w:pPr>
        <w:pStyle w:val="2"/>
        <w:pageBreakBefore w:val="0"/>
        <w:kinsoku/>
        <w:wordWrap/>
        <w:overflowPunct/>
        <w:topLinePunct w:val="0"/>
        <w:autoSpaceDE/>
        <w:autoSpaceDN/>
        <w:bidi w:val="0"/>
        <w:adjustRightInd/>
        <w:spacing w:before="0" w:after="0" w:line="560" w:lineRule="exact"/>
        <w:ind w:firstLine="643"/>
        <w:textAlignment w:val="auto"/>
        <w:rPr>
          <w:rFonts w:ascii="黑体" w:hAnsi="黑体" w:eastAsia="黑体" w:cs="Times New Roman"/>
          <w:b w:val="0"/>
          <w:bCs w:val="0"/>
          <w:sz w:val="32"/>
          <w:szCs w:val="32"/>
          <w:highlight w:val="none"/>
        </w:rPr>
      </w:pPr>
      <w:r>
        <w:rPr>
          <w:rFonts w:hint="eastAsia" w:ascii="黑体" w:hAnsi="黑体" w:eastAsia="黑体" w:cs="黑体"/>
          <w:b w:val="0"/>
          <w:bCs w:val="0"/>
          <w:sz w:val="32"/>
          <w:szCs w:val="32"/>
          <w:highlight w:val="none"/>
        </w:rPr>
        <w:t>四、</w:t>
      </w:r>
      <w:r>
        <w:rPr>
          <w:rFonts w:ascii="黑体" w:hAnsi="黑体" w:eastAsia="黑体" w:cs="黑体"/>
          <w:b w:val="0"/>
          <w:bCs w:val="0"/>
          <w:sz w:val="32"/>
          <w:szCs w:val="32"/>
          <w:highlight w:val="none"/>
        </w:rPr>
        <w:t>202</w:t>
      </w:r>
      <w:r>
        <w:rPr>
          <w:rFonts w:hint="eastAsia" w:ascii="黑体" w:hAnsi="黑体" w:eastAsia="黑体" w:cs="黑体"/>
          <w:b w:val="0"/>
          <w:bCs w:val="0"/>
          <w:sz w:val="32"/>
          <w:szCs w:val="32"/>
          <w:highlight w:val="none"/>
          <w:lang w:val="en-US" w:eastAsia="zh-CN"/>
        </w:rPr>
        <w:t>6</w:t>
      </w:r>
      <w:r>
        <w:rPr>
          <w:rFonts w:hint="eastAsia" w:ascii="黑体" w:hAnsi="黑体" w:eastAsia="黑体" w:cs="黑体"/>
          <w:b w:val="0"/>
          <w:bCs w:val="0"/>
          <w:sz w:val="32"/>
          <w:szCs w:val="32"/>
          <w:highlight w:val="none"/>
        </w:rPr>
        <w:t>年国有资本经营预算安排</w:t>
      </w:r>
      <w:r>
        <w:rPr>
          <w:rFonts w:hint="eastAsia" w:ascii="黑体" w:hAnsi="黑体" w:eastAsia="黑体" w:cs="黑体"/>
          <w:b w:val="0"/>
          <w:bCs w:val="0"/>
          <w:sz w:val="32"/>
          <w:szCs w:val="32"/>
          <w:highlight w:val="none"/>
          <w:lang w:val="en-US" w:eastAsia="zh-CN"/>
        </w:rPr>
        <w:t>情况</w:t>
      </w:r>
      <w:r>
        <w:rPr>
          <w:rFonts w:hint="eastAsia" w:ascii="黑体" w:hAnsi="黑体" w:eastAsia="黑体" w:cs="黑体"/>
          <w:b w:val="0"/>
          <w:bCs w:val="0"/>
          <w:sz w:val="32"/>
          <w:szCs w:val="32"/>
          <w:highlight w:val="none"/>
        </w:rPr>
        <w:t>（草案）</w:t>
      </w:r>
    </w:p>
    <w:p w14:paraId="0483BA51">
      <w:pPr>
        <w:pageBreakBefore w:val="0"/>
        <w:kinsoku/>
        <w:wordWrap/>
        <w:overflowPunct/>
        <w:topLinePunct w:val="0"/>
        <w:autoSpaceDE/>
        <w:autoSpaceDN/>
        <w:bidi w:val="0"/>
        <w:adjustRightInd/>
        <w:spacing w:line="560" w:lineRule="exact"/>
        <w:ind w:firstLine="640"/>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w:t>
      </w:r>
      <w:r>
        <w:rPr>
          <w:rFonts w:hint="eastAsia" w:ascii="楷体_GB2312" w:hAnsi="楷体" w:eastAsia="楷体_GB2312" w:cs="楷体_GB2312"/>
          <w:b/>
          <w:bCs/>
          <w:sz w:val="32"/>
          <w:szCs w:val="32"/>
          <w:highlight w:val="none"/>
        </w:rPr>
        <w:t>一</w:t>
      </w:r>
      <w:r>
        <w:rPr>
          <w:rFonts w:hint="eastAsia" w:ascii="黑体" w:hAnsi="黑体" w:eastAsia="黑体" w:cs="黑体"/>
          <w:sz w:val="32"/>
          <w:szCs w:val="32"/>
          <w:highlight w:val="none"/>
        </w:rPr>
        <w:t>）</w:t>
      </w:r>
      <w:r>
        <w:rPr>
          <w:rFonts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年国有资本经营预算收入安排情况</w:t>
      </w:r>
    </w:p>
    <w:p w14:paraId="0469F9A2">
      <w:pPr>
        <w:spacing w:line="56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2026年全县国有资本经营预算收入计划安排551万元，其中：本级收入450万元，预计上级转移支付收入35万元，上年结余收入66万元。</w:t>
      </w:r>
    </w:p>
    <w:p w14:paraId="2675447A">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highlight w:val="none"/>
        </w:rPr>
      </w:pPr>
      <w:r>
        <w:rPr>
          <w:rFonts w:hint="eastAsia" w:ascii="楷体_GB2312" w:hAnsi="楷体" w:eastAsia="楷体_GB2312" w:cs="楷体_GB2312"/>
          <w:b/>
          <w:bCs/>
          <w:sz w:val="32"/>
          <w:szCs w:val="32"/>
          <w:highlight w:val="none"/>
        </w:rPr>
        <w:t>（二）</w:t>
      </w:r>
      <w:r>
        <w:rPr>
          <w:rFonts w:ascii="楷体_GB2312" w:hAnsi="楷体" w:eastAsia="楷体_GB2312" w:cs="楷体_GB2312"/>
          <w:b/>
          <w:bCs/>
          <w:sz w:val="32"/>
          <w:szCs w:val="32"/>
          <w:highlight w:val="none"/>
        </w:rPr>
        <w:t>20</w:t>
      </w:r>
      <w:r>
        <w:rPr>
          <w:rFonts w:hint="eastAsia" w:ascii="楷体_GB2312" w:hAnsi="楷体" w:eastAsia="楷体_GB2312" w:cs="楷体_GB2312"/>
          <w:b/>
          <w:bCs/>
          <w:sz w:val="32"/>
          <w:szCs w:val="32"/>
          <w:highlight w:val="none"/>
          <w:lang w:val="en-US" w:eastAsia="zh-CN"/>
        </w:rPr>
        <w:t>26</w:t>
      </w:r>
      <w:r>
        <w:rPr>
          <w:rFonts w:hint="eastAsia" w:ascii="楷体_GB2312" w:hAnsi="楷体" w:eastAsia="楷体_GB2312" w:cs="楷体_GB2312"/>
          <w:b/>
          <w:bCs/>
          <w:sz w:val="32"/>
          <w:szCs w:val="32"/>
          <w:highlight w:val="none"/>
        </w:rPr>
        <w:t>年国有资本经营预算支出安排情况</w:t>
      </w:r>
    </w:p>
    <w:p w14:paraId="47822175">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2026年全县国有资本经营预算支出计划安排551万元，其中：解决历史遗留问题及改革成本支出35万元，其他国有资本经营预算支出516万元。 </w:t>
      </w:r>
    </w:p>
    <w:p w14:paraId="6672263D">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highlight w:val="none"/>
        </w:rPr>
      </w:pPr>
      <w:r>
        <w:rPr>
          <w:rFonts w:hint="eastAsia" w:ascii="楷体_GB2312" w:hAnsi="楷体" w:eastAsia="楷体_GB2312" w:cs="楷体_GB2312"/>
          <w:b/>
          <w:bCs/>
          <w:sz w:val="32"/>
          <w:szCs w:val="32"/>
          <w:highlight w:val="none"/>
        </w:rPr>
        <w:t>（三）</w:t>
      </w:r>
      <w:r>
        <w:rPr>
          <w:rFonts w:ascii="楷体_GB2312" w:hAnsi="楷体" w:eastAsia="楷体_GB2312" w:cs="楷体_GB2312"/>
          <w:b/>
          <w:bCs/>
          <w:sz w:val="32"/>
          <w:szCs w:val="32"/>
          <w:highlight w:val="none"/>
        </w:rPr>
        <w:t>202</w:t>
      </w:r>
      <w:r>
        <w:rPr>
          <w:rFonts w:hint="eastAsia" w:ascii="楷体_GB2312" w:hAnsi="楷体" w:eastAsia="楷体_GB2312" w:cs="楷体_GB2312"/>
          <w:b/>
          <w:bCs/>
          <w:sz w:val="32"/>
          <w:szCs w:val="32"/>
          <w:highlight w:val="none"/>
          <w:lang w:val="en-US" w:eastAsia="zh-CN"/>
        </w:rPr>
        <w:t>6</w:t>
      </w:r>
      <w:r>
        <w:rPr>
          <w:rFonts w:hint="eastAsia" w:ascii="楷体_GB2312" w:hAnsi="楷体" w:eastAsia="楷体_GB2312" w:cs="楷体_GB2312"/>
          <w:b/>
          <w:bCs/>
          <w:sz w:val="32"/>
          <w:szCs w:val="32"/>
          <w:highlight w:val="none"/>
        </w:rPr>
        <w:t>年国有资本经营预算收支</w:t>
      </w:r>
      <w:r>
        <w:rPr>
          <w:rFonts w:hint="eastAsia" w:ascii="楷体_GB2312" w:hAnsi="楷体" w:eastAsia="楷体_GB2312" w:cs="楷体_GB2312"/>
          <w:b/>
          <w:bCs/>
          <w:sz w:val="32"/>
          <w:szCs w:val="32"/>
          <w:highlight w:val="none"/>
          <w:lang w:val="en-US" w:eastAsia="zh-CN"/>
        </w:rPr>
        <w:t>平衡</w:t>
      </w:r>
      <w:r>
        <w:rPr>
          <w:rFonts w:hint="eastAsia" w:ascii="楷体_GB2312" w:hAnsi="楷体" w:eastAsia="楷体_GB2312" w:cs="楷体_GB2312"/>
          <w:b/>
          <w:bCs/>
          <w:sz w:val="32"/>
          <w:szCs w:val="32"/>
          <w:highlight w:val="none"/>
        </w:rPr>
        <w:t>情况</w:t>
      </w:r>
    </w:p>
    <w:p w14:paraId="77C8586E">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按以上收支安排，2026年国有资本经营预算收支基本平衡。</w:t>
      </w:r>
    </w:p>
    <w:p w14:paraId="6192165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五、2026年财政重点工作内容</w:t>
      </w:r>
    </w:p>
    <w:p w14:paraId="0C25DAEB">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2026年我们将围绕以上预算安排，坚决贯彻落实县委的决策部署，牢牢把握经济社会发展主动权，充分发挥财政职能，履职尽责、担当作为、攻坚克难、全力以赴，着力推动全县经济高质量发展。</w:t>
      </w:r>
    </w:p>
    <w:p w14:paraId="1EF81405">
      <w:pPr>
        <w:spacing w:line="560" w:lineRule="exact"/>
        <w:ind w:firstLine="643" w:firstLineChars="200"/>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一是全力以赴抓财力，夯实高质量发展“基础”。</w:t>
      </w:r>
      <w:r>
        <w:rPr>
          <w:rFonts w:hint="eastAsia" w:ascii="Times New Roman" w:hAnsi="Times New Roman" w:eastAsia="仿宋_GB2312" w:cs="仿宋_GB2312"/>
          <w:color w:val="auto"/>
          <w:sz w:val="32"/>
          <w:szCs w:val="32"/>
          <w:highlight w:val="none"/>
          <w:lang w:val="en-US" w:eastAsia="zh-CN"/>
        </w:rPr>
        <w:t>加强重点税源监测，应收尽收零星税源，挖掘非税收入增长潜力，防止财政收入虚收空转。抢抓国家政策机遇，提前谋划项目储备，重点在中央预算内、专项债券、一般债券、超长期特别国债和其他竞争性资金争取上着力。</w:t>
      </w:r>
    </w:p>
    <w:p w14:paraId="09BEA669">
      <w:pPr>
        <w:spacing w:line="560" w:lineRule="exact"/>
        <w:ind w:firstLine="643" w:firstLineChars="200"/>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二是坚守底线防风险，巩固高质量发展“底盘”。</w:t>
      </w:r>
      <w:r>
        <w:rPr>
          <w:rFonts w:hint="eastAsia" w:ascii="Times New Roman" w:hAnsi="Times New Roman" w:eastAsia="仿宋_GB2312" w:cs="仿宋_GB2312"/>
          <w:color w:val="auto"/>
          <w:sz w:val="32"/>
          <w:szCs w:val="32"/>
          <w:highlight w:val="none"/>
          <w:lang w:val="en-US" w:eastAsia="zh-CN"/>
        </w:rPr>
        <w:t>足额编制“三保”预算，实行“三保”支出月调度，加强研判预测。依法将单位资金纳入财政预算，严控非刚性、非重点、非急需支出，定期清理回收存量资金。防范化解债务风险，加强政府隐性债务、地方融资平台等领域潜在风险的预研预判、风险管控，避免其他领域风险向财政蔓延沉淀。</w:t>
      </w:r>
    </w:p>
    <w:p w14:paraId="60375DC7">
      <w:pPr>
        <w:spacing w:line="560" w:lineRule="exact"/>
        <w:ind w:firstLine="643" w:firstLineChars="200"/>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三是从严从实强管理，蓄积高质量发展“势能”。</w:t>
      </w:r>
      <w:r>
        <w:rPr>
          <w:rFonts w:hint="eastAsia" w:ascii="Times New Roman" w:hAnsi="Times New Roman" w:eastAsia="仿宋_GB2312" w:cs="仿宋_GB2312"/>
          <w:color w:val="auto"/>
          <w:sz w:val="32"/>
          <w:szCs w:val="32"/>
          <w:highlight w:val="none"/>
          <w:lang w:val="en-US" w:eastAsia="zh-CN"/>
        </w:rPr>
        <w:t>发挥一体化系统功能整合作用，实现对预算编制、执行以及政府采购、资产管理等环节的全面优化，强化预算执行动态管理。加强绩效管理，将绩效理念贯穿财政工作全过程，强化绩效结果应用，更好发挥绩效管理的“指挥棒”作用。</w:t>
      </w:r>
    </w:p>
    <w:p w14:paraId="750FB1FB">
      <w:pPr>
        <w:spacing w:line="560" w:lineRule="exact"/>
        <w:ind w:firstLine="643" w:firstLineChars="200"/>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四是厉行笃实抓队伍，修炼高质量发展“内功”。</w:t>
      </w:r>
      <w:r>
        <w:rPr>
          <w:rFonts w:hint="eastAsia" w:ascii="Times New Roman" w:hAnsi="Times New Roman" w:eastAsia="仿宋_GB2312" w:cs="仿宋_GB2312"/>
          <w:color w:val="auto"/>
          <w:sz w:val="32"/>
          <w:szCs w:val="32"/>
          <w:highlight w:val="none"/>
          <w:lang w:val="en-US" w:eastAsia="zh-CN"/>
        </w:rPr>
        <w:t>纵深推进全面从严治党，做好巡视巡察整改“后半篇”文章，巩固拓展学习教育成果，运用由风及腐案例强化警示教育，推进作风建设常态化、长效化。履行财会监督主责，推动各类监督协同贯通，在惠农资金、PPP管理、基层“三保”、政府债务等领域开展重点监督，深化集中整治工作，营造风清气正的财经环境。</w:t>
      </w:r>
    </w:p>
    <w:p w14:paraId="39113E8C">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各位代表</w:t>
      </w:r>
      <w:r>
        <w:rPr>
          <w:rFonts w:hint="eastAsia" w:ascii="Times New Roman" w:hAnsi="Times New Roman" w:eastAsia="仿宋_GB2312" w:cs="仿宋_GB2312"/>
          <w:color w:val="auto"/>
          <w:sz w:val="32"/>
          <w:szCs w:val="32"/>
          <w:highlight w:val="none"/>
          <w:lang w:val="en-US" w:eastAsia="zh-CN"/>
        </w:rPr>
        <w:t>！2026年财政工作已经全面展开，各项工作依旧繁重艰巨。我们将在县委的坚强领导下，自觉接受县人大监督指导，虚心听取县政协的意见建议，砥砺奋进，勇毅前行，扎实做好各项重点工作，为实现湖口全域高质量发展贡献财政力量。</w:t>
      </w:r>
    </w:p>
    <w:p w14:paraId="278909E1">
      <w:pPr>
        <w:spacing w:line="56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谢谢大家！</w:t>
      </w:r>
    </w:p>
    <w:p w14:paraId="0324C75E">
      <w:pPr>
        <w:pageBreakBefore w:val="0"/>
        <w:kinsoku/>
        <w:wordWrap/>
        <w:overflowPunct/>
        <w:topLinePunct w:val="0"/>
        <w:autoSpaceDE/>
        <w:autoSpaceDN/>
        <w:bidi w:val="0"/>
        <w:adjustRightInd/>
        <w:spacing w:line="540" w:lineRule="exact"/>
        <w:ind w:firstLine="640"/>
        <w:textAlignment w:val="auto"/>
        <w:rPr>
          <w:rFonts w:hint="default" w:ascii="仿宋_GB2312" w:hAnsi="仿宋_GB2312" w:eastAsia="仿宋_GB2312" w:cs="仿宋_GB2312"/>
          <w:sz w:val="32"/>
          <w:szCs w:val="32"/>
          <w:highlight w:val="none"/>
          <w:lang w:val="en-US" w:eastAsia="zh-CN"/>
        </w:rPr>
      </w:pPr>
    </w:p>
    <w:p w14:paraId="6BC4DDBB">
      <w:pPr>
        <w:pageBreakBefore w:val="0"/>
        <w:kinsoku/>
        <w:wordWrap/>
        <w:overflowPunct/>
        <w:topLinePunct w:val="0"/>
        <w:autoSpaceDE/>
        <w:autoSpaceDN/>
        <w:bidi w:val="0"/>
        <w:adjustRightInd/>
        <w:spacing w:line="540" w:lineRule="exact"/>
        <w:textAlignment w:val="auto"/>
        <w:rPr>
          <w:rFonts w:hint="default" w:ascii="仿宋_GB2312" w:hAnsi="仿宋_GB2312" w:eastAsia="仿宋_GB2312" w:cs="仿宋_GB2312"/>
          <w:sz w:val="32"/>
          <w:szCs w:val="32"/>
          <w:highlight w:val="none"/>
          <w:lang w:val="en-US" w:eastAsia="zh-CN"/>
        </w:rPr>
      </w:pPr>
    </w:p>
    <w:p w14:paraId="0946A3E0">
      <w:pPr>
        <w:spacing w:line="560" w:lineRule="exact"/>
        <w:ind w:firstLine="0" w:firstLineChars="0"/>
        <w:rPr>
          <w:rFonts w:eastAsia="仿宋"/>
          <w:highlight w:val="none"/>
        </w:rPr>
      </w:pPr>
    </w:p>
    <w:p w14:paraId="5FF56150">
      <w:pPr>
        <w:spacing w:line="560" w:lineRule="exact"/>
        <w:ind w:firstLine="0" w:firstLineChars="0"/>
        <w:rPr>
          <w:rFonts w:eastAsia="仿宋"/>
          <w:highlight w:val="none"/>
        </w:rPr>
      </w:pPr>
    </w:p>
    <w:p w14:paraId="78ED20D6">
      <w:pPr>
        <w:spacing w:line="560" w:lineRule="exact"/>
        <w:ind w:firstLine="0" w:firstLineChars="0"/>
        <w:rPr>
          <w:rFonts w:eastAsia="仿宋"/>
          <w:highlight w:val="none"/>
        </w:rPr>
      </w:pPr>
    </w:p>
    <w:p w14:paraId="2C0B71B4">
      <w:pPr>
        <w:spacing w:line="560" w:lineRule="exact"/>
        <w:ind w:firstLine="0" w:firstLineChars="0"/>
        <w:rPr>
          <w:rFonts w:ascii="黑体" w:hAnsi="黑体" w:eastAsia="黑体"/>
          <w:highlight w:val="none"/>
        </w:rPr>
      </w:pPr>
      <w:r>
        <w:rPr>
          <w:rFonts w:ascii="黑体" w:hAnsi="黑体" w:eastAsia="黑体"/>
          <w:highlight w:val="none"/>
        </w:rPr>
        <w:t>附：</w:t>
      </w:r>
    </w:p>
    <w:p w14:paraId="2655C90F">
      <w:pPr>
        <w:spacing w:line="560" w:lineRule="exact"/>
        <w:ind w:firstLine="0" w:firstLineChars="0"/>
        <w:jc w:val="center"/>
        <w:rPr>
          <w:rFonts w:ascii="黑体" w:hAnsi="黑体" w:eastAsia="黑体" w:cs="方正小标宋简体"/>
          <w:sz w:val="44"/>
          <w:szCs w:val="44"/>
          <w:highlight w:val="none"/>
        </w:rPr>
      </w:pPr>
      <w:r>
        <w:rPr>
          <w:rFonts w:hint="eastAsia" w:ascii="黑体" w:hAnsi="黑体" w:eastAsia="黑体" w:cs="方正小标宋简体"/>
          <w:sz w:val="44"/>
          <w:szCs w:val="44"/>
          <w:highlight w:val="none"/>
        </w:rPr>
        <w:t>有关情况说明及名词解释</w:t>
      </w:r>
    </w:p>
    <w:p w14:paraId="04B1EE41">
      <w:pPr>
        <w:spacing w:line="560" w:lineRule="exact"/>
        <w:ind w:firstLine="643"/>
        <w:rPr>
          <w:rFonts w:eastAsia="仿宋"/>
          <w:b/>
          <w:bCs/>
          <w:highlight w:val="none"/>
        </w:rPr>
      </w:pPr>
    </w:p>
    <w:p w14:paraId="6854C2C1">
      <w:pPr>
        <w:pStyle w:val="2"/>
        <w:spacing w:before="0" w:after="0" w:line="600" w:lineRule="exact"/>
        <w:ind w:firstLine="643"/>
        <w:rPr>
          <w:rFonts w:ascii="黑体" w:hAnsi="黑体" w:eastAsia="黑体" w:cs="黑体"/>
          <w:sz w:val="32"/>
          <w:szCs w:val="32"/>
          <w:highlight w:val="none"/>
        </w:rPr>
      </w:pPr>
      <w:r>
        <w:rPr>
          <w:rFonts w:ascii="黑体" w:hAnsi="黑体" w:eastAsia="黑体" w:cs="黑体"/>
          <w:sz w:val="32"/>
          <w:szCs w:val="32"/>
          <w:highlight w:val="none"/>
        </w:rPr>
        <w:t>一、有关情况说明</w:t>
      </w:r>
    </w:p>
    <w:p w14:paraId="55CAFC7E">
      <w:pPr>
        <w:spacing w:line="600" w:lineRule="exact"/>
        <w:ind w:firstLine="643"/>
        <w:rPr>
          <w:rFonts w:ascii="楷体_GB2312" w:hAnsi="楷体" w:eastAsia="楷体_GB2312" w:cs="楷体_GB2312"/>
          <w:b/>
          <w:bCs/>
          <w:highlight w:val="none"/>
        </w:rPr>
      </w:pPr>
      <w:r>
        <w:rPr>
          <w:rFonts w:ascii="楷体_GB2312" w:hAnsi="楷体" w:eastAsia="楷体_GB2312" w:cs="楷体_GB2312"/>
          <w:b/>
          <w:bCs/>
          <w:highlight w:val="none"/>
        </w:rPr>
        <w:t>（一）公共财政预算相关说明</w:t>
      </w:r>
    </w:p>
    <w:p w14:paraId="1D2F7105">
      <w:pPr>
        <w:spacing w:line="560" w:lineRule="exact"/>
        <w:ind w:firstLine="643"/>
        <w:rPr>
          <w:rFonts w:eastAsia="仿宋"/>
          <w:highlight w:val="none"/>
        </w:rPr>
      </w:pPr>
      <w:r>
        <w:rPr>
          <w:rFonts w:eastAsia="仿宋"/>
          <w:b/>
          <w:bCs/>
          <w:highlight w:val="none"/>
        </w:rPr>
        <w:t>公共财政预算支出和部门预算支出的关系。</w:t>
      </w:r>
      <w:r>
        <w:rPr>
          <w:rFonts w:eastAsia="仿宋"/>
          <w:highlight w:val="none"/>
        </w:rPr>
        <w:t>部门预算（概念见后附名词解释）支出是公共财政预算支出的重要组成部分，部门预算支出加上政府不通过部门安排的全县性支出，剔除部门自行取得收入安排的支出即为公共预算支出。（如下图所示）</w:t>
      </w:r>
    </w:p>
    <w:p w14:paraId="4BDF43F3">
      <w:pPr>
        <w:spacing w:line="520" w:lineRule="exact"/>
        <w:ind w:firstLine="640"/>
        <w:rPr>
          <w:rFonts w:eastAsia="仿宋"/>
          <w:highlight w:val="none"/>
        </w:rPr>
      </w:pPr>
      <w:r>
        <w:rPr>
          <w:rFonts w:eastAsia="仿宋"/>
          <w:highlight w:val="none"/>
        </w:rPr>
        <w:t xml:space="preserve">    </w:t>
      </w:r>
    </w:p>
    <w:p w14:paraId="0BDF3F96">
      <w:pPr>
        <w:spacing w:line="520" w:lineRule="exact"/>
        <w:ind w:firstLine="640"/>
        <w:rPr>
          <w:rFonts w:eastAsia="仿宋"/>
          <w:highlight w:val="none"/>
        </w:rPr>
      </w:pPr>
      <w:r>
        <w:rPr>
          <w:rFonts w:eastAsia="仿宋"/>
          <w:highlight w:val="none"/>
        </w:rPr>
        <w:t xml:space="preserve"> </w:t>
      </w:r>
    </w:p>
    <w:p w14:paraId="6348CFC0">
      <w:pPr>
        <w:spacing w:line="520" w:lineRule="exact"/>
        <w:ind w:firstLine="640"/>
        <w:rPr>
          <w:rFonts w:eastAsia="仿宋"/>
          <w:highlight w:val="none"/>
        </w:rPr>
      </w:pPr>
      <w:r>
        <w:rPr>
          <w:rFonts w:eastAsia="仿宋"/>
          <w:highlight w:val="none"/>
        </w:rPr>
        <w:t xml:space="preserve">     </w:t>
      </w:r>
    </w:p>
    <w:p w14:paraId="1F6892EE">
      <w:pPr>
        <w:spacing w:line="560" w:lineRule="exact"/>
        <w:ind w:firstLine="640"/>
        <w:rPr>
          <w:rFonts w:eastAsia="仿宋"/>
          <w:highlight w:val="none"/>
        </w:rPr>
      </w:pPr>
      <w:r>
        <w:rPr>
          <w:rFonts w:eastAsia="仿宋"/>
          <w:highlight w:val="none"/>
        </w:rPr>
        <w:pict>
          <v:rect id="_s1038" o:spid="_x0000_s2061" o:spt="1" style="position:absolute;left:0pt;margin-left:225pt;margin-top:23.6pt;height:23.4pt;width:61.4pt;z-index:251660288;v-text-anchor:middle;mso-width-relative:page;mso-height-relative:page;" filled="f" stroked="f" coordsize="21600,21600">
            <v:path/>
            <v:fill on="f" focussize="0,0"/>
            <v:stroke on="f"/>
            <v:imagedata o:title=""/>
            <o:lock v:ext="edit"/>
            <v:textbox inset="0mm,0mm,0mm,0mm">
              <w:txbxContent>
                <w:p w14:paraId="3F1A057E">
                  <w:pPr>
                    <w:spacing w:line="200" w:lineRule="exact"/>
                    <w:ind w:firstLine="280"/>
                    <w:jc w:val="center"/>
                    <w:rPr>
                      <w:sz w:val="14"/>
                    </w:rPr>
                  </w:pPr>
                  <w:r>
                    <w:rPr>
                      <w:rFonts w:hint="eastAsia"/>
                      <w:sz w:val="14"/>
                    </w:rPr>
                    <w:t>政府通过部门安排的支出</w:t>
                  </w:r>
                </w:p>
              </w:txbxContent>
            </v:textbox>
          </v:rect>
        </w:pict>
      </w:r>
      <w:r>
        <w:rPr>
          <w:rFonts w:eastAsia="仿宋"/>
          <w:highlight w:val="none"/>
        </w:rPr>
        <w:t xml:space="preserve">     </w:t>
      </w:r>
      <w:r>
        <w:rPr>
          <w:rFonts w:eastAsia="仿宋"/>
          <w:highlight w:val="none"/>
        </w:rPr>
        <w:pict>
          <v:group id="图片 3" o:spid="_x0000_s2050" o:spt="203" style="height:70.45pt;width:315pt;" coordorigin="1642,4374" coordsize="8640,8638" editas="canvas">
            <o:lock v:ext="edit"/>
            <v:shape id="图片 3" o:spid="_x0000_s2051" o:spt="75" type="#_x0000_t75" style="position:absolute;left:1642;top:4374;height:8638;width:8640;" filled="f" o:preferrelative="f" stroked="f" coordsize="21600,21600">
              <v:path/>
              <v:fill on="f" focussize="0,0"/>
              <v:stroke on="f" joinstyle="miter"/>
              <v:imagedata o:title=""/>
              <o:lock v:ext="edit" rotation="t" text="t" aspectratio="t"/>
            </v:shape>
            <v:shape id="_s1028" o:spid="_x0000_s2052" o:spt="3" type="#_x0000_t3" style="position:absolute;left:5139;top:5941;height:6121;width:3040;v-text-anchor:middle;" fillcolor="#333399" filled="t" stroked="t" coordsize="21600,21600">
              <v:path/>
              <v:fill on="t" opacity="32768f" focussize="0,0"/>
              <v:stroke weight="0.367637795275591pt" color="#333399"/>
              <v:imagedata o:title=""/>
              <o:lock v:ext="edit" text="t"/>
            </v:shape>
            <v:rect id="_s1029" o:spid="_x0000_s2053" o:spt="1" style="position:absolute;left:8554;top:6402;height:1521;width:741;v-text-anchor:middle;" filled="f" stroked="f" coordsize="21600,21600">
              <v:path/>
              <v:fill on="f" focussize="0,0"/>
              <v:stroke on="f"/>
              <v:imagedata o:title=""/>
              <o:lock v:ext="edit"/>
              <v:textbox inset="0mm,0mm,0mm,0mm">
                <w:txbxContent>
                  <w:p w14:paraId="42FB8816">
                    <w:pPr>
                      <w:spacing w:line="200" w:lineRule="exact"/>
                      <w:ind w:firstLine="180"/>
                      <w:jc w:val="center"/>
                      <w:rPr>
                        <w:sz w:val="11"/>
                        <w:szCs w:val="28"/>
                      </w:rPr>
                    </w:pPr>
                    <w:r>
                      <w:rPr>
                        <w:rFonts w:hint="eastAsia"/>
                        <w:sz w:val="9"/>
                      </w:rPr>
                      <w:t>部门预算支出</w:t>
                    </w:r>
                  </w:p>
                </w:txbxContent>
              </v:textbox>
            </v:rect>
            <v:shape id="_s1030" o:spid="_x0000_s2054" o:spt="3" type="#_x0000_t3" style="position:absolute;left:3617;top:5523;height:7489;width:3843;v-text-anchor:middle;" fillcolor="#99CC00" filled="t" stroked="t" coordsize="21600,21600">
              <v:path/>
              <v:fill on="t" opacity="32768f" focussize="0,0"/>
              <v:stroke weight="0.367637795275591pt" color="#99CC00"/>
              <v:imagedata o:title=""/>
              <o:lock v:ext="edit" text="t"/>
            </v:shape>
            <v:rect id="_s1031" o:spid="_x0000_s2055" o:spt="1" style="position:absolute;left:2383;top:6402;height:1616;width:848;v-text-anchor:middle;" filled="f" stroked="f" coordsize="21600,21600">
              <v:path/>
              <v:fill on="f" focussize="0,0"/>
              <v:stroke on="f"/>
              <v:imagedata o:title=""/>
              <o:lock v:ext="edit"/>
              <v:textbox inset="0mm,0mm,0mm,0mm">
                <w:txbxContent>
                  <w:p w14:paraId="31444B3E">
                    <w:pPr>
                      <w:spacing w:line="200" w:lineRule="exact"/>
                      <w:ind w:firstLine="180"/>
                      <w:jc w:val="center"/>
                      <w:rPr>
                        <w:sz w:val="9"/>
                      </w:rPr>
                    </w:pPr>
                    <w:r>
                      <w:rPr>
                        <w:rFonts w:hint="eastAsia"/>
                        <w:sz w:val="9"/>
                      </w:rPr>
                      <w:t>公共财政预算支出</w:t>
                    </w:r>
                  </w:p>
                </w:txbxContent>
              </v:textbox>
            </v:rect>
            <v:rect id="_s1032" o:spid="_x0000_s2056" o:spt="1" style="position:absolute;left:2136;top:9444;height:3568;width:1234;v-text-anchor:middle;" filled="f" stroked="f" coordsize="21600,21600">
              <v:path/>
              <v:fill on="f" focussize="0,0"/>
              <v:stroke on="f"/>
              <v:imagedata o:title=""/>
              <o:lock v:ext="edit"/>
              <v:textbox inset="0mm,0mm,0mm,0mm">
                <w:txbxContent>
                  <w:p w14:paraId="42146589">
                    <w:pPr>
                      <w:spacing w:line="200" w:lineRule="exact"/>
                      <w:ind w:firstLine="280"/>
                      <w:jc w:val="center"/>
                      <w:rPr>
                        <w:sz w:val="14"/>
                      </w:rPr>
                    </w:pPr>
                    <w:r>
                      <w:rPr>
                        <w:rFonts w:hint="eastAsia"/>
                        <w:sz w:val="14"/>
                      </w:rPr>
                      <w:t>政府不通过部门安排的全县性支出</w:t>
                    </w:r>
                  </w:p>
                </w:txbxContent>
              </v:textbox>
            </v:rect>
            <v:rect id="_s1033" o:spid="_x0000_s2057" o:spt="1" style="position:absolute;left:8801;top:9951;height:2468;width:987;v-text-anchor:middle;" filled="f" stroked="f" coordsize="21600,21600">
              <v:path/>
              <v:fill on="f" focussize="0,0"/>
              <v:stroke on="f"/>
              <v:imagedata o:title=""/>
              <o:lock v:ext="edit"/>
              <v:textbox inset="0mm,0mm,0mm,0mm">
                <w:txbxContent>
                  <w:p w14:paraId="5385D63A">
                    <w:pPr>
                      <w:spacing w:line="200" w:lineRule="exact"/>
                      <w:ind w:firstLine="280"/>
                      <w:jc w:val="center"/>
                      <w:rPr>
                        <w:sz w:val="14"/>
                      </w:rPr>
                    </w:pPr>
                    <w:r>
                      <w:rPr>
                        <w:rFonts w:hint="eastAsia"/>
                        <w:sz w:val="14"/>
                      </w:rPr>
                      <w:t>部门自行取得收入安排的支出</w:t>
                    </w:r>
                  </w:p>
                </w:txbxContent>
              </v:textbox>
            </v:rect>
            <v:line id="直线 23" o:spid="_x0000_s2058" o:spt="20" style="position:absolute;left:3480;top:8717;flip:y;height:1521;width:987;" coordsize="21600,21600">
              <v:path arrowok="t"/>
              <v:fill focussize="0,0"/>
              <v:stroke startarrow="block" endarrow="block"/>
              <v:imagedata o:title=""/>
              <o:lock v:ext="edit"/>
            </v:line>
            <v:line id="直线 24" o:spid="_x0000_s2059" o:spt="20" style="position:absolute;left:7813;top:8938;flip:x y;height:1014;width:988;" coordsize="21600,21600">
              <v:path arrowok="t"/>
              <v:fill focussize="0,0"/>
              <v:stroke startarrow="block" endarrow="block"/>
              <v:imagedata o:title=""/>
              <o:lock v:ext="edit"/>
            </v:line>
            <v:line id="直线 25" o:spid="_x0000_s2060" o:spt="20" style="position:absolute;left:6579;top:9952;flip:x y;height:3042;width:247;" coordsize="21600,21600">
              <v:path arrowok="t"/>
              <v:fill focussize="0,0"/>
              <v:stroke startarrow="block" endarrow="block"/>
              <v:imagedata o:title=""/>
              <o:lock v:ext="edit"/>
            </v:line>
            <w10:wrap type="none"/>
            <w10:anchorlock/>
          </v:group>
        </w:pict>
      </w:r>
    </w:p>
    <w:p w14:paraId="1CB67BA8">
      <w:pPr>
        <w:spacing w:line="560" w:lineRule="exact"/>
        <w:ind w:firstLine="643"/>
        <w:rPr>
          <w:rFonts w:eastAsia="仿宋"/>
          <w:b/>
          <w:highlight w:val="none"/>
        </w:rPr>
      </w:pPr>
    </w:p>
    <w:p w14:paraId="748E54AA">
      <w:pPr>
        <w:spacing w:line="600" w:lineRule="exact"/>
        <w:ind w:firstLine="643"/>
        <w:rPr>
          <w:rFonts w:ascii="楷体_GB2312" w:hAnsi="楷体" w:eastAsia="楷体_GB2312" w:cs="楷体_GB2312"/>
          <w:b/>
          <w:bCs/>
          <w:sz w:val="32"/>
          <w:szCs w:val="32"/>
          <w:highlight w:val="none"/>
        </w:rPr>
      </w:pPr>
      <w:r>
        <w:rPr>
          <w:rFonts w:ascii="楷体_GB2312" w:hAnsi="楷体" w:eastAsia="楷体_GB2312" w:cs="楷体_GB2312"/>
          <w:b/>
          <w:bCs/>
          <w:sz w:val="32"/>
          <w:szCs w:val="32"/>
          <w:highlight w:val="none"/>
        </w:rPr>
        <w:t>（二）社会保险基金预算相关说明</w:t>
      </w:r>
    </w:p>
    <w:p w14:paraId="1352E683">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社会保险基金预算是根据《中华人民共和国社会保险法》和《国务院关于试行社会保险基金预算的意见》以及省市财政有关规定要求并结合我县实际，综合考虑影响社会保险基金的收入、支出和结余情况。收入预算安排做到了应收尽收，在充分考虑扩面因素基础上，合理预计收入中的一次性因素。支出预算安排严格执行有关规定，规范有序，在落实好各项社会保险待遇政策的同时，没有随意提高支付标准和扩大支出范围。</w:t>
      </w:r>
    </w:p>
    <w:p w14:paraId="6E61E0AA">
      <w:pPr>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sz w:val="32"/>
          <w:szCs w:val="32"/>
          <w:highlight w:val="none"/>
        </w:rPr>
        <w:t>按照省、市财政关于编制202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年社会保险基金预算的通知精神，202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年社会保险基金预算包括:城乡居民基本养老保险基金、机关事业单位基本养老保险基金。</w:t>
      </w:r>
    </w:p>
    <w:p w14:paraId="3BF4D8FD">
      <w:pPr>
        <w:pStyle w:val="2"/>
        <w:spacing w:before="0" w:after="0" w:line="600" w:lineRule="exact"/>
        <w:ind w:firstLine="643"/>
        <w:rPr>
          <w:rFonts w:ascii="黑体" w:hAnsi="黑体" w:eastAsia="黑体" w:cs="黑体"/>
          <w:b w:val="0"/>
          <w:bCs w:val="0"/>
          <w:sz w:val="32"/>
          <w:szCs w:val="32"/>
          <w:highlight w:val="none"/>
        </w:rPr>
      </w:pPr>
      <w:r>
        <w:rPr>
          <w:rFonts w:ascii="黑体" w:hAnsi="黑体" w:eastAsia="黑体" w:cs="黑体"/>
          <w:b w:val="0"/>
          <w:bCs w:val="0"/>
          <w:sz w:val="32"/>
          <w:szCs w:val="32"/>
          <w:highlight w:val="none"/>
        </w:rPr>
        <w:t>二、名词解释</w:t>
      </w:r>
    </w:p>
    <w:p w14:paraId="3B3525DF">
      <w:pPr>
        <w:spacing w:line="600" w:lineRule="exact"/>
        <w:ind w:firstLine="643"/>
        <w:rPr>
          <w:rFonts w:ascii="楷体_GB2312" w:hAnsi="楷体" w:eastAsia="楷体_GB2312" w:cs="楷体_GB2312"/>
          <w:b/>
          <w:bCs/>
          <w:sz w:val="32"/>
          <w:szCs w:val="32"/>
          <w:highlight w:val="none"/>
        </w:rPr>
      </w:pPr>
      <w:r>
        <w:rPr>
          <w:rFonts w:ascii="楷体_GB2312" w:hAnsi="楷体" w:eastAsia="楷体_GB2312" w:cs="楷体_GB2312"/>
          <w:b/>
          <w:bCs/>
          <w:sz w:val="32"/>
          <w:szCs w:val="32"/>
          <w:highlight w:val="none"/>
        </w:rPr>
        <w:t>（一）公共财政预算相关名词解释</w:t>
      </w:r>
    </w:p>
    <w:p w14:paraId="00FAAC30">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1.财政总收入和一般公共预算收入：财政总收入</w:t>
      </w:r>
      <w:r>
        <w:rPr>
          <w:rFonts w:hint="eastAsia" w:ascii="仿宋_GB2312" w:hAnsi="仿宋_GB2312" w:eastAsia="仿宋_GB2312" w:cs="仿宋_GB2312"/>
          <w:sz w:val="32"/>
          <w:szCs w:val="32"/>
          <w:highlight w:val="none"/>
        </w:rPr>
        <w:t>是指相对于1994年实行“分税制”以前的老口径收入，一般包括公共财政预算收入、入中央金库的消费税、增值税、企业所得税和个人所得税，但不包括车辆购置税和海关代征的增值税、消费税。财政部不要求各地统计上报汇总，所以全国没有统一的数据。</w:t>
      </w:r>
      <w:r>
        <w:rPr>
          <w:rFonts w:hint="eastAsia" w:ascii="仿宋_GB2312" w:hAnsi="仿宋_GB2312" w:eastAsia="仿宋_GB2312" w:cs="仿宋_GB2312"/>
          <w:b/>
          <w:bCs/>
          <w:sz w:val="32"/>
          <w:szCs w:val="32"/>
          <w:highlight w:val="none"/>
        </w:rPr>
        <w:t>一般公共预算收入</w:t>
      </w:r>
      <w:r>
        <w:rPr>
          <w:rFonts w:hint="eastAsia" w:ascii="仿宋_GB2312" w:hAnsi="仿宋_GB2312" w:eastAsia="仿宋_GB2312" w:cs="仿宋_GB2312"/>
          <w:sz w:val="32"/>
          <w:szCs w:val="32"/>
          <w:highlight w:val="none"/>
        </w:rPr>
        <w:t>也称作</w:t>
      </w:r>
      <w:r>
        <w:rPr>
          <w:rFonts w:hint="eastAsia" w:ascii="仿宋_GB2312" w:hAnsi="仿宋_GB2312" w:eastAsia="仿宋_GB2312" w:cs="仿宋_GB2312"/>
          <w:bCs/>
          <w:sz w:val="32"/>
          <w:szCs w:val="32"/>
          <w:highlight w:val="none"/>
        </w:rPr>
        <w:t>地方财政收入</w:t>
      </w:r>
      <w:r>
        <w:rPr>
          <w:rFonts w:hint="eastAsia" w:ascii="仿宋_GB2312" w:hAnsi="仿宋_GB2312" w:eastAsia="仿宋_GB2312" w:cs="仿宋_GB2312"/>
          <w:sz w:val="32"/>
          <w:szCs w:val="32"/>
          <w:highlight w:val="none"/>
        </w:rPr>
        <w:t>，是按照财政部规定的统一科目和口径统计的收入，包括地方固定收入以及中央与地方共享收入中地方所得部分。由于财政部按此口径统一汇总数据，因而可以直接反映、比较各地财政收入增长情况。</w:t>
      </w:r>
    </w:p>
    <w:p w14:paraId="2BAC6E8D">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sz w:val="32"/>
          <w:szCs w:val="32"/>
          <w:highlight w:val="none"/>
        </w:rPr>
        <w:t>政府性基金预算：</w:t>
      </w:r>
      <w:r>
        <w:rPr>
          <w:rFonts w:hint="eastAsia" w:ascii="仿宋_GB2312" w:hAnsi="仿宋_GB2312" w:eastAsia="仿宋_GB2312" w:cs="仿宋_GB2312"/>
          <w:sz w:val="32"/>
          <w:szCs w:val="32"/>
          <w:highlight w:val="none"/>
        </w:rPr>
        <w:t>为了全面反映纳入预算管理的政府性基金收支活动，财政部专门设置基金预算，专款专用，自求平衡。政府性基金预算收支项目主要包括城市基础设施配套费、国有土地使用权出让收入、彩票公益金等。</w:t>
      </w:r>
    </w:p>
    <w:p w14:paraId="1119EB26">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3.社会保险基金预算：</w:t>
      </w:r>
      <w:r>
        <w:rPr>
          <w:rFonts w:hint="eastAsia" w:ascii="仿宋_GB2312" w:hAnsi="仿宋_GB2312" w:eastAsia="仿宋_GB2312" w:cs="仿宋_GB2312"/>
          <w:sz w:val="32"/>
          <w:szCs w:val="32"/>
          <w:highlight w:val="none"/>
        </w:rPr>
        <w:t>社会保险基金预算是指社会保险经办机构根据社会保险制度的实施计划和任务编制的、经规定程序审批的年度基金财务收支计划。</w:t>
      </w:r>
    </w:p>
    <w:p w14:paraId="2A5EBA34">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4.国有资本经营预算:</w:t>
      </w:r>
      <w:r>
        <w:rPr>
          <w:rFonts w:hint="eastAsia" w:ascii="仿宋_GB2312" w:hAnsi="仿宋_GB2312" w:eastAsia="仿宋_GB2312" w:cs="仿宋_GB2312"/>
          <w:sz w:val="32"/>
          <w:szCs w:val="32"/>
          <w:highlight w:val="none"/>
        </w:rPr>
        <w:t xml:space="preserve"> 国有资本经营预算是指国家以所有者身份依法取得国有资本收益，并对所得收益进行分配而发生的各项收支预算。《中华人民共和国预算法实施条例（修订草案征求意见稿）》相关规定，考虑到部分基层政府国有资本经营预算收入较少的现状，经本级人民代表大会或者其常务委员会批准，设区的市、自治州以下各级政府可以根据实际情况不单独编制本级国有资本经营预算，相关收支事项纳入一般公共预算。</w:t>
      </w:r>
    </w:p>
    <w:p w14:paraId="0F1A313A">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5.部门预算：</w:t>
      </w:r>
      <w:r>
        <w:rPr>
          <w:rFonts w:hint="eastAsia" w:ascii="仿宋_GB2312" w:hAnsi="仿宋_GB2312" w:eastAsia="仿宋_GB2312" w:cs="仿宋_GB2312"/>
          <w:sz w:val="32"/>
          <w:szCs w:val="32"/>
          <w:highlight w:val="none"/>
        </w:rPr>
        <w:t>是指与财政部门直接发生缴拨款关系的一级预算单位的预算，它由本部门所属各单位的预算组成，全貌反映一个部门收支状况。</w:t>
      </w:r>
    </w:p>
    <w:p w14:paraId="7ADF2F1C">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6.上年结转：</w:t>
      </w:r>
      <w:r>
        <w:rPr>
          <w:rFonts w:hint="eastAsia" w:ascii="仿宋_GB2312" w:hAnsi="仿宋_GB2312" w:eastAsia="仿宋_GB2312" w:cs="仿宋_GB2312"/>
          <w:sz w:val="32"/>
          <w:szCs w:val="32"/>
          <w:highlight w:val="none"/>
        </w:rPr>
        <w:t>是指结余中有专项用途、需在下年继续安排使用的部分。地方财政有结余或结转的主要原因：一是中央财政超收中大部分用于补助地方，因超收数额到年底才能较为准确预计，且其使用要严格按程序审批，因此有一部分要在年底和结算时才能下达，地方财政当年拨不出去，形成结余或结转。二是地方财政超收中有一部分资金当年拨不出去，形成结余或结转。</w:t>
      </w:r>
    </w:p>
    <w:p w14:paraId="5F1F2DBC">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7.非税收入：</w:t>
      </w:r>
      <w:r>
        <w:rPr>
          <w:rFonts w:hint="eastAsia" w:ascii="仿宋_GB2312" w:hAnsi="仿宋_GB2312" w:eastAsia="仿宋_GB2312" w:cs="仿宋_GB2312"/>
          <w:sz w:val="32"/>
          <w:szCs w:val="32"/>
          <w:highlight w:val="none"/>
        </w:rPr>
        <w:t>是指政府在税收、债务收入以外取得的财政资金，是财政收入的重要组成部分。主要包括：行政事业性收费、政府性基金、国有资源有偿使用收入、国有资产有偿使用收入、国有资本经营收益、罚没收入、以政府名义接受的捐赠收入、主管部门集中收入以及政府财政资金产生的利息收入等。</w:t>
      </w:r>
    </w:p>
    <w:p w14:paraId="5673D4AE">
      <w:pPr>
        <w:spacing w:line="600" w:lineRule="exact"/>
        <w:ind w:firstLine="643"/>
        <w:rPr>
          <w:rFonts w:ascii="楷体_GB2312" w:hAnsi="楷体" w:eastAsia="楷体_GB2312" w:cs="楷体_GB2312"/>
          <w:b/>
          <w:bCs/>
          <w:sz w:val="32"/>
          <w:szCs w:val="32"/>
          <w:highlight w:val="none"/>
        </w:rPr>
      </w:pPr>
      <w:r>
        <w:rPr>
          <w:rFonts w:ascii="楷体_GB2312" w:hAnsi="楷体" w:eastAsia="楷体_GB2312" w:cs="楷体_GB2312"/>
          <w:b/>
          <w:bCs/>
          <w:sz w:val="32"/>
          <w:szCs w:val="32"/>
          <w:highlight w:val="none"/>
        </w:rPr>
        <w:t>（二）社会保险基金预算相关名词解释</w:t>
      </w:r>
    </w:p>
    <w:p w14:paraId="34B2F373">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1.社会保险基金：</w:t>
      </w:r>
      <w:r>
        <w:rPr>
          <w:rFonts w:hint="eastAsia" w:ascii="仿宋_GB2312" w:hAnsi="仿宋_GB2312" w:eastAsia="仿宋_GB2312" w:cs="仿宋_GB2312"/>
          <w:sz w:val="32"/>
          <w:szCs w:val="32"/>
          <w:highlight w:val="none"/>
        </w:rPr>
        <w:t>是指为了保障保险对象的社会保险待遇，按照国家有关法律、法规和本省有关规定，由缴费单位和缴费个人分别按缴费基数的一定比例缴纳以及通过其他合法方式筹集的专项资金。</w:t>
      </w:r>
    </w:p>
    <w:p w14:paraId="50324D41">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2.转移收入：</w:t>
      </w:r>
      <w:r>
        <w:rPr>
          <w:rFonts w:hint="eastAsia" w:ascii="仿宋_GB2312" w:hAnsi="仿宋_GB2312" w:eastAsia="仿宋_GB2312" w:cs="仿宋_GB2312"/>
          <w:sz w:val="32"/>
          <w:szCs w:val="32"/>
          <w:highlight w:val="none"/>
        </w:rPr>
        <w:t>是指保险对象跨统筹地县流动而转入的基金收入。</w:t>
      </w:r>
    </w:p>
    <w:p w14:paraId="09D0A7AA">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3.转移支出：</w:t>
      </w:r>
      <w:r>
        <w:rPr>
          <w:rFonts w:hint="eastAsia" w:ascii="仿宋_GB2312" w:hAnsi="仿宋_GB2312" w:eastAsia="仿宋_GB2312" w:cs="仿宋_GB2312"/>
          <w:sz w:val="32"/>
          <w:szCs w:val="32"/>
          <w:highlight w:val="none"/>
        </w:rPr>
        <w:t>是指保险对象跨统筹地县流动而转出的基金支出。</w:t>
      </w:r>
    </w:p>
    <w:p w14:paraId="08DAF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微软雅黑" w:hAnsi="微软雅黑" w:eastAsia="微软雅黑" w:cs="微软雅黑"/>
          <w:i w:val="0"/>
          <w:iCs w:val="0"/>
          <w:caps w:val="0"/>
          <w:color w:val="434343"/>
          <w:spacing w:val="0"/>
          <w:sz w:val="19"/>
          <w:szCs w:val="19"/>
          <w:highlight w:val="none"/>
        </w:rPr>
      </w:pPr>
      <w:r>
        <w:rPr>
          <w:rFonts w:ascii="黑体" w:hAnsi="宋体" w:eastAsia="黑体" w:cs="黑体"/>
          <w:b w:val="0"/>
          <w:bCs w:val="0"/>
          <w:i w:val="0"/>
          <w:iCs w:val="0"/>
          <w:caps w:val="0"/>
          <w:color w:val="434343"/>
          <w:spacing w:val="0"/>
          <w:sz w:val="32"/>
          <w:szCs w:val="32"/>
          <w:highlight w:val="none"/>
          <w:shd w:val="clear" w:fill="FFFFFF"/>
        </w:rPr>
        <w:t>二</w:t>
      </w:r>
      <w:r>
        <w:rPr>
          <w:rFonts w:hint="eastAsia" w:ascii="黑体" w:hAnsi="宋体" w:eastAsia="黑体" w:cs="黑体"/>
          <w:b w:val="0"/>
          <w:bCs w:val="0"/>
          <w:i w:val="0"/>
          <w:iCs w:val="0"/>
          <w:caps w:val="0"/>
          <w:color w:val="434343"/>
          <w:spacing w:val="0"/>
          <w:sz w:val="32"/>
          <w:szCs w:val="32"/>
          <w:highlight w:val="none"/>
          <w:shd w:val="clear" w:fill="FFFFFF"/>
        </w:rPr>
        <w:t>、202</w:t>
      </w:r>
      <w:r>
        <w:rPr>
          <w:rFonts w:hint="eastAsia" w:ascii="黑体" w:hAnsi="宋体" w:eastAsia="黑体" w:cs="黑体"/>
          <w:b w:val="0"/>
          <w:bCs w:val="0"/>
          <w:i w:val="0"/>
          <w:iCs w:val="0"/>
          <w:caps w:val="0"/>
          <w:color w:val="434343"/>
          <w:spacing w:val="0"/>
          <w:sz w:val="32"/>
          <w:szCs w:val="32"/>
          <w:highlight w:val="none"/>
          <w:shd w:val="clear" w:fill="FFFFFF"/>
          <w:lang w:val="en-US" w:eastAsia="zh-CN"/>
        </w:rPr>
        <w:t>6</w:t>
      </w:r>
      <w:r>
        <w:rPr>
          <w:rFonts w:hint="eastAsia" w:ascii="黑体" w:hAnsi="宋体" w:eastAsia="黑体" w:cs="黑体"/>
          <w:b w:val="0"/>
          <w:bCs w:val="0"/>
          <w:i w:val="0"/>
          <w:iCs w:val="0"/>
          <w:caps w:val="0"/>
          <w:color w:val="434343"/>
          <w:spacing w:val="0"/>
          <w:sz w:val="32"/>
          <w:szCs w:val="32"/>
          <w:highlight w:val="none"/>
          <w:shd w:val="clear" w:fill="FFFFFF"/>
        </w:rPr>
        <w:t>年转移支付情况说明</w:t>
      </w:r>
    </w:p>
    <w:p w14:paraId="2727EABA">
      <w:pPr>
        <w:spacing w:line="560" w:lineRule="exact"/>
        <w:ind w:firstLine="643"/>
        <w:rPr>
          <w:rFonts w:hint="eastAsia" w:ascii="仿宋" w:hAnsi="仿宋" w:eastAsia="仿宋"/>
          <w:highlight w:val="none"/>
          <w:lang w:eastAsia="zh-CN"/>
        </w:rPr>
      </w:pPr>
      <w:r>
        <w:rPr>
          <w:rFonts w:hint="eastAsia" w:ascii="仿宋" w:hAnsi="仿宋" w:eastAsia="仿宋"/>
          <w:highlight w:val="none"/>
          <w:lang w:val="en-US" w:eastAsia="zh-CN"/>
        </w:rPr>
        <w:t>2026</w:t>
      </w:r>
      <w:r>
        <w:rPr>
          <w:rFonts w:hint="eastAsia" w:ascii="仿宋" w:hAnsi="仿宋" w:eastAsia="仿宋"/>
          <w:highlight w:val="none"/>
        </w:rPr>
        <w:t>年我县预算安排转移支付共计</w:t>
      </w:r>
      <w:r>
        <w:rPr>
          <w:rFonts w:hint="eastAsia" w:ascii="仿宋" w:hAnsi="仿宋" w:eastAsia="仿宋"/>
          <w:highlight w:val="none"/>
          <w:lang w:val="en-US" w:eastAsia="zh-CN"/>
        </w:rPr>
        <w:t>112797</w:t>
      </w:r>
      <w:r>
        <w:rPr>
          <w:rFonts w:hint="eastAsia" w:ascii="仿宋" w:hAnsi="仿宋" w:eastAsia="仿宋"/>
          <w:highlight w:val="none"/>
        </w:rPr>
        <w:t>万元</w:t>
      </w:r>
      <w:r>
        <w:rPr>
          <w:rFonts w:hint="eastAsia" w:ascii="仿宋" w:hAnsi="仿宋" w:eastAsia="仿宋"/>
          <w:highlight w:val="none"/>
          <w:lang w:eastAsia="zh-CN"/>
        </w:rPr>
        <w:t>。</w:t>
      </w:r>
    </w:p>
    <w:p w14:paraId="353B7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黑体" w:hAnsi="宋体" w:eastAsia="黑体" w:cs="黑体"/>
          <w:b w:val="0"/>
          <w:bCs w:val="0"/>
          <w:i w:val="0"/>
          <w:iCs w:val="0"/>
          <w:caps w:val="0"/>
          <w:color w:val="434343"/>
          <w:spacing w:val="0"/>
          <w:sz w:val="32"/>
          <w:szCs w:val="32"/>
          <w:highlight w:val="none"/>
          <w:shd w:val="clear" w:fill="FFFFFF"/>
        </w:rPr>
      </w:pPr>
      <w:r>
        <w:rPr>
          <w:rFonts w:hint="eastAsia" w:ascii="黑体" w:hAnsi="宋体" w:eastAsia="黑体" w:cs="黑体"/>
          <w:b w:val="0"/>
          <w:bCs w:val="0"/>
          <w:i w:val="0"/>
          <w:iCs w:val="0"/>
          <w:caps w:val="0"/>
          <w:color w:val="434343"/>
          <w:spacing w:val="0"/>
          <w:sz w:val="32"/>
          <w:szCs w:val="32"/>
          <w:highlight w:val="none"/>
          <w:shd w:val="clear" w:fill="FFFFFF"/>
        </w:rPr>
        <w:t>三、2026年政府债务情况说明</w:t>
      </w:r>
    </w:p>
    <w:p w14:paraId="2101BBAC">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（一）上年债务情况</w:t>
      </w:r>
    </w:p>
    <w:p w14:paraId="22F5A23B">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1、上年上级债券收入情况</w:t>
      </w:r>
    </w:p>
    <w:p w14:paraId="5C9B50AC">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2025年上级共计下达我县债券资金</w:t>
      </w:r>
      <w:r>
        <w:rPr>
          <w:rFonts w:hint="eastAsia" w:ascii="仿宋_GB2312" w:hAnsi="仿宋_GB2312" w:eastAsia="仿宋_GB2312" w:cs="仿宋_GB2312"/>
          <w:sz w:val="32"/>
          <w:szCs w:val="32"/>
          <w:highlight w:val="none"/>
          <w:lang w:val="en-US" w:eastAsia="zh-CN"/>
        </w:rPr>
        <w:t>272635</w:t>
      </w:r>
      <w:r>
        <w:rPr>
          <w:rFonts w:hint="eastAsia" w:ascii="仿宋_GB2312" w:hAnsi="仿宋_GB2312" w:eastAsia="仿宋_GB2312" w:cs="仿宋_GB2312"/>
          <w:sz w:val="32"/>
          <w:szCs w:val="32"/>
          <w:highlight w:val="none"/>
        </w:rPr>
        <w:t>万元，其中新增债券</w:t>
      </w:r>
      <w:r>
        <w:rPr>
          <w:rFonts w:hint="eastAsia" w:ascii="仿宋_GB2312" w:hAnsi="仿宋_GB2312" w:eastAsia="仿宋_GB2312" w:cs="仿宋_GB2312"/>
          <w:sz w:val="32"/>
          <w:szCs w:val="32"/>
          <w:highlight w:val="none"/>
          <w:lang w:val="en-US" w:eastAsia="zh-CN"/>
        </w:rPr>
        <w:t>203928</w:t>
      </w:r>
      <w:r>
        <w:rPr>
          <w:rFonts w:hint="eastAsia" w:ascii="仿宋_GB2312" w:hAnsi="仿宋_GB2312" w:eastAsia="仿宋_GB2312" w:cs="仿宋_GB2312"/>
          <w:sz w:val="32"/>
          <w:szCs w:val="32"/>
          <w:highlight w:val="none"/>
        </w:rPr>
        <w:t>万元（含新增专项债券</w:t>
      </w:r>
      <w:r>
        <w:rPr>
          <w:rFonts w:hint="eastAsia" w:ascii="仿宋_GB2312" w:hAnsi="仿宋_GB2312" w:eastAsia="仿宋_GB2312" w:cs="仿宋_GB2312"/>
          <w:sz w:val="32"/>
          <w:szCs w:val="32"/>
          <w:highlight w:val="none"/>
          <w:lang w:val="en-US" w:eastAsia="zh-CN"/>
        </w:rPr>
        <w:t>182100</w:t>
      </w:r>
      <w:r>
        <w:rPr>
          <w:rFonts w:hint="eastAsia" w:ascii="仿宋_GB2312" w:hAnsi="仿宋_GB2312" w:eastAsia="仿宋_GB2312" w:cs="仿宋_GB2312"/>
          <w:sz w:val="32"/>
          <w:szCs w:val="32"/>
          <w:highlight w:val="none"/>
        </w:rPr>
        <w:t>万元，新增一般债券</w:t>
      </w:r>
      <w:r>
        <w:rPr>
          <w:rFonts w:hint="eastAsia" w:ascii="仿宋_GB2312" w:hAnsi="仿宋_GB2312" w:eastAsia="仿宋_GB2312" w:cs="仿宋_GB2312"/>
          <w:sz w:val="32"/>
          <w:szCs w:val="32"/>
          <w:highlight w:val="none"/>
          <w:lang w:val="en-US" w:eastAsia="zh-CN"/>
        </w:rPr>
        <w:t>21828</w:t>
      </w:r>
      <w:r>
        <w:rPr>
          <w:rFonts w:hint="eastAsia" w:ascii="仿宋_GB2312" w:hAnsi="仿宋_GB2312" w:eastAsia="仿宋_GB2312" w:cs="仿宋_GB2312"/>
          <w:sz w:val="32"/>
          <w:szCs w:val="32"/>
          <w:highlight w:val="none"/>
        </w:rPr>
        <w:t>万元），再融资债券</w:t>
      </w:r>
      <w:r>
        <w:rPr>
          <w:rFonts w:hint="eastAsia" w:ascii="仿宋_GB2312" w:hAnsi="仿宋_GB2312" w:eastAsia="仿宋_GB2312" w:cs="仿宋_GB2312"/>
          <w:sz w:val="32"/>
          <w:szCs w:val="32"/>
          <w:highlight w:val="none"/>
          <w:lang w:val="en-US" w:eastAsia="zh-CN"/>
        </w:rPr>
        <w:t>68707</w:t>
      </w:r>
      <w:r>
        <w:rPr>
          <w:rFonts w:hint="eastAsia" w:ascii="仿宋_GB2312" w:hAnsi="仿宋_GB2312" w:eastAsia="仿宋_GB2312" w:cs="仿宋_GB2312"/>
          <w:sz w:val="32"/>
          <w:szCs w:val="32"/>
          <w:highlight w:val="none"/>
        </w:rPr>
        <w:t>万元（含再融资一般债券</w:t>
      </w:r>
      <w:r>
        <w:rPr>
          <w:rFonts w:hint="eastAsia" w:ascii="仿宋_GB2312" w:hAnsi="仿宋_GB2312" w:eastAsia="仿宋_GB2312" w:cs="仿宋_GB2312"/>
          <w:sz w:val="32"/>
          <w:szCs w:val="32"/>
          <w:highlight w:val="none"/>
          <w:lang w:val="en-US" w:eastAsia="zh-CN"/>
        </w:rPr>
        <w:t>38208</w:t>
      </w:r>
      <w:r>
        <w:rPr>
          <w:rFonts w:hint="eastAsia" w:ascii="仿宋_GB2312" w:hAnsi="仿宋_GB2312" w:eastAsia="仿宋_GB2312" w:cs="仿宋_GB2312"/>
          <w:sz w:val="32"/>
          <w:szCs w:val="32"/>
          <w:highlight w:val="none"/>
        </w:rPr>
        <w:t>万元，再融资专项债券</w:t>
      </w:r>
      <w:r>
        <w:rPr>
          <w:rFonts w:hint="eastAsia" w:ascii="仿宋_GB2312" w:hAnsi="仿宋_GB2312" w:eastAsia="仿宋_GB2312" w:cs="仿宋_GB2312"/>
          <w:sz w:val="32"/>
          <w:szCs w:val="32"/>
          <w:highlight w:val="none"/>
          <w:lang w:val="en-US" w:eastAsia="zh-CN"/>
        </w:rPr>
        <w:t>30499</w:t>
      </w:r>
      <w:r>
        <w:rPr>
          <w:rFonts w:hint="eastAsia" w:ascii="仿宋_GB2312" w:hAnsi="仿宋_GB2312" w:eastAsia="仿宋_GB2312" w:cs="仿宋_GB2312"/>
          <w:sz w:val="32"/>
          <w:szCs w:val="32"/>
          <w:highlight w:val="none"/>
        </w:rPr>
        <w:t>万元）。</w:t>
      </w:r>
    </w:p>
    <w:p w14:paraId="1BCA18A5">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2、上年债券安排、支出情况</w:t>
      </w:r>
    </w:p>
    <w:p w14:paraId="6AE13FBB">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2025年度上级债券资金额度</w:t>
      </w:r>
      <w:r>
        <w:rPr>
          <w:rFonts w:hint="eastAsia" w:ascii="仿宋_GB2312" w:hAnsi="仿宋_GB2312" w:eastAsia="仿宋_GB2312" w:cs="仿宋_GB2312"/>
          <w:sz w:val="32"/>
          <w:szCs w:val="32"/>
          <w:highlight w:val="none"/>
          <w:lang w:val="en-US" w:eastAsia="zh-CN"/>
        </w:rPr>
        <w:t>272635</w:t>
      </w:r>
      <w:r>
        <w:rPr>
          <w:rFonts w:hint="eastAsia" w:ascii="仿宋_GB2312" w:hAnsi="仿宋_GB2312" w:eastAsia="仿宋_GB2312" w:cs="仿宋_GB2312"/>
          <w:sz w:val="32"/>
          <w:szCs w:val="32"/>
          <w:highlight w:val="none"/>
        </w:rPr>
        <w:t>万元县财政已全部进行了安排，其中：新增债券资金额度</w:t>
      </w:r>
      <w:r>
        <w:rPr>
          <w:rFonts w:hint="eastAsia" w:ascii="仿宋_GB2312" w:hAnsi="仿宋_GB2312" w:eastAsia="仿宋_GB2312" w:cs="仿宋_GB2312"/>
          <w:sz w:val="32"/>
          <w:szCs w:val="32"/>
          <w:highlight w:val="none"/>
          <w:lang w:val="en-US" w:eastAsia="zh-CN"/>
        </w:rPr>
        <w:t>203928</w:t>
      </w:r>
      <w:r>
        <w:rPr>
          <w:rFonts w:hint="eastAsia" w:ascii="仿宋_GB2312" w:hAnsi="仿宋_GB2312" w:eastAsia="仿宋_GB2312" w:cs="仿宋_GB2312"/>
          <w:sz w:val="32"/>
          <w:szCs w:val="32"/>
          <w:highlight w:val="none"/>
        </w:rPr>
        <w:t>万元已分配下达到项目单位，再融资债券</w:t>
      </w:r>
      <w:r>
        <w:rPr>
          <w:rFonts w:hint="eastAsia" w:ascii="仿宋_GB2312" w:hAnsi="仿宋_GB2312" w:eastAsia="仿宋_GB2312" w:cs="仿宋_GB2312"/>
          <w:sz w:val="32"/>
          <w:szCs w:val="32"/>
          <w:highlight w:val="none"/>
          <w:lang w:val="en-US" w:eastAsia="zh-CN"/>
        </w:rPr>
        <w:t>68707</w:t>
      </w:r>
      <w:r>
        <w:rPr>
          <w:rFonts w:hint="eastAsia" w:ascii="仿宋_GB2312" w:hAnsi="仿宋_GB2312" w:eastAsia="仿宋_GB2312" w:cs="仿宋_GB2312"/>
          <w:sz w:val="32"/>
          <w:szCs w:val="32"/>
          <w:highlight w:val="none"/>
        </w:rPr>
        <w:t>万元安排用于2025年到期债券的还本支出。</w:t>
      </w:r>
    </w:p>
    <w:p w14:paraId="18C1B9AE">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截止12月底，全县新增债券资金支出</w:t>
      </w:r>
      <w:r>
        <w:rPr>
          <w:rFonts w:hint="eastAsia" w:ascii="仿宋_GB2312" w:hAnsi="仿宋_GB2312" w:eastAsia="仿宋_GB2312" w:cs="仿宋_GB2312"/>
          <w:sz w:val="32"/>
          <w:szCs w:val="32"/>
          <w:highlight w:val="none"/>
          <w:lang w:val="en-US" w:eastAsia="zh-CN"/>
        </w:rPr>
        <w:t>188961</w:t>
      </w:r>
      <w:r>
        <w:rPr>
          <w:rFonts w:hint="eastAsia" w:ascii="仿宋_GB2312" w:hAnsi="仿宋_GB2312" w:eastAsia="仿宋_GB2312" w:cs="仿宋_GB2312"/>
          <w:sz w:val="32"/>
          <w:szCs w:val="32"/>
          <w:highlight w:val="none"/>
        </w:rPr>
        <w:t>万元，支出占债券总额的</w:t>
      </w:r>
      <w:r>
        <w:rPr>
          <w:rFonts w:hint="eastAsia" w:ascii="仿宋_GB2312" w:hAnsi="仿宋_GB2312" w:eastAsia="仿宋_GB2312" w:cs="仿宋_GB2312"/>
          <w:sz w:val="32"/>
          <w:szCs w:val="32"/>
          <w:highlight w:val="none"/>
          <w:lang w:val="en-US" w:eastAsia="zh-CN"/>
        </w:rPr>
        <w:t>92.66</w:t>
      </w:r>
      <w:r>
        <w:rPr>
          <w:rFonts w:hint="eastAsia" w:ascii="仿宋_GB2312" w:hAnsi="仿宋_GB2312" w:eastAsia="仿宋_GB2312" w:cs="仿宋_GB2312"/>
          <w:sz w:val="32"/>
          <w:szCs w:val="32"/>
          <w:highlight w:val="none"/>
        </w:rPr>
        <w:t>%，其中：一般债券资金支出</w:t>
      </w:r>
      <w:r>
        <w:rPr>
          <w:rFonts w:hint="eastAsia" w:ascii="仿宋_GB2312" w:hAnsi="仿宋_GB2312" w:eastAsia="仿宋_GB2312" w:cs="仿宋_GB2312"/>
          <w:sz w:val="32"/>
          <w:szCs w:val="32"/>
          <w:highlight w:val="none"/>
          <w:lang w:val="en-US" w:eastAsia="zh-CN"/>
        </w:rPr>
        <w:t>19759</w:t>
      </w:r>
      <w:r>
        <w:rPr>
          <w:rFonts w:hint="eastAsia" w:ascii="仿宋_GB2312" w:hAnsi="仿宋_GB2312" w:eastAsia="仿宋_GB2312" w:cs="仿宋_GB2312"/>
          <w:sz w:val="32"/>
          <w:szCs w:val="32"/>
          <w:highlight w:val="none"/>
        </w:rPr>
        <w:t>万元，支出进度</w:t>
      </w:r>
      <w:r>
        <w:rPr>
          <w:rFonts w:hint="eastAsia" w:ascii="仿宋_GB2312" w:hAnsi="仿宋_GB2312" w:eastAsia="仿宋_GB2312" w:cs="仿宋_GB2312"/>
          <w:sz w:val="32"/>
          <w:szCs w:val="32"/>
          <w:highlight w:val="none"/>
          <w:lang w:val="en-US" w:eastAsia="zh-CN"/>
        </w:rPr>
        <w:t>90.52</w:t>
      </w:r>
      <w:r>
        <w:rPr>
          <w:rFonts w:hint="eastAsia" w:ascii="仿宋_GB2312" w:hAnsi="仿宋_GB2312" w:eastAsia="仿宋_GB2312" w:cs="仿宋_GB2312"/>
          <w:sz w:val="32"/>
          <w:szCs w:val="32"/>
          <w:highlight w:val="none"/>
        </w:rPr>
        <w:t>%；专项债券资金支出</w:t>
      </w:r>
      <w:r>
        <w:rPr>
          <w:rFonts w:hint="eastAsia" w:ascii="仿宋_GB2312" w:hAnsi="仿宋_GB2312" w:eastAsia="仿宋_GB2312" w:cs="仿宋_GB2312"/>
          <w:sz w:val="32"/>
          <w:szCs w:val="32"/>
          <w:highlight w:val="none"/>
          <w:lang w:val="en-US" w:eastAsia="zh-CN"/>
        </w:rPr>
        <w:t>169201</w:t>
      </w:r>
      <w:r>
        <w:rPr>
          <w:rFonts w:hint="eastAsia" w:ascii="仿宋_GB2312" w:hAnsi="仿宋_GB2312" w:eastAsia="仿宋_GB2312" w:cs="仿宋_GB2312"/>
          <w:sz w:val="32"/>
          <w:szCs w:val="32"/>
          <w:highlight w:val="none"/>
        </w:rPr>
        <w:t>万元，支出进度</w:t>
      </w:r>
      <w:r>
        <w:rPr>
          <w:rFonts w:hint="eastAsia" w:ascii="仿宋_GB2312" w:hAnsi="仿宋_GB2312" w:eastAsia="仿宋_GB2312" w:cs="仿宋_GB2312"/>
          <w:sz w:val="32"/>
          <w:szCs w:val="32"/>
          <w:highlight w:val="none"/>
          <w:lang w:val="en-US" w:eastAsia="zh-CN"/>
        </w:rPr>
        <w:t>92.91</w:t>
      </w:r>
      <w:r>
        <w:rPr>
          <w:rFonts w:hint="eastAsia" w:ascii="仿宋_GB2312" w:hAnsi="仿宋_GB2312" w:eastAsia="仿宋_GB2312" w:cs="仿宋_GB2312"/>
          <w:sz w:val="32"/>
          <w:szCs w:val="32"/>
          <w:highlight w:val="none"/>
        </w:rPr>
        <w:t>%。再融资债券已全部用于偿还到期债券本金及存量隐性债务偿还。</w:t>
      </w:r>
    </w:p>
    <w:p w14:paraId="4784C2FE">
      <w:pPr>
        <w:spacing w:line="560" w:lineRule="exact"/>
        <w:ind w:firstLine="643"/>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支出项目主要是：:一般债券资金主要用于以下</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个项目建设上</w:t>
      </w:r>
      <w:r>
        <w:rPr>
          <w:rFonts w:hint="eastAsia" w:ascii="仿宋_GB2312" w:hAnsi="仿宋_GB2312" w:eastAsia="仿宋_GB2312" w:cs="仿宋_GB2312"/>
          <w:sz w:val="32"/>
          <w:szCs w:val="32"/>
          <w:highlight w:val="none"/>
          <w:lang w:val="en-US" w:eastAsia="zh-CN"/>
        </w:rPr>
        <w:t>:湖口高新园区改造提升工程800万、九江市湖口县高新园区边坡整治、生态修复及挡土墙建设项目7200万、九江市湖口县园区和企业地质灾害隐患治理项目1112万、湖口高新园区龙山片区天赐大道项目300万、湖口县公共文化服务设施建设项目500万、湖口县污水处理设施扩容及管网改造配套市政设施提升工程4086万、湖口县2024年公共租赁住房小区改造提升项目186万、湖口县金沙湾工业园区地质灾害综合治理工程225万、湖口县地质灾害隐患点排危除险治理项目182万、湖口县公共实训中心建设项目5000万、湖口县台山省级森林公园森林防火巡护道路项目168万；专项债券资金用于补充政府性基金财力44000万元，用于拖欠账款9829万元，用于项目建设128271万元，主要安排在以下25个建设项目上:湖口县城市停车场及基础设施提升项目5959万元、湖口县全民健身中心改造提升项目4000万元、湖口县水利基础设施综合提升改造项目6085万元、九江市湖口县城东片区供热管道建设项目4595万元、湖口县农业产业融合发展示范园建设项目3192万元、湖口县金砂湾物流园提升改造项目2300万元、湖口县人民医院肿瘤中心建设项目3948万元、 湖口县全域渔业经济示范区建设项目4466万元、 湖口县凰村镇农产品批发市场建设项目1374万元、湖口县5G新材料标准化厂房及配套基础设施二期建设项目10647万元、湖口县武山镇现代农业产业示范园建设项目2950万元、湖口县冷链物流基地二期建设项目300万元、九江市湖口县医共体建设项目1882万元、九江市湖口县污水管网及配套设施建设工程4243万元、湖口县中等职业技术学校公共实训中心项目200万元、湖口县高新园区标准厂房建设项目3400万元、湖口县均桥镇农业产业发展融合项目2594万元、湖口县人民医院医养结合项目137万元、九江市湖口县2025年老旧小区改造项目817万元、湖口县天地空生态修复保护全要素监测综合治理项目168万元、湖口县农村供水保障提升工程110万元、石钟山西南侧住宅用地11400万元、教育北路西侧原自来水公司住宅用地4850万元、湖口县萍钢技改项目（第一批）35750万元</w:t>
      </w:r>
    </w:p>
    <w:p w14:paraId="49FFF289">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再融资债券</w:t>
      </w:r>
      <w:r>
        <w:rPr>
          <w:rFonts w:hint="eastAsia" w:ascii="仿宋_GB2312" w:hAnsi="仿宋_GB2312" w:eastAsia="仿宋_GB2312" w:cs="仿宋_GB2312"/>
          <w:sz w:val="32"/>
          <w:szCs w:val="32"/>
          <w:highlight w:val="none"/>
          <w:lang w:val="en-US" w:eastAsia="zh-CN"/>
        </w:rPr>
        <w:t>68707</w:t>
      </w:r>
      <w:r>
        <w:rPr>
          <w:rFonts w:hint="eastAsia" w:ascii="仿宋_GB2312" w:hAnsi="仿宋_GB2312" w:eastAsia="仿宋_GB2312" w:cs="仿宋_GB2312"/>
          <w:sz w:val="32"/>
          <w:szCs w:val="32"/>
          <w:highlight w:val="none"/>
        </w:rPr>
        <w:t>万元，其中：</w:t>
      </w:r>
      <w:r>
        <w:rPr>
          <w:rFonts w:hint="eastAsia" w:ascii="仿宋_GB2312" w:hAnsi="仿宋_GB2312" w:eastAsia="仿宋_GB2312" w:cs="仿宋_GB2312"/>
          <w:sz w:val="32"/>
          <w:szCs w:val="32"/>
          <w:highlight w:val="none"/>
          <w:lang w:val="en-US" w:eastAsia="zh-CN"/>
        </w:rPr>
        <w:t>39307</w:t>
      </w:r>
      <w:r>
        <w:rPr>
          <w:rFonts w:hint="eastAsia" w:ascii="仿宋_GB2312" w:hAnsi="仿宋_GB2312" w:eastAsia="仿宋_GB2312" w:cs="仿宋_GB2312"/>
          <w:sz w:val="32"/>
          <w:szCs w:val="32"/>
          <w:highlight w:val="none"/>
        </w:rPr>
        <w:t>万元用于本年到期债券还本支出，</w:t>
      </w:r>
      <w:r>
        <w:rPr>
          <w:rFonts w:hint="eastAsia" w:ascii="仿宋_GB2312" w:hAnsi="仿宋_GB2312" w:eastAsia="仿宋_GB2312" w:cs="仿宋_GB2312"/>
          <w:sz w:val="32"/>
          <w:szCs w:val="32"/>
          <w:highlight w:val="none"/>
          <w:lang w:val="en-US" w:eastAsia="zh-CN"/>
        </w:rPr>
        <w:t>29400</w:t>
      </w:r>
      <w:r>
        <w:rPr>
          <w:rFonts w:hint="eastAsia" w:ascii="仿宋_GB2312" w:hAnsi="仿宋_GB2312" w:eastAsia="仿宋_GB2312" w:cs="仿宋_GB2312"/>
          <w:sz w:val="32"/>
          <w:szCs w:val="32"/>
          <w:highlight w:val="none"/>
        </w:rPr>
        <w:t>万元用于置换存量隐性债务。</w:t>
      </w:r>
    </w:p>
    <w:p w14:paraId="79C14041">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3、债务限额情况</w:t>
      </w:r>
    </w:p>
    <w:p w14:paraId="1F9396F9">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2025年省厅下达我县债务总限额为</w:t>
      </w:r>
      <w:r>
        <w:rPr>
          <w:rFonts w:hint="eastAsia" w:ascii="仿宋_GB2312" w:hAnsi="仿宋_GB2312" w:eastAsia="仿宋_GB2312" w:cs="仿宋_GB2312"/>
          <w:sz w:val="32"/>
          <w:szCs w:val="32"/>
          <w:highlight w:val="none"/>
          <w:lang w:val="en-US" w:eastAsia="zh-CN"/>
        </w:rPr>
        <w:t>1120950</w:t>
      </w:r>
      <w:r>
        <w:rPr>
          <w:rFonts w:hint="eastAsia" w:ascii="仿宋_GB2312" w:hAnsi="仿宋_GB2312" w:eastAsia="仿宋_GB2312" w:cs="仿宋_GB2312"/>
          <w:sz w:val="32"/>
          <w:szCs w:val="32"/>
          <w:highlight w:val="none"/>
        </w:rPr>
        <w:t>万元，其中：一般债务限额</w:t>
      </w:r>
      <w:r>
        <w:rPr>
          <w:rFonts w:hint="eastAsia" w:ascii="仿宋_GB2312" w:hAnsi="仿宋_GB2312" w:eastAsia="仿宋_GB2312" w:cs="仿宋_GB2312"/>
          <w:sz w:val="32"/>
          <w:szCs w:val="32"/>
          <w:highlight w:val="none"/>
          <w:lang w:val="en-US" w:eastAsia="zh-CN"/>
        </w:rPr>
        <w:t>265056</w:t>
      </w:r>
      <w:r>
        <w:rPr>
          <w:rFonts w:hint="eastAsia" w:ascii="仿宋_GB2312" w:hAnsi="仿宋_GB2312" w:eastAsia="仿宋_GB2312" w:cs="仿宋_GB2312"/>
          <w:sz w:val="32"/>
          <w:szCs w:val="32"/>
          <w:highlight w:val="none"/>
        </w:rPr>
        <w:t>万元，专项债务限额</w:t>
      </w:r>
      <w:r>
        <w:rPr>
          <w:rFonts w:hint="eastAsia" w:ascii="仿宋_GB2312" w:hAnsi="仿宋_GB2312" w:eastAsia="仿宋_GB2312" w:cs="仿宋_GB2312"/>
          <w:sz w:val="32"/>
          <w:szCs w:val="32"/>
          <w:highlight w:val="none"/>
          <w:lang w:val="en-US" w:eastAsia="zh-CN"/>
        </w:rPr>
        <w:t>855894</w:t>
      </w:r>
      <w:r>
        <w:rPr>
          <w:rFonts w:hint="eastAsia" w:ascii="仿宋_GB2312" w:hAnsi="仿宋_GB2312" w:eastAsia="仿宋_GB2312" w:cs="仿宋_GB2312"/>
          <w:sz w:val="32"/>
          <w:szCs w:val="32"/>
          <w:highlight w:val="none"/>
        </w:rPr>
        <w:t>万元。</w:t>
      </w:r>
    </w:p>
    <w:p w14:paraId="4238ED01">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4、债务余额情况</w:t>
      </w:r>
    </w:p>
    <w:p w14:paraId="48FC9A8D">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2025年初，系统内债务余额</w:t>
      </w:r>
      <w:r>
        <w:rPr>
          <w:rFonts w:hint="eastAsia" w:ascii="仿宋_GB2312" w:hAnsi="仿宋_GB2312" w:eastAsia="仿宋_GB2312" w:cs="仿宋_GB2312"/>
          <w:sz w:val="32"/>
          <w:szCs w:val="32"/>
          <w:highlight w:val="none"/>
          <w:lang w:val="en-US" w:eastAsia="zh-CN"/>
        </w:rPr>
        <w:t>856048.15</w:t>
      </w:r>
      <w:r>
        <w:rPr>
          <w:rFonts w:hint="eastAsia" w:ascii="仿宋_GB2312" w:hAnsi="仿宋_GB2312" w:eastAsia="仿宋_GB2312" w:cs="仿宋_GB2312"/>
          <w:sz w:val="32"/>
          <w:szCs w:val="32"/>
          <w:highlight w:val="none"/>
        </w:rPr>
        <w:t>万元，其中：政府负有偿还责任债务余额</w:t>
      </w:r>
      <w:r>
        <w:rPr>
          <w:rFonts w:hint="eastAsia" w:ascii="仿宋_GB2312" w:hAnsi="仿宋_GB2312" w:eastAsia="仿宋_GB2312" w:cs="仿宋_GB2312"/>
          <w:sz w:val="32"/>
          <w:szCs w:val="32"/>
          <w:highlight w:val="none"/>
          <w:lang w:val="en-US" w:eastAsia="zh-CN"/>
        </w:rPr>
        <w:t>850446.68</w:t>
      </w:r>
      <w:r>
        <w:rPr>
          <w:rFonts w:hint="eastAsia" w:ascii="仿宋_GB2312" w:hAnsi="仿宋_GB2312" w:eastAsia="仿宋_GB2312" w:cs="仿宋_GB2312"/>
          <w:sz w:val="32"/>
          <w:szCs w:val="32"/>
          <w:highlight w:val="none"/>
        </w:rPr>
        <w:t>万元（含一般债务</w:t>
      </w:r>
      <w:r>
        <w:rPr>
          <w:rFonts w:hint="eastAsia" w:ascii="仿宋_GB2312" w:hAnsi="仿宋_GB2312" w:eastAsia="仿宋_GB2312" w:cs="仿宋_GB2312"/>
          <w:sz w:val="32"/>
          <w:szCs w:val="32"/>
          <w:highlight w:val="none"/>
          <w:lang w:val="en-US" w:eastAsia="zh-CN"/>
        </w:rPr>
        <w:t>24509</w:t>
      </w:r>
      <w:r>
        <w:rPr>
          <w:rFonts w:hint="eastAsia" w:ascii="仿宋_GB2312" w:hAnsi="仿宋_GB2312" w:eastAsia="仿宋_GB2312" w:cs="仿宋_GB2312"/>
          <w:sz w:val="32"/>
          <w:szCs w:val="32"/>
          <w:highlight w:val="none"/>
        </w:rPr>
        <w:t>万元，具体为：一般债券</w:t>
      </w:r>
      <w:r>
        <w:rPr>
          <w:rFonts w:hint="eastAsia" w:ascii="仿宋_GB2312" w:hAnsi="仿宋_GB2312" w:eastAsia="仿宋_GB2312" w:cs="仿宋_GB2312"/>
          <w:sz w:val="32"/>
          <w:szCs w:val="32"/>
          <w:highlight w:val="none"/>
          <w:lang w:val="en-US" w:eastAsia="zh-CN"/>
        </w:rPr>
        <w:t>242427</w:t>
      </w:r>
      <w:r>
        <w:rPr>
          <w:rFonts w:hint="eastAsia" w:ascii="仿宋_GB2312" w:hAnsi="仿宋_GB2312" w:eastAsia="仿宋_GB2312" w:cs="仿宋_GB2312"/>
          <w:sz w:val="32"/>
          <w:szCs w:val="32"/>
          <w:highlight w:val="none"/>
        </w:rPr>
        <w:t>万元，存量一般债务</w:t>
      </w:r>
      <w:r>
        <w:rPr>
          <w:rFonts w:hint="eastAsia" w:ascii="仿宋_GB2312" w:hAnsi="仿宋_GB2312" w:eastAsia="仿宋_GB2312" w:cs="仿宋_GB2312"/>
          <w:sz w:val="32"/>
          <w:szCs w:val="32"/>
          <w:highlight w:val="none"/>
          <w:lang w:val="en-US" w:eastAsia="zh-CN"/>
        </w:rPr>
        <w:t>82</w:t>
      </w:r>
      <w:r>
        <w:rPr>
          <w:rFonts w:hint="eastAsia" w:ascii="仿宋_GB2312" w:hAnsi="仿宋_GB2312" w:eastAsia="仿宋_GB2312" w:cs="仿宋_GB2312"/>
          <w:sz w:val="32"/>
          <w:szCs w:val="32"/>
          <w:highlight w:val="none"/>
        </w:rPr>
        <w:t>万元；专项债务</w:t>
      </w:r>
      <w:r>
        <w:rPr>
          <w:rFonts w:hint="eastAsia" w:ascii="仿宋_GB2312" w:hAnsi="仿宋_GB2312" w:eastAsia="仿宋_GB2312" w:cs="仿宋_GB2312"/>
          <w:sz w:val="32"/>
          <w:szCs w:val="32"/>
          <w:highlight w:val="none"/>
          <w:lang w:val="en-US" w:eastAsia="zh-CN"/>
        </w:rPr>
        <w:t>607937</w:t>
      </w:r>
      <w:r>
        <w:rPr>
          <w:rFonts w:hint="eastAsia" w:ascii="仿宋_GB2312" w:hAnsi="仿宋_GB2312" w:eastAsia="仿宋_GB2312" w:cs="仿宋_GB2312"/>
          <w:sz w:val="32"/>
          <w:szCs w:val="32"/>
          <w:highlight w:val="none"/>
        </w:rPr>
        <w:t>万元，均为专项债券），担保类存量债务余额</w:t>
      </w:r>
      <w:r>
        <w:rPr>
          <w:rFonts w:hint="eastAsia" w:ascii="仿宋_GB2312" w:hAnsi="仿宋_GB2312" w:eastAsia="仿宋_GB2312" w:cs="仿宋_GB2312"/>
          <w:sz w:val="32"/>
          <w:szCs w:val="32"/>
          <w:highlight w:val="none"/>
          <w:lang w:val="en-US" w:eastAsia="zh-CN"/>
        </w:rPr>
        <w:t>5401</w:t>
      </w:r>
      <w:r>
        <w:rPr>
          <w:rFonts w:hint="eastAsia" w:ascii="仿宋_GB2312" w:hAnsi="仿宋_GB2312" w:eastAsia="仿宋_GB2312" w:cs="仿宋_GB2312"/>
          <w:sz w:val="32"/>
          <w:szCs w:val="32"/>
          <w:highlight w:val="none"/>
        </w:rPr>
        <w:t>万元，救助类存量债务余额</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w:t>
      </w:r>
    </w:p>
    <w:p w14:paraId="7AC3FBBA">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2025年末，系统内债务余额</w:t>
      </w:r>
      <w:r>
        <w:rPr>
          <w:rFonts w:hint="eastAsia" w:ascii="仿宋_GB2312" w:hAnsi="仿宋_GB2312" w:eastAsia="仿宋_GB2312" w:cs="仿宋_GB2312"/>
          <w:sz w:val="32"/>
          <w:szCs w:val="32"/>
          <w:highlight w:val="none"/>
          <w:lang w:val="en-US" w:eastAsia="zh-CN"/>
        </w:rPr>
        <w:t>1084981</w:t>
      </w:r>
      <w:r>
        <w:rPr>
          <w:rFonts w:hint="eastAsia" w:ascii="仿宋_GB2312" w:hAnsi="仿宋_GB2312" w:eastAsia="仿宋_GB2312" w:cs="仿宋_GB2312"/>
          <w:sz w:val="32"/>
          <w:szCs w:val="32"/>
          <w:highlight w:val="none"/>
        </w:rPr>
        <w:t>万元，其中：政府负有偿还责任债务余额</w:t>
      </w:r>
      <w:r>
        <w:rPr>
          <w:rFonts w:hint="eastAsia" w:ascii="仿宋_GB2312" w:hAnsi="仿宋_GB2312" w:eastAsia="仿宋_GB2312" w:cs="仿宋_GB2312"/>
          <w:sz w:val="32"/>
          <w:szCs w:val="32"/>
          <w:highlight w:val="none"/>
          <w:lang w:val="en-US" w:eastAsia="zh-CN"/>
        </w:rPr>
        <w:t>1079380</w:t>
      </w:r>
      <w:r>
        <w:rPr>
          <w:rFonts w:hint="eastAsia" w:ascii="仿宋_GB2312" w:hAnsi="仿宋_GB2312" w:eastAsia="仿宋_GB2312" w:cs="仿宋_GB2312"/>
          <w:sz w:val="32"/>
          <w:szCs w:val="32"/>
          <w:highlight w:val="none"/>
        </w:rPr>
        <w:t>万元（含一般债务</w:t>
      </w:r>
      <w:r>
        <w:rPr>
          <w:rFonts w:hint="eastAsia" w:ascii="仿宋_GB2312" w:hAnsi="仿宋_GB2312" w:eastAsia="仿宋_GB2312" w:cs="仿宋_GB2312"/>
          <w:sz w:val="32"/>
          <w:szCs w:val="32"/>
          <w:highlight w:val="none"/>
          <w:lang w:val="en-US" w:eastAsia="zh-CN"/>
        </w:rPr>
        <w:t>260066</w:t>
      </w:r>
      <w:r>
        <w:rPr>
          <w:rFonts w:hint="eastAsia" w:ascii="仿宋_GB2312" w:hAnsi="仿宋_GB2312" w:eastAsia="仿宋_GB2312" w:cs="仿宋_GB2312"/>
          <w:sz w:val="32"/>
          <w:szCs w:val="32"/>
          <w:highlight w:val="none"/>
        </w:rPr>
        <w:t>万元，具体为：一般债券</w:t>
      </w:r>
      <w:r>
        <w:rPr>
          <w:rFonts w:hint="eastAsia" w:ascii="仿宋_GB2312" w:hAnsi="仿宋_GB2312" w:eastAsia="仿宋_GB2312" w:cs="仿宋_GB2312"/>
          <w:sz w:val="32"/>
          <w:szCs w:val="32"/>
          <w:highlight w:val="none"/>
          <w:lang w:val="en-US" w:eastAsia="zh-CN"/>
        </w:rPr>
        <w:t>260008</w:t>
      </w:r>
      <w:r>
        <w:rPr>
          <w:rFonts w:hint="eastAsia" w:ascii="仿宋_GB2312" w:hAnsi="仿宋_GB2312" w:eastAsia="仿宋_GB2312" w:cs="仿宋_GB2312"/>
          <w:sz w:val="32"/>
          <w:szCs w:val="32"/>
          <w:highlight w:val="none"/>
        </w:rPr>
        <w:t>万元，存量一般债务</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万元；专项债务</w:t>
      </w:r>
      <w:r>
        <w:rPr>
          <w:rFonts w:hint="eastAsia" w:ascii="仿宋_GB2312" w:hAnsi="仿宋_GB2312" w:eastAsia="仿宋_GB2312" w:cs="仿宋_GB2312"/>
          <w:sz w:val="32"/>
          <w:szCs w:val="32"/>
          <w:highlight w:val="none"/>
          <w:lang w:val="en-US" w:eastAsia="zh-CN"/>
        </w:rPr>
        <w:t>819314</w:t>
      </w:r>
      <w:r>
        <w:rPr>
          <w:rFonts w:hint="eastAsia" w:ascii="仿宋_GB2312" w:hAnsi="仿宋_GB2312" w:eastAsia="仿宋_GB2312" w:cs="仿宋_GB2312"/>
          <w:sz w:val="32"/>
          <w:szCs w:val="32"/>
          <w:highlight w:val="none"/>
        </w:rPr>
        <w:t>万元，均为专项债券），担保类存量债务余额</w:t>
      </w:r>
      <w:r>
        <w:rPr>
          <w:rFonts w:hint="eastAsia" w:ascii="仿宋_GB2312" w:hAnsi="仿宋_GB2312" w:eastAsia="仿宋_GB2312" w:cs="仿宋_GB2312"/>
          <w:sz w:val="32"/>
          <w:szCs w:val="32"/>
          <w:highlight w:val="none"/>
          <w:lang w:val="en-US" w:eastAsia="zh-CN"/>
        </w:rPr>
        <w:t>5401</w:t>
      </w:r>
      <w:r>
        <w:rPr>
          <w:rFonts w:hint="eastAsia" w:ascii="仿宋_GB2312" w:hAnsi="仿宋_GB2312" w:eastAsia="仿宋_GB2312" w:cs="仿宋_GB2312"/>
          <w:sz w:val="32"/>
          <w:szCs w:val="32"/>
          <w:highlight w:val="none"/>
        </w:rPr>
        <w:t>万元，救助类存量债务余额</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w:t>
      </w:r>
    </w:p>
    <w:p w14:paraId="2B445930">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5、债务风险情况 </w:t>
      </w:r>
    </w:p>
    <w:p w14:paraId="5DD2B259">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2025年底政府法定债务余额未突破上级下达当年的法定债务限额，政府债务风险总体可控。</w:t>
      </w:r>
    </w:p>
    <w:p w14:paraId="6852F358">
      <w:pPr>
        <w:spacing w:line="560" w:lineRule="exact"/>
        <w:ind w:firstLine="6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（二）2026债券拟还本付息情况</w:t>
      </w:r>
    </w:p>
    <w:p w14:paraId="24A173CD">
      <w:pPr>
        <w:spacing w:line="560" w:lineRule="exact"/>
        <w:ind w:firstLine="643"/>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根据地方政府债务管理系统信息，2026年拟需还本付息</w:t>
      </w:r>
      <w:r>
        <w:rPr>
          <w:rFonts w:hint="eastAsia" w:ascii="仿宋_GB2312" w:hAnsi="仿宋_GB2312" w:eastAsia="仿宋_GB2312" w:cs="仿宋_GB2312"/>
          <w:sz w:val="32"/>
          <w:szCs w:val="32"/>
          <w:highlight w:val="none"/>
          <w:lang w:val="en-US" w:eastAsia="zh-CN"/>
        </w:rPr>
        <w:t>58094</w:t>
      </w:r>
      <w:r>
        <w:rPr>
          <w:rFonts w:hint="eastAsia" w:ascii="仿宋_GB2312" w:hAnsi="仿宋_GB2312" w:eastAsia="仿宋_GB2312" w:cs="仿宋_GB2312"/>
          <w:sz w:val="32"/>
          <w:szCs w:val="32"/>
          <w:highlight w:val="none"/>
        </w:rPr>
        <w:t>万元，其中：偿还到期债券本金</w:t>
      </w:r>
      <w:r>
        <w:rPr>
          <w:rFonts w:hint="eastAsia" w:ascii="仿宋_GB2312" w:hAnsi="仿宋_GB2312" w:eastAsia="仿宋_GB2312" w:cs="仿宋_GB2312"/>
          <w:sz w:val="32"/>
          <w:szCs w:val="32"/>
          <w:highlight w:val="none"/>
          <w:lang w:val="en-US" w:eastAsia="zh-CN"/>
        </w:rPr>
        <w:t>28229</w:t>
      </w:r>
      <w:r>
        <w:rPr>
          <w:rFonts w:hint="eastAsia" w:ascii="仿宋_GB2312" w:hAnsi="仿宋_GB2312" w:eastAsia="仿宋_GB2312" w:cs="仿宋_GB2312"/>
          <w:sz w:val="32"/>
          <w:szCs w:val="32"/>
          <w:highlight w:val="none"/>
        </w:rPr>
        <w:t>万元（含一般债券还本</w:t>
      </w:r>
      <w:r>
        <w:rPr>
          <w:rFonts w:hint="eastAsia" w:ascii="仿宋_GB2312" w:hAnsi="仿宋_GB2312" w:eastAsia="仿宋_GB2312" w:cs="仿宋_GB2312"/>
          <w:sz w:val="32"/>
          <w:szCs w:val="32"/>
          <w:highlight w:val="none"/>
          <w:lang w:val="en-US" w:eastAsia="zh-CN"/>
        </w:rPr>
        <w:t>9926</w:t>
      </w:r>
      <w:r>
        <w:rPr>
          <w:rFonts w:hint="eastAsia" w:ascii="仿宋_GB2312" w:hAnsi="仿宋_GB2312" w:eastAsia="仿宋_GB2312" w:cs="仿宋_GB2312"/>
          <w:sz w:val="32"/>
          <w:szCs w:val="32"/>
          <w:highlight w:val="none"/>
        </w:rPr>
        <w:t>万元，专项债券</w:t>
      </w:r>
      <w:r>
        <w:rPr>
          <w:rFonts w:hint="eastAsia" w:ascii="仿宋_GB2312" w:hAnsi="仿宋_GB2312" w:eastAsia="仿宋_GB2312" w:cs="仿宋_GB2312"/>
          <w:sz w:val="32"/>
          <w:szCs w:val="32"/>
          <w:highlight w:val="none"/>
          <w:lang w:val="en-US" w:eastAsia="zh-CN"/>
        </w:rPr>
        <w:t>18303</w:t>
      </w:r>
      <w:r>
        <w:rPr>
          <w:rFonts w:hint="eastAsia" w:ascii="仿宋_GB2312" w:hAnsi="仿宋_GB2312" w:eastAsia="仿宋_GB2312" w:cs="仿宋_GB2312"/>
          <w:sz w:val="32"/>
          <w:szCs w:val="32"/>
          <w:highlight w:val="none"/>
        </w:rPr>
        <w:t>万元），支付债券利息</w:t>
      </w:r>
      <w:r>
        <w:rPr>
          <w:rFonts w:hint="eastAsia" w:ascii="仿宋_GB2312" w:hAnsi="仿宋_GB2312" w:eastAsia="仿宋_GB2312" w:cs="仿宋_GB2312"/>
          <w:sz w:val="32"/>
          <w:szCs w:val="32"/>
          <w:highlight w:val="none"/>
          <w:lang w:val="en-US" w:eastAsia="zh-CN"/>
        </w:rPr>
        <w:t>29864</w:t>
      </w:r>
      <w:r>
        <w:rPr>
          <w:rFonts w:hint="eastAsia" w:ascii="仿宋_GB2312" w:hAnsi="仿宋_GB2312" w:eastAsia="仿宋_GB2312" w:cs="仿宋_GB2312"/>
          <w:sz w:val="32"/>
          <w:szCs w:val="32"/>
          <w:highlight w:val="none"/>
        </w:rPr>
        <w:t>万元（含一般债券付息</w:t>
      </w:r>
      <w:r>
        <w:rPr>
          <w:rFonts w:hint="eastAsia" w:ascii="仿宋_GB2312" w:hAnsi="仿宋_GB2312" w:eastAsia="仿宋_GB2312" w:cs="仿宋_GB2312"/>
          <w:sz w:val="32"/>
          <w:szCs w:val="32"/>
          <w:highlight w:val="none"/>
          <w:lang w:val="en-US" w:eastAsia="zh-CN"/>
        </w:rPr>
        <w:t>7263</w:t>
      </w:r>
      <w:r>
        <w:rPr>
          <w:rFonts w:hint="eastAsia" w:ascii="仿宋_GB2312" w:hAnsi="仿宋_GB2312" w:eastAsia="仿宋_GB2312" w:cs="仿宋_GB2312"/>
          <w:sz w:val="32"/>
          <w:szCs w:val="32"/>
          <w:highlight w:val="none"/>
        </w:rPr>
        <w:t>万元，专项债券付息</w:t>
      </w:r>
      <w:r>
        <w:rPr>
          <w:rFonts w:hint="eastAsia" w:ascii="仿宋_GB2312" w:hAnsi="仿宋_GB2312" w:eastAsia="仿宋_GB2312" w:cs="仿宋_GB2312"/>
          <w:sz w:val="32"/>
          <w:szCs w:val="32"/>
          <w:highlight w:val="none"/>
          <w:lang w:val="en-US" w:eastAsia="zh-CN"/>
        </w:rPr>
        <w:t>22601</w:t>
      </w:r>
      <w:r>
        <w:rPr>
          <w:rFonts w:hint="eastAsia" w:ascii="仿宋_GB2312" w:hAnsi="仿宋_GB2312" w:eastAsia="仿宋_GB2312" w:cs="仿宋_GB2312"/>
          <w:sz w:val="32"/>
          <w:szCs w:val="32"/>
          <w:highlight w:val="none"/>
        </w:rPr>
        <w:t>万元）。</w:t>
      </w:r>
    </w:p>
    <w:p w14:paraId="3B61AD2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黑体" w:hAnsi="宋体" w:eastAsia="黑体" w:cs="黑体"/>
          <w:b w:val="0"/>
          <w:bCs w:val="0"/>
          <w:i w:val="0"/>
          <w:iCs w:val="0"/>
          <w:caps w:val="0"/>
          <w:color w:val="434343"/>
          <w:spacing w:val="0"/>
          <w:sz w:val="32"/>
          <w:szCs w:val="32"/>
          <w:highlight w:val="none"/>
          <w:shd w:val="clear" w:fill="FFFFFF"/>
        </w:rPr>
      </w:pPr>
      <w:r>
        <w:rPr>
          <w:rFonts w:hint="eastAsia" w:ascii="黑体" w:hAnsi="宋体" w:eastAsia="黑体" w:cs="黑体"/>
          <w:b w:val="0"/>
          <w:bCs w:val="0"/>
          <w:i w:val="0"/>
          <w:iCs w:val="0"/>
          <w:caps w:val="0"/>
          <w:color w:val="434343"/>
          <w:spacing w:val="0"/>
          <w:sz w:val="32"/>
          <w:szCs w:val="32"/>
          <w:highlight w:val="none"/>
          <w:shd w:val="clear" w:fill="FFFFFF"/>
        </w:rPr>
        <w:t>四、202</w:t>
      </w:r>
      <w:r>
        <w:rPr>
          <w:rFonts w:hint="eastAsia" w:ascii="黑体" w:hAnsi="宋体" w:eastAsia="黑体" w:cs="黑体"/>
          <w:b w:val="0"/>
          <w:bCs w:val="0"/>
          <w:i w:val="0"/>
          <w:iCs w:val="0"/>
          <w:caps w:val="0"/>
          <w:color w:val="434343"/>
          <w:spacing w:val="0"/>
          <w:sz w:val="32"/>
          <w:szCs w:val="32"/>
          <w:highlight w:val="none"/>
          <w:shd w:val="clear" w:fill="FFFFFF"/>
          <w:lang w:val="en-US" w:eastAsia="zh-CN"/>
        </w:rPr>
        <w:t>6</w:t>
      </w:r>
      <w:r>
        <w:rPr>
          <w:rFonts w:hint="eastAsia" w:ascii="黑体" w:hAnsi="宋体" w:eastAsia="黑体" w:cs="黑体"/>
          <w:b w:val="0"/>
          <w:bCs w:val="0"/>
          <w:i w:val="0"/>
          <w:iCs w:val="0"/>
          <w:caps w:val="0"/>
          <w:color w:val="434343"/>
          <w:spacing w:val="0"/>
          <w:sz w:val="32"/>
          <w:szCs w:val="32"/>
          <w:highlight w:val="none"/>
          <w:shd w:val="clear" w:fill="FFFFFF"/>
        </w:rPr>
        <w:t>年“三公</w:t>
      </w:r>
      <w:r>
        <w:rPr>
          <w:rFonts w:hint="eastAsia" w:ascii="黑体" w:hAnsi="宋体" w:eastAsia="黑体" w:cs="黑体"/>
          <w:b w:val="0"/>
          <w:bCs w:val="0"/>
          <w:i w:val="0"/>
          <w:iCs w:val="0"/>
          <w:caps w:val="0"/>
          <w:color w:val="434343"/>
          <w:spacing w:val="0"/>
          <w:sz w:val="32"/>
          <w:szCs w:val="32"/>
          <w:highlight w:val="none"/>
          <w:shd w:val="clear" w:fill="FFFFFF"/>
          <w:lang w:eastAsia="zh-CN"/>
        </w:rPr>
        <w:t>”</w:t>
      </w:r>
      <w:r>
        <w:rPr>
          <w:rFonts w:hint="eastAsia" w:ascii="黑体" w:hAnsi="宋体" w:eastAsia="黑体" w:cs="黑体"/>
          <w:b w:val="0"/>
          <w:bCs w:val="0"/>
          <w:i w:val="0"/>
          <w:iCs w:val="0"/>
          <w:caps w:val="0"/>
          <w:color w:val="434343"/>
          <w:spacing w:val="0"/>
          <w:sz w:val="32"/>
          <w:szCs w:val="32"/>
          <w:highlight w:val="none"/>
          <w:shd w:val="clear" w:fill="FFFFFF"/>
        </w:rPr>
        <w:t>经费情况说明</w:t>
      </w:r>
    </w:p>
    <w:p w14:paraId="15940C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rPr>
          <w:rFonts w:hint="eastAsia" w:ascii="仿宋" w:hAnsi="仿宋" w:eastAsia="仿宋" w:cs="仿宋"/>
          <w:i w:val="0"/>
          <w:iCs w:val="0"/>
          <w:caps w:val="0"/>
          <w:color w:val="434343"/>
          <w:spacing w:val="0"/>
          <w:sz w:val="32"/>
          <w:szCs w:val="32"/>
          <w:highlight w:val="none"/>
          <w:shd w:val="clear" w:fill="FFFFFF"/>
        </w:rPr>
      </w:pPr>
      <w:r>
        <w:rPr>
          <w:rFonts w:hint="default" w:ascii="Times New Roman" w:hAnsi="Times New Roman" w:eastAsia="微软雅黑" w:cs="Times New Roman"/>
          <w:i w:val="0"/>
          <w:iCs w:val="0"/>
          <w:caps w:val="0"/>
          <w:color w:val="434343"/>
          <w:spacing w:val="0"/>
          <w:sz w:val="32"/>
          <w:szCs w:val="32"/>
          <w:highlight w:val="none"/>
          <w:shd w:val="clear" w:fill="FFFFFF"/>
        </w:rPr>
        <w:t>202</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w:t>
      </w:r>
      <w:r>
        <w:rPr>
          <w:rFonts w:hint="eastAsia" w:ascii="仿宋" w:hAnsi="仿宋" w:eastAsia="仿宋" w:cs="仿宋"/>
          <w:i w:val="0"/>
          <w:iCs w:val="0"/>
          <w:caps w:val="0"/>
          <w:color w:val="434343"/>
          <w:spacing w:val="0"/>
          <w:sz w:val="32"/>
          <w:szCs w:val="32"/>
          <w:highlight w:val="none"/>
          <w:shd w:val="clear" w:fill="FFFFFF"/>
        </w:rPr>
        <w:t>年“三公”经费预算安排支出情况。部门预算安排“三公”经费支出共计</w:t>
      </w:r>
      <w:r>
        <w:rPr>
          <w:rFonts w:hint="eastAsia" w:ascii="仿宋" w:hAnsi="仿宋" w:eastAsia="仿宋" w:cs="仿宋"/>
          <w:i w:val="0"/>
          <w:iCs w:val="0"/>
          <w:caps w:val="0"/>
          <w:color w:val="434343"/>
          <w:spacing w:val="0"/>
          <w:sz w:val="32"/>
          <w:szCs w:val="32"/>
          <w:highlight w:val="none"/>
          <w:shd w:val="clear" w:fill="FFFFFF"/>
          <w:lang w:val="en-US" w:eastAsia="zh-CN"/>
        </w:rPr>
        <w:t>1667</w:t>
      </w:r>
      <w:r>
        <w:rPr>
          <w:rFonts w:hint="eastAsia" w:ascii="仿宋" w:hAnsi="仿宋" w:eastAsia="仿宋" w:cs="仿宋"/>
          <w:i w:val="0"/>
          <w:iCs w:val="0"/>
          <w:caps w:val="0"/>
          <w:color w:val="434343"/>
          <w:spacing w:val="0"/>
          <w:sz w:val="32"/>
          <w:szCs w:val="32"/>
          <w:highlight w:val="none"/>
          <w:shd w:val="clear" w:fill="FFFFFF"/>
        </w:rPr>
        <w:t>万元，比上年减少</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285</w:t>
      </w:r>
      <w:r>
        <w:rPr>
          <w:rFonts w:hint="eastAsia" w:ascii="仿宋" w:hAnsi="仿宋" w:eastAsia="仿宋" w:cs="仿宋"/>
          <w:i w:val="0"/>
          <w:iCs w:val="0"/>
          <w:caps w:val="0"/>
          <w:color w:val="434343"/>
          <w:spacing w:val="0"/>
          <w:sz w:val="32"/>
          <w:szCs w:val="32"/>
          <w:highlight w:val="none"/>
          <w:shd w:val="clear" w:fill="FFFFFF"/>
        </w:rPr>
        <w:t>万元，主要原因是过紧日子，压缩</w:t>
      </w:r>
      <w:r>
        <w:rPr>
          <w:rFonts w:hint="eastAsia" w:ascii="仿宋" w:hAnsi="仿宋" w:eastAsia="仿宋" w:cs="仿宋"/>
          <w:i w:val="0"/>
          <w:iCs w:val="0"/>
          <w:caps w:val="0"/>
          <w:color w:val="434343"/>
          <w:spacing w:val="0"/>
          <w:sz w:val="32"/>
          <w:szCs w:val="32"/>
          <w:highlight w:val="none"/>
          <w:shd w:val="clear" w:fill="FFFFFF"/>
          <w:lang w:eastAsia="zh-CN"/>
        </w:rPr>
        <w:t>“三公”经费</w:t>
      </w:r>
      <w:r>
        <w:rPr>
          <w:rFonts w:hint="eastAsia" w:ascii="仿宋" w:hAnsi="仿宋" w:eastAsia="仿宋" w:cs="仿宋"/>
          <w:i w:val="0"/>
          <w:iCs w:val="0"/>
          <w:caps w:val="0"/>
          <w:color w:val="434343"/>
          <w:spacing w:val="0"/>
          <w:sz w:val="32"/>
          <w:szCs w:val="32"/>
          <w:highlight w:val="none"/>
          <w:shd w:val="clear" w:fill="FFFFFF"/>
        </w:rPr>
        <w:t>支出。其中因公出国（境）费安排</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40</w:t>
      </w:r>
      <w:r>
        <w:rPr>
          <w:rFonts w:hint="eastAsia" w:ascii="仿宋" w:hAnsi="仿宋" w:eastAsia="仿宋" w:cs="仿宋"/>
          <w:i w:val="0"/>
          <w:iCs w:val="0"/>
          <w:caps w:val="0"/>
          <w:color w:val="434343"/>
          <w:spacing w:val="0"/>
          <w:sz w:val="32"/>
          <w:szCs w:val="32"/>
          <w:highlight w:val="none"/>
          <w:shd w:val="clear" w:fill="FFFFFF"/>
        </w:rPr>
        <w:t>万元，比上年减少</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40</w:t>
      </w:r>
      <w:r>
        <w:rPr>
          <w:rFonts w:hint="eastAsia" w:ascii="仿宋" w:hAnsi="仿宋" w:eastAsia="仿宋" w:cs="仿宋"/>
          <w:i w:val="0"/>
          <w:iCs w:val="0"/>
          <w:caps w:val="0"/>
          <w:color w:val="434343"/>
          <w:spacing w:val="0"/>
          <w:sz w:val="32"/>
          <w:szCs w:val="32"/>
          <w:highlight w:val="none"/>
          <w:shd w:val="clear" w:fill="FFFFFF"/>
        </w:rPr>
        <w:t>万元，主要原因是过紧日子，压缩因公出国（境）</w:t>
      </w:r>
      <w:r>
        <w:rPr>
          <w:rFonts w:hint="eastAsia" w:ascii="仿宋" w:hAnsi="仿宋" w:eastAsia="仿宋" w:cs="仿宋"/>
          <w:i w:val="0"/>
          <w:iCs w:val="0"/>
          <w:caps w:val="0"/>
          <w:color w:val="434343"/>
          <w:spacing w:val="0"/>
          <w:sz w:val="32"/>
          <w:szCs w:val="32"/>
          <w:highlight w:val="none"/>
          <w:shd w:val="clear" w:fill="FFFFFF"/>
          <w:lang w:eastAsia="zh-CN"/>
        </w:rPr>
        <w:t>费</w:t>
      </w:r>
      <w:r>
        <w:rPr>
          <w:rFonts w:hint="eastAsia" w:ascii="仿宋" w:hAnsi="仿宋" w:eastAsia="仿宋" w:cs="仿宋"/>
          <w:i w:val="0"/>
          <w:iCs w:val="0"/>
          <w:caps w:val="0"/>
          <w:color w:val="434343"/>
          <w:spacing w:val="0"/>
          <w:sz w:val="32"/>
          <w:szCs w:val="32"/>
          <w:highlight w:val="none"/>
          <w:shd w:val="clear" w:fill="FFFFFF"/>
        </w:rPr>
        <w:t>；公务用车购置费安排</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235</w:t>
      </w:r>
      <w:r>
        <w:rPr>
          <w:rFonts w:hint="eastAsia" w:ascii="仿宋" w:hAnsi="仿宋" w:eastAsia="仿宋" w:cs="仿宋"/>
          <w:i w:val="0"/>
          <w:iCs w:val="0"/>
          <w:caps w:val="0"/>
          <w:color w:val="434343"/>
          <w:spacing w:val="0"/>
          <w:sz w:val="32"/>
          <w:szCs w:val="32"/>
          <w:highlight w:val="none"/>
          <w:shd w:val="clear" w:fill="FFFFFF"/>
        </w:rPr>
        <w:t>万元，比上年减少</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68</w:t>
      </w:r>
      <w:r>
        <w:rPr>
          <w:rFonts w:hint="eastAsia" w:ascii="仿宋" w:hAnsi="仿宋" w:eastAsia="仿宋" w:cs="仿宋"/>
          <w:i w:val="0"/>
          <w:iCs w:val="0"/>
          <w:caps w:val="0"/>
          <w:color w:val="434343"/>
          <w:spacing w:val="0"/>
          <w:sz w:val="32"/>
          <w:szCs w:val="32"/>
          <w:highlight w:val="none"/>
          <w:shd w:val="clear" w:fill="FFFFFF"/>
        </w:rPr>
        <w:t>万元，主要原因是</w:t>
      </w:r>
      <w:r>
        <w:rPr>
          <w:rFonts w:hint="eastAsia" w:ascii="仿宋" w:hAnsi="仿宋" w:eastAsia="仿宋" w:cs="仿宋"/>
          <w:i w:val="0"/>
          <w:iCs w:val="0"/>
          <w:caps w:val="0"/>
          <w:color w:val="434343"/>
          <w:spacing w:val="0"/>
          <w:sz w:val="32"/>
          <w:szCs w:val="32"/>
          <w:highlight w:val="none"/>
          <w:shd w:val="clear" w:fill="FFFFFF"/>
          <w:lang w:val="en-US" w:eastAsia="zh-CN"/>
        </w:rPr>
        <w:t>购置公务车辆较上年数量减少</w:t>
      </w:r>
      <w:r>
        <w:rPr>
          <w:rFonts w:hint="eastAsia" w:ascii="仿宋" w:hAnsi="仿宋" w:eastAsia="仿宋" w:cs="仿宋"/>
          <w:i w:val="0"/>
          <w:iCs w:val="0"/>
          <w:caps w:val="0"/>
          <w:color w:val="434343"/>
          <w:spacing w:val="0"/>
          <w:sz w:val="32"/>
          <w:szCs w:val="32"/>
          <w:highlight w:val="none"/>
          <w:shd w:val="clear" w:fill="FFFFFF"/>
        </w:rPr>
        <w:t>；公务用车运行费安排</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584</w:t>
      </w:r>
      <w:r>
        <w:rPr>
          <w:rFonts w:hint="eastAsia" w:ascii="仿宋" w:hAnsi="仿宋" w:eastAsia="仿宋" w:cs="仿宋"/>
          <w:i w:val="0"/>
          <w:iCs w:val="0"/>
          <w:caps w:val="0"/>
          <w:color w:val="434343"/>
          <w:spacing w:val="0"/>
          <w:sz w:val="32"/>
          <w:szCs w:val="32"/>
          <w:highlight w:val="none"/>
          <w:shd w:val="clear" w:fill="FFFFFF"/>
        </w:rPr>
        <w:t>万元，比上年</w:t>
      </w:r>
      <w:r>
        <w:rPr>
          <w:rFonts w:hint="eastAsia" w:ascii="仿宋" w:hAnsi="仿宋" w:eastAsia="仿宋" w:cs="仿宋"/>
          <w:i w:val="0"/>
          <w:iCs w:val="0"/>
          <w:caps w:val="0"/>
          <w:color w:val="434343"/>
          <w:spacing w:val="0"/>
          <w:sz w:val="32"/>
          <w:szCs w:val="32"/>
          <w:highlight w:val="none"/>
          <w:shd w:val="clear" w:fill="FFFFFF"/>
          <w:lang w:eastAsia="zh-CN"/>
        </w:rPr>
        <w:t>增加</w:t>
      </w:r>
      <w:r>
        <w:rPr>
          <w:rFonts w:hint="eastAsia" w:ascii="仿宋" w:hAnsi="仿宋" w:eastAsia="仿宋" w:cs="仿宋"/>
          <w:i w:val="0"/>
          <w:iCs w:val="0"/>
          <w:caps w:val="0"/>
          <w:color w:val="434343"/>
          <w:spacing w:val="0"/>
          <w:sz w:val="32"/>
          <w:szCs w:val="32"/>
          <w:highlight w:val="none"/>
          <w:shd w:val="clear" w:fill="FFFFFF"/>
          <w:lang w:val="en-US" w:eastAsia="zh-CN"/>
        </w:rPr>
        <w:t>8</w:t>
      </w:r>
      <w:r>
        <w:rPr>
          <w:rFonts w:hint="eastAsia" w:ascii="仿宋" w:hAnsi="仿宋" w:eastAsia="仿宋" w:cs="仿宋"/>
          <w:i w:val="0"/>
          <w:iCs w:val="0"/>
          <w:caps w:val="0"/>
          <w:color w:val="434343"/>
          <w:spacing w:val="0"/>
          <w:sz w:val="32"/>
          <w:szCs w:val="32"/>
          <w:highlight w:val="none"/>
          <w:shd w:val="clear" w:fill="FFFFFF"/>
        </w:rPr>
        <w:t>万元，主要原因是</w:t>
      </w:r>
      <w:r>
        <w:rPr>
          <w:rFonts w:hint="eastAsia" w:ascii="仿宋" w:hAnsi="仿宋" w:eastAsia="仿宋" w:cs="仿宋"/>
          <w:i w:val="0"/>
          <w:iCs w:val="0"/>
          <w:caps w:val="0"/>
          <w:color w:val="434343"/>
          <w:spacing w:val="0"/>
          <w:sz w:val="32"/>
          <w:szCs w:val="32"/>
          <w:highlight w:val="none"/>
          <w:shd w:val="clear" w:fill="FFFFFF"/>
          <w:lang w:eastAsia="zh-CN"/>
        </w:rPr>
        <w:t>部分车辆老化，维护成本增加</w:t>
      </w:r>
      <w:r>
        <w:rPr>
          <w:rFonts w:hint="eastAsia" w:ascii="仿宋" w:hAnsi="仿宋" w:eastAsia="仿宋" w:cs="仿宋"/>
          <w:i w:val="0"/>
          <w:iCs w:val="0"/>
          <w:caps w:val="0"/>
          <w:color w:val="434343"/>
          <w:spacing w:val="0"/>
          <w:sz w:val="32"/>
          <w:szCs w:val="32"/>
          <w:highlight w:val="none"/>
          <w:shd w:val="clear" w:fill="FFFFFF"/>
        </w:rPr>
        <w:t>；公务接待费安排</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808</w:t>
      </w:r>
      <w:r>
        <w:rPr>
          <w:rFonts w:hint="eastAsia" w:ascii="仿宋" w:hAnsi="仿宋" w:eastAsia="仿宋" w:cs="仿宋"/>
          <w:i w:val="0"/>
          <w:iCs w:val="0"/>
          <w:caps w:val="0"/>
          <w:color w:val="434343"/>
          <w:spacing w:val="0"/>
          <w:sz w:val="32"/>
          <w:szCs w:val="32"/>
          <w:highlight w:val="none"/>
          <w:shd w:val="clear" w:fill="FFFFFF"/>
        </w:rPr>
        <w:t>万元，比上年减少</w:t>
      </w:r>
      <w:r>
        <w:rPr>
          <w:rFonts w:hint="eastAsia" w:ascii="Times New Roman" w:hAnsi="Times New Roman" w:eastAsia="微软雅黑" w:cs="Times New Roman"/>
          <w:i w:val="0"/>
          <w:iCs w:val="0"/>
          <w:caps w:val="0"/>
          <w:color w:val="434343"/>
          <w:spacing w:val="0"/>
          <w:sz w:val="32"/>
          <w:szCs w:val="32"/>
          <w:highlight w:val="none"/>
          <w:shd w:val="clear" w:fill="FFFFFF"/>
          <w:lang w:val="en-US" w:eastAsia="zh-CN"/>
        </w:rPr>
        <w:t>182</w:t>
      </w:r>
      <w:r>
        <w:rPr>
          <w:rFonts w:hint="eastAsia" w:ascii="仿宋" w:hAnsi="仿宋" w:eastAsia="仿宋" w:cs="仿宋"/>
          <w:i w:val="0"/>
          <w:iCs w:val="0"/>
          <w:caps w:val="0"/>
          <w:color w:val="434343"/>
          <w:spacing w:val="0"/>
          <w:sz w:val="32"/>
          <w:szCs w:val="32"/>
          <w:highlight w:val="none"/>
          <w:shd w:val="clear" w:fill="FFFFFF"/>
        </w:rPr>
        <w:t>万元，主要原因是过紧日子，压缩</w:t>
      </w:r>
      <w:r>
        <w:rPr>
          <w:rFonts w:hint="eastAsia" w:ascii="仿宋" w:hAnsi="仿宋" w:eastAsia="仿宋" w:cs="仿宋"/>
          <w:i w:val="0"/>
          <w:iCs w:val="0"/>
          <w:caps w:val="0"/>
          <w:color w:val="434343"/>
          <w:spacing w:val="0"/>
          <w:sz w:val="32"/>
          <w:szCs w:val="32"/>
          <w:highlight w:val="none"/>
          <w:shd w:val="clear" w:fill="FFFFFF"/>
          <w:lang w:eastAsia="zh-CN"/>
        </w:rPr>
        <w:t>公务接待费</w:t>
      </w:r>
      <w:r>
        <w:rPr>
          <w:rFonts w:hint="eastAsia" w:ascii="仿宋" w:hAnsi="仿宋" w:eastAsia="仿宋" w:cs="仿宋"/>
          <w:i w:val="0"/>
          <w:iCs w:val="0"/>
          <w:caps w:val="0"/>
          <w:color w:val="434343"/>
          <w:spacing w:val="0"/>
          <w:sz w:val="32"/>
          <w:szCs w:val="32"/>
          <w:highlight w:val="none"/>
          <w:shd w:val="clear" w:fill="FFFFFF"/>
        </w:rPr>
        <w:t>。</w:t>
      </w:r>
    </w:p>
    <w:p w14:paraId="44032D06">
      <w:pPr>
        <w:spacing w:line="560" w:lineRule="exact"/>
        <w:ind w:firstLine="643"/>
        <w:jc w:val="center"/>
        <w:rPr>
          <w:rStyle w:val="12"/>
          <w:rFonts w:hint="eastAsia" w:ascii="仿宋" w:hAnsi="仿宋" w:eastAsia="仿宋" w:cs="仿宋"/>
          <w:b/>
          <w:bCs/>
          <w:i w:val="0"/>
          <w:iCs w:val="0"/>
          <w:caps w:val="0"/>
          <w:color w:val="434343"/>
          <w:spacing w:val="0"/>
          <w:sz w:val="36"/>
          <w:szCs w:val="36"/>
          <w:shd w:val="clear" w:fill="FFFFFF"/>
        </w:rPr>
      </w:pPr>
      <w:r>
        <w:rPr>
          <w:rStyle w:val="12"/>
          <w:rFonts w:ascii="仿宋" w:hAnsi="仿宋" w:eastAsia="仿宋" w:cs="仿宋"/>
          <w:b/>
          <w:bCs/>
          <w:i w:val="0"/>
          <w:iCs w:val="0"/>
          <w:caps w:val="0"/>
          <w:color w:val="434343"/>
          <w:spacing w:val="0"/>
          <w:sz w:val="36"/>
          <w:szCs w:val="36"/>
          <w:shd w:val="clear" w:fill="FFFFFF"/>
        </w:rPr>
        <w:t>第三部分</w:t>
      </w:r>
      <w:r>
        <w:rPr>
          <w:rStyle w:val="12"/>
          <w:rFonts w:hint="eastAsia" w:ascii="仿宋" w:hAnsi="仿宋" w:eastAsia="仿宋" w:cs="仿宋"/>
          <w:b/>
          <w:bCs/>
          <w:i w:val="0"/>
          <w:iCs w:val="0"/>
          <w:caps w:val="0"/>
          <w:color w:val="434343"/>
          <w:spacing w:val="0"/>
          <w:sz w:val="36"/>
          <w:szCs w:val="36"/>
          <w:shd w:val="clear" w:fill="FFFFFF"/>
          <w:lang w:val="en-US" w:eastAsia="zh-CN"/>
        </w:rPr>
        <w:t xml:space="preserve"> </w:t>
      </w:r>
      <w:r>
        <w:rPr>
          <w:rStyle w:val="12"/>
          <w:rFonts w:hint="eastAsia" w:ascii="仿宋" w:hAnsi="仿宋" w:eastAsia="仿宋" w:cs="仿宋"/>
          <w:b/>
          <w:bCs/>
          <w:i w:val="0"/>
          <w:iCs w:val="0"/>
          <w:caps w:val="0"/>
          <w:color w:val="434343"/>
          <w:spacing w:val="0"/>
          <w:sz w:val="36"/>
          <w:szCs w:val="36"/>
          <w:shd w:val="clear" w:fill="FFFFFF"/>
        </w:rPr>
        <w:t>湖口县</w:t>
      </w:r>
      <w:r>
        <w:rPr>
          <w:rStyle w:val="12"/>
          <w:rFonts w:hint="eastAsia" w:ascii="仿宋" w:hAnsi="仿宋" w:eastAsia="仿宋" w:cs="仿宋"/>
          <w:b/>
          <w:bCs/>
          <w:i w:val="0"/>
          <w:iCs w:val="0"/>
          <w:caps w:val="0"/>
          <w:color w:val="434343"/>
          <w:spacing w:val="0"/>
          <w:sz w:val="36"/>
          <w:szCs w:val="36"/>
          <w:shd w:val="clear" w:fill="FFFFFF"/>
          <w:lang w:val="en-US" w:eastAsia="zh-CN"/>
        </w:rPr>
        <w:t>2025年财政预算执行情况表和</w:t>
      </w:r>
      <w:r>
        <w:rPr>
          <w:rStyle w:val="12"/>
          <w:rFonts w:hint="default" w:ascii="Times New Roman" w:hAnsi="Times New Roman" w:eastAsia="宋体" w:cs="Times New Roman"/>
          <w:b/>
          <w:bCs/>
          <w:i w:val="0"/>
          <w:iCs w:val="0"/>
          <w:caps w:val="0"/>
          <w:color w:val="434343"/>
          <w:spacing w:val="0"/>
          <w:sz w:val="36"/>
          <w:szCs w:val="36"/>
          <w:shd w:val="clear" w:fill="FFFFFF"/>
        </w:rPr>
        <w:t>202</w:t>
      </w:r>
      <w:r>
        <w:rPr>
          <w:rStyle w:val="12"/>
          <w:rFonts w:hint="eastAsia" w:ascii="Times New Roman" w:hAnsi="Times New Roman" w:eastAsia="宋体" w:cs="Times New Roman"/>
          <w:b/>
          <w:bCs/>
          <w:i w:val="0"/>
          <w:iCs w:val="0"/>
          <w:caps w:val="0"/>
          <w:color w:val="434343"/>
          <w:spacing w:val="0"/>
          <w:sz w:val="36"/>
          <w:szCs w:val="36"/>
          <w:shd w:val="clear" w:fill="FFFFFF"/>
          <w:lang w:val="en-US" w:eastAsia="zh-CN"/>
        </w:rPr>
        <w:t>6</w:t>
      </w:r>
      <w:r>
        <w:rPr>
          <w:rStyle w:val="12"/>
          <w:rFonts w:hint="eastAsia" w:ascii="仿宋" w:hAnsi="仿宋" w:eastAsia="仿宋" w:cs="仿宋"/>
          <w:b/>
          <w:bCs/>
          <w:i w:val="0"/>
          <w:iCs w:val="0"/>
          <w:caps w:val="0"/>
          <w:color w:val="434343"/>
          <w:spacing w:val="0"/>
          <w:sz w:val="36"/>
          <w:szCs w:val="36"/>
          <w:shd w:val="clear" w:fill="FFFFFF"/>
        </w:rPr>
        <w:t>年政府预算表</w:t>
      </w:r>
    </w:p>
    <w:p w14:paraId="46DB7567">
      <w:pPr>
        <w:spacing w:line="560" w:lineRule="exact"/>
        <w:ind w:firstLine="3253" w:firstLineChars="900"/>
        <w:rPr>
          <w:rFonts w:hint="eastAsia" w:ascii="仿宋" w:hAnsi="仿宋" w:eastAsia="仿宋"/>
          <w:lang w:eastAsia="zh-CN"/>
        </w:rPr>
      </w:pPr>
      <w:r>
        <w:rPr>
          <w:rStyle w:val="12"/>
          <w:rFonts w:hint="eastAsia" w:ascii="仿宋" w:hAnsi="仿宋" w:eastAsia="仿宋" w:cs="仿宋"/>
          <w:b/>
          <w:bCs/>
          <w:i w:val="0"/>
          <w:iCs w:val="0"/>
          <w:caps w:val="0"/>
          <w:color w:val="434343"/>
          <w:spacing w:val="0"/>
          <w:sz w:val="36"/>
          <w:szCs w:val="36"/>
          <w:shd w:val="clear" w:fill="FFFFFF"/>
        </w:rPr>
        <w:t>（</w:t>
      </w:r>
      <w:r>
        <w:rPr>
          <w:rStyle w:val="12"/>
          <w:rFonts w:hint="eastAsia" w:ascii="仿宋" w:hAnsi="仿宋" w:eastAsia="仿宋" w:cs="仿宋"/>
          <w:b/>
          <w:bCs/>
          <w:i w:val="0"/>
          <w:iCs w:val="0"/>
          <w:caps w:val="0"/>
          <w:color w:val="434343"/>
          <w:spacing w:val="0"/>
          <w:sz w:val="36"/>
          <w:szCs w:val="36"/>
          <w:shd w:val="clear" w:fill="FFFFFF"/>
          <w:lang w:eastAsia="zh-CN"/>
        </w:rPr>
        <w:t>详</w:t>
      </w:r>
      <w:bookmarkStart w:id="0" w:name="_GoBack"/>
      <w:bookmarkEnd w:id="0"/>
      <w:r>
        <w:rPr>
          <w:rStyle w:val="12"/>
          <w:rFonts w:hint="eastAsia" w:ascii="仿宋" w:hAnsi="仿宋" w:eastAsia="仿宋" w:cs="仿宋"/>
          <w:b/>
          <w:bCs/>
          <w:i w:val="0"/>
          <w:iCs w:val="0"/>
          <w:caps w:val="0"/>
          <w:color w:val="434343"/>
          <w:spacing w:val="0"/>
          <w:sz w:val="36"/>
          <w:szCs w:val="36"/>
          <w:shd w:val="clear" w:fill="FFFFFF"/>
          <w:lang w:eastAsia="zh-CN"/>
        </w:rPr>
        <w:t>见</w:t>
      </w:r>
      <w:r>
        <w:rPr>
          <w:rStyle w:val="12"/>
          <w:rFonts w:hint="eastAsia" w:ascii="仿宋" w:hAnsi="仿宋" w:eastAsia="仿宋" w:cs="仿宋"/>
          <w:b/>
          <w:bCs/>
          <w:i w:val="0"/>
          <w:iCs w:val="0"/>
          <w:caps w:val="0"/>
          <w:color w:val="434343"/>
          <w:spacing w:val="0"/>
          <w:sz w:val="36"/>
          <w:szCs w:val="36"/>
          <w:shd w:val="clear" w:fill="FFFFFF"/>
        </w:rPr>
        <w:t>附表） </w:t>
      </w:r>
    </w:p>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418" w:left="1701" w:header="851" w:footer="56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BBF09B1B">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90D3">
    <w:pPr>
      <w:pStyle w:val="5"/>
      <w:ind w:firstLine="360"/>
      <w:jc w:val="center"/>
      <w:rPr>
        <w:rFonts w:cs="Times New Roman"/>
      </w:rPr>
    </w:pPr>
    <w:r>
      <w:fldChar w:fldCharType="begin"/>
    </w:r>
    <w:r>
      <w:instrText xml:space="preserve"> PAGE   \* MERGEFORMAT </w:instrText>
    </w:r>
    <w:r>
      <w:fldChar w:fldCharType="separate"/>
    </w:r>
    <w:r>
      <w:rPr>
        <w:lang w:val="zh-CN"/>
      </w:rPr>
      <w:t>5</w:t>
    </w:r>
    <w:r>
      <w:rPr>
        <w:lang w:val="zh-CN"/>
      </w:rPr>
      <w:fldChar w:fldCharType="end"/>
    </w:r>
  </w:p>
  <w:p w14:paraId="30B4BACF">
    <w:pPr>
      <w:pStyle w:val="5"/>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2E5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43C8">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AC59">
    <w:pPr>
      <w:ind w:left="640" w:firstLine="0" w:firstLineChars="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99A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CB19">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NotTrackMoves/>
  <w:documentProtection w:enforcement="0"/>
  <w:defaultTabStop w:val="420"/>
  <w:doNotHyphenateCaps/>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1NTZjMGIxYzUwYjQ0YzI1MzExZmNkMzIzNTdhNmIifQ=="/>
  </w:docVars>
  <w:rsids>
    <w:rsidRoot w:val="3C656A1E"/>
    <w:rsid w:val="00012B22"/>
    <w:rsid w:val="00013AE5"/>
    <w:rsid w:val="00013DEC"/>
    <w:rsid w:val="00013E79"/>
    <w:rsid w:val="000223DB"/>
    <w:rsid w:val="00024D69"/>
    <w:rsid w:val="000279E4"/>
    <w:rsid w:val="00030905"/>
    <w:rsid w:val="000322C4"/>
    <w:rsid w:val="00032BE3"/>
    <w:rsid w:val="000367AA"/>
    <w:rsid w:val="000368D5"/>
    <w:rsid w:val="00037BF7"/>
    <w:rsid w:val="0004032C"/>
    <w:rsid w:val="00044C7D"/>
    <w:rsid w:val="00045BEB"/>
    <w:rsid w:val="00054839"/>
    <w:rsid w:val="00060B21"/>
    <w:rsid w:val="00060ED1"/>
    <w:rsid w:val="00063B5B"/>
    <w:rsid w:val="000640F6"/>
    <w:rsid w:val="00064B85"/>
    <w:rsid w:val="00080E4E"/>
    <w:rsid w:val="00082AC3"/>
    <w:rsid w:val="000833F6"/>
    <w:rsid w:val="00086F24"/>
    <w:rsid w:val="000932E8"/>
    <w:rsid w:val="0009625B"/>
    <w:rsid w:val="000A018B"/>
    <w:rsid w:val="000A0C4C"/>
    <w:rsid w:val="000A15F2"/>
    <w:rsid w:val="000A1F70"/>
    <w:rsid w:val="000A400D"/>
    <w:rsid w:val="000A4FB8"/>
    <w:rsid w:val="000B2163"/>
    <w:rsid w:val="000B3157"/>
    <w:rsid w:val="000B654C"/>
    <w:rsid w:val="000B7F74"/>
    <w:rsid w:val="000C09FF"/>
    <w:rsid w:val="000C1958"/>
    <w:rsid w:val="000C34FE"/>
    <w:rsid w:val="000D0FD1"/>
    <w:rsid w:val="000D5D1D"/>
    <w:rsid w:val="000D6F26"/>
    <w:rsid w:val="000E046D"/>
    <w:rsid w:val="000E1676"/>
    <w:rsid w:val="000E52C7"/>
    <w:rsid w:val="000F219F"/>
    <w:rsid w:val="000F4116"/>
    <w:rsid w:val="000F4956"/>
    <w:rsid w:val="000F745F"/>
    <w:rsid w:val="00102744"/>
    <w:rsid w:val="00103267"/>
    <w:rsid w:val="0010652B"/>
    <w:rsid w:val="00112229"/>
    <w:rsid w:val="001145A2"/>
    <w:rsid w:val="001152DE"/>
    <w:rsid w:val="0011689A"/>
    <w:rsid w:val="0012455C"/>
    <w:rsid w:val="00126280"/>
    <w:rsid w:val="00132262"/>
    <w:rsid w:val="001345AA"/>
    <w:rsid w:val="001347F7"/>
    <w:rsid w:val="00136738"/>
    <w:rsid w:val="0013796F"/>
    <w:rsid w:val="00144124"/>
    <w:rsid w:val="0014433D"/>
    <w:rsid w:val="001463A2"/>
    <w:rsid w:val="00146A31"/>
    <w:rsid w:val="00151F02"/>
    <w:rsid w:val="001524B2"/>
    <w:rsid w:val="00154BFF"/>
    <w:rsid w:val="00154C6A"/>
    <w:rsid w:val="0016137F"/>
    <w:rsid w:val="00163915"/>
    <w:rsid w:val="00163FC7"/>
    <w:rsid w:val="001655EB"/>
    <w:rsid w:val="00166CF8"/>
    <w:rsid w:val="001726D5"/>
    <w:rsid w:val="00172C56"/>
    <w:rsid w:val="001747E5"/>
    <w:rsid w:val="00175C39"/>
    <w:rsid w:val="001769D6"/>
    <w:rsid w:val="00183F4B"/>
    <w:rsid w:val="001842F2"/>
    <w:rsid w:val="00184CA7"/>
    <w:rsid w:val="00185DF2"/>
    <w:rsid w:val="00190815"/>
    <w:rsid w:val="001919B4"/>
    <w:rsid w:val="00194BC9"/>
    <w:rsid w:val="001959DB"/>
    <w:rsid w:val="00197BC5"/>
    <w:rsid w:val="001A3E26"/>
    <w:rsid w:val="001A3FEF"/>
    <w:rsid w:val="001B6031"/>
    <w:rsid w:val="001C2282"/>
    <w:rsid w:val="001C307D"/>
    <w:rsid w:val="001C3390"/>
    <w:rsid w:val="001C440E"/>
    <w:rsid w:val="001C7279"/>
    <w:rsid w:val="001D3780"/>
    <w:rsid w:val="001E0881"/>
    <w:rsid w:val="001E2252"/>
    <w:rsid w:val="001E6175"/>
    <w:rsid w:val="001F0147"/>
    <w:rsid w:val="001F2F60"/>
    <w:rsid w:val="001F6566"/>
    <w:rsid w:val="001F664A"/>
    <w:rsid w:val="00201E2D"/>
    <w:rsid w:val="00204B6D"/>
    <w:rsid w:val="0021043C"/>
    <w:rsid w:val="002134E7"/>
    <w:rsid w:val="00213EFE"/>
    <w:rsid w:val="0022066B"/>
    <w:rsid w:val="002233CA"/>
    <w:rsid w:val="00224DDC"/>
    <w:rsid w:val="002301D8"/>
    <w:rsid w:val="002332BC"/>
    <w:rsid w:val="00235532"/>
    <w:rsid w:val="00235CA9"/>
    <w:rsid w:val="002448E8"/>
    <w:rsid w:val="00246237"/>
    <w:rsid w:val="002506ED"/>
    <w:rsid w:val="00263B85"/>
    <w:rsid w:val="00270BB4"/>
    <w:rsid w:val="00272CBE"/>
    <w:rsid w:val="002756E1"/>
    <w:rsid w:val="0027635A"/>
    <w:rsid w:val="00281FBC"/>
    <w:rsid w:val="00283FF8"/>
    <w:rsid w:val="00291766"/>
    <w:rsid w:val="00296AB2"/>
    <w:rsid w:val="00297608"/>
    <w:rsid w:val="00297E0F"/>
    <w:rsid w:val="00297E98"/>
    <w:rsid w:val="002A07BB"/>
    <w:rsid w:val="002A3970"/>
    <w:rsid w:val="002A5143"/>
    <w:rsid w:val="002A5DF2"/>
    <w:rsid w:val="002A7941"/>
    <w:rsid w:val="002B44D2"/>
    <w:rsid w:val="002B5EBD"/>
    <w:rsid w:val="002C5C20"/>
    <w:rsid w:val="002C611F"/>
    <w:rsid w:val="002D420D"/>
    <w:rsid w:val="002D452C"/>
    <w:rsid w:val="002D60CB"/>
    <w:rsid w:val="002D6819"/>
    <w:rsid w:val="002E2057"/>
    <w:rsid w:val="002E2A6C"/>
    <w:rsid w:val="002E493C"/>
    <w:rsid w:val="002E6359"/>
    <w:rsid w:val="002F392F"/>
    <w:rsid w:val="00301187"/>
    <w:rsid w:val="00307F42"/>
    <w:rsid w:val="00317AE8"/>
    <w:rsid w:val="00317D28"/>
    <w:rsid w:val="003214B9"/>
    <w:rsid w:val="00323591"/>
    <w:rsid w:val="00330FDF"/>
    <w:rsid w:val="003341E7"/>
    <w:rsid w:val="003353CF"/>
    <w:rsid w:val="00336514"/>
    <w:rsid w:val="00337720"/>
    <w:rsid w:val="00342924"/>
    <w:rsid w:val="00343BE3"/>
    <w:rsid w:val="00343F04"/>
    <w:rsid w:val="00346B20"/>
    <w:rsid w:val="0035134F"/>
    <w:rsid w:val="00352AA5"/>
    <w:rsid w:val="00353D35"/>
    <w:rsid w:val="00356599"/>
    <w:rsid w:val="00361E6A"/>
    <w:rsid w:val="00363A0A"/>
    <w:rsid w:val="0036486E"/>
    <w:rsid w:val="00364AD0"/>
    <w:rsid w:val="00367F83"/>
    <w:rsid w:val="003719F8"/>
    <w:rsid w:val="003821E9"/>
    <w:rsid w:val="00382CBE"/>
    <w:rsid w:val="00382FDC"/>
    <w:rsid w:val="00384F5F"/>
    <w:rsid w:val="00386857"/>
    <w:rsid w:val="00390233"/>
    <w:rsid w:val="003939D0"/>
    <w:rsid w:val="00394D5C"/>
    <w:rsid w:val="00395773"/>
    <w:rsid w:val="00396BEA"/>
    <w:rsid w:val="003A5AC5"/>
    <w:rsid w:val="003B04C7"/>
    <w:rsid w:val="003B14F8"/>
    <w:rsid w:val="003B7414"/>
    <w:rsid w:val="003B7640"/>
    <w:rsid w:val="003C140A"/>
    <w:rsid w:val="003C3067"/>
    <w:rsid w:val="003C323D"/>
    <w:rsid w:val="003C7049"/>
    <w:rsid w:val="003C7456"/>
    <w:rsid w:val="003D05B3"/>
    <w:rsid w:val="003D1311"/>
    <w:rsid w:val="003D6066"/>
    <w:rsid w:val="003E423E"/>
    <w:rsid w:val="003E436C"/>
    <w:rsid w:val="003E60C2"/>
    <w:rsid w:val="003F0AE9"/>
    <w:rsid w:val="003F2411"/>
    <w:rsid w:val="003F2F22"/>
    <w:rsid w:val="003F61EB"/>
    <w:rsid w:val="003F7092"/>
    <w:rsid w:val="003F7DE3"/>
    <w:rsid w:val="00400105"/>
    <w:rsid w:val="00400251"/>
    <w:rsid w:val="004045D4"/>
    <w:rsid w:val="004126B0"/>
    <w:rsid w:val="0041403E"/>
    <w:rsid w:val="0041438C"/>
    <w:rsid w:val="00416A57"/>
    <w:rsid w:val="00416A91"/>
    <w:rsid w:val="00420EFD"/>
    <w:rsid w:val="00421929"/>
    <w:rsid w:val="0042207A"/>
    <w:rsid w:val="00423DE6"/>
    <w:rsid w:val="0042529C"/>
    <w:rsid w:val="004402D3"/>
    <w:rsid w:val="00440553"/>
    <w:rsid w:val="00445C51"/>
    <w:rsid w:val="00445DA8"/>
    <w:rsid w:val="00446371"/>
    <w:rsid w:val="004472AA"/>
    <w:rsid w:val="00453E1A"/>
    <w:rsid w:val="004541ED"/>
    <w:rsid w:val="00456743"/>
    <w:rsid w:val="00457157"/>
    <w:rsid w:val="00465019"/>
    <w:rsid w:val="00465704"/>
    <w:rsid w:val="0046598E"/>
    <w:rsid w:val="004711ED"/>
    <w:rsid w:val="00472A52"/>
    <w:rsid w:val="004770DB"/>
    <w:rsid w:val="00482202"/>
    <w:rsid w:val="00486D95"/>
    <w:rsid w:val="004872B9"/>
    <w:rsid w:val="004937D3"/>
    <w:rsid w:val="00495AB4"/>
    <w:rsid w:val="00496343"/>
    <w:rsid w:val="004A4541"/>
    <w:rsid w:val="004A5A5E"/>
    <w:rsid w:val="004B0687"/>
    <w:rsid w:val="004B0D3A"/>
    <w:rsid w:val="004B25A2"/>
    <w:rsid w:val="004C03D8"/>
    <w:rsid w:val="004C16D1"/>
    <w:rsid w:val="004C3B5E"/>
    <w:rsid w:val="004C556C"/>
    <w:rsid w:val="004C5A35"/>
    <w:rsid w:val="004C5FBB"/>
    <w:rsid w:val="004C5FF1"/>
    <w:rsid w:val="004D02DF"/>
    <w:rsid w:val="004D1E22"/>
    <w:rsid w:val="004D6548"/>
    <w:rsid w:val="004E4C2D"/>
    <w:rsid w:val="004F6FA6"/>
    <w:rsid w:val="005028DB"/>
    <w:rsid w:val="00507AE3"/>
    <w:rsid w:val="00510E3F"/>
    <w:rsid w:val="00515193"/>
    <w:rsid w:val="00524B8C"/>
    <w:rsid w:val="005268E4"/>
    <w:rsid w:val="00533708"/>
    <w:rsid w:val="005352BD"/>
    <w:rsid w:val="00537701"/>
    <w:rsid w:val="005419A5"/>
    <w:rsid w:val="005467FE"/>
    <w:rsid w:val="005512F2"/>
    <w:rsid w:val="005556D2"/>
    <w:rsid w:val="0056058E"/>
    <w:rsid w:val="00562D3C"/>
    <w:rsid w:val="00565164"/>
    <w:rsid w:val="00566133"/>
    <w:rsid w:val="0056627D"/>
    <w:rsid w:val="005673BB"/>
    <w:rsid w:val="00567E78"/>
    <w:rsid w:val="00570F23"/>
    <w:rsid w:val="00575E5C"/>
    <w:rsid w:val="0058097F"/>
    <w:rsid w:val="00583A1B"/>
    <w:rsid w:val="00584814"/>
    <w:rsid w:val="00590A4C"/>
    <w:rsid w:val="0059352F"/>
    <w:rsid w:val="0059472E"/>
    <w:rsid w:val="00594F84"/>
    <w:rsid w:val="005956BB"/>
    <w:rsid w:val="00595707"/>
    <w:rsid w:val="005A018F"/>
    <w:rsid w:val="005A769C"/>
    <w:rsid w:val="005B0D3C"/>
    <w:rsid w:val="005C29CF"/>
    <w:rsid w:val="005C561C"/>
    <w:rsid w:val="005D1657"/>
    <w:rsid w:val="005D2009"/>
    <w:rsid w:val="005D4AD4"/>
    <w:rsid w:val="005D7C15"/>
    <w:rsid w:val="005E1E77"/>
    <w:rsid w:val="005F0ECF"/>
    <w:rsid w:val="005F23E4"/>
    <w:rsid w:val="005F54CF"/>
    <w:rsid w:val="005F6376"/>
    <w:rsid w:val="00600955"/>
    <w:rsid w:val="00601D2B"/>
    <w:rsid w:val="00601F4C"/>
    <w:rsid w:val="00601FCE"/>
    <w:rsid w:val="0060682A"/>
    <w:rsid w:val="00610866"/>
    <w:rsid w:val="00614C66"/>
    <w:rsid w:val="00617403"/>
    <w:rsid w:val="00620282"/>
    <w:rsid w:val="00622F23"/>
    <w:rsid w:val="006238EB"/>
    <w:rsid w:val="00623C79"/>
    <w:rsid w:val="0062573D"/>
    <w:rsid w:val="00626FEF"/>
    <w:rsid w:val="006275AA"/>
    <w:rsid w:val="006304BC"/>
    <w:rsid w:val="006315E6"/>
    <w:rsid w:val="006357A4"/>
    <w:rsid w:val="00636768"/>
    <w:rsid w:val="00636A4E"/>
    <w:rsid w:val="00636AB0"/>
    <w:rsid w:val="00637117"/>
    <w:rsid w:val="00637C00"/>
    <w:rsid w:val="00644E7D"/>
    <w:rsid w:val="00645CF7"/>
    <w:rsid w:val="006464F4"/>
    <w:rsid w:val="00647B72"/>
    <w:rsid w:val="0065223A"/>
    <w:rsid w:val="00662F07"/>
    <w:rsid w:val="006737A1"/>
    <w:rsid w:val="00673F7C"/>
    <w:rsid w:val="00676DB2"/>
    <w:rsid w:val="00680AC4"/>
    <w:rsid w:val="00681128"/>
    <w:rsid w:val="0068345E"/>
    <w:rsid w:val="00683A8B"/>
    <w:rsid w:val="00684465"/>
    <w:rsid w:val="00685350"/>
    <w:rsid w:val="006972EA"/>
    <w:rsid w:val="006A0800"/>
    <w:rsid w:val="006A0C74"/>
    <w:rsid w:val="006A271D"/>
    <w:rsid w:val="006A4D55"/>
    <w:rsid w:val="006C1B30"/>
    <w:rsid w:val="006C4354"/>
    <w:rsid w:val="006C46D7"/>
    <w:rsid w:val="006C5F4F"/>
    <w:rsid w:val="006C606D"/>
    <w:rsid w:val="006D128A"/>
    <w:rsid w:val="006D57B7"/>
    <w:rsid w:val="006E087D"/>
    <w:rsid w:val="006E0CEF"/>
    <w:rsid w:val="006E246D"/>
    <w:rsid w:val="006E4F84"/>
    <w:rsid w:val="006E65AA"/>
    <w:rsid w:val="006F4EE0"/>
    <w:rsid w:val="006F5F4C"/>
    <w:rsid w:val="006F6D46"/>
    <w:rsid w:val="006F6D7F"/>
    <w:rsid w:val="0070087E"/>
    <w:rsid w:val="00706037"/>
    <w:rsid w:val="00712F47"/>
    <w:rsid w:val="007147F0"/>
    <w:rsid w:val="00721FAF"/>
    <w:rsid w:val="0072501E"/>
    <w:rsid w:val="0072543E"/>
    <w:rsid w:val="00726342"/>
    <w:rsid w:val="00727735"/>
    <w:rsid w:val="0073748C"/>
    <w:rsid w:val="00740624"/>
    <w:rsid w:val="00746156"/>
    <w:rsid w:val="0074621D"/>
    <w:rsid w:val="00747BE3"/>
    <w:rsid w:val="0075292E"/>
    <w:rsid w:val="007604AE"/>
    <w:rsid w:val="00760CBE"/>
    <w:rsid w:val="00763469"/>
    <w:rsid w:val="00766884"/>
    <w:rsid w:val="007678DE"/>
    <w:rsid w:val="0077446C"/>
    <w:rsid w:val="0078084C"/>
    <w:rsid w:val="00782A16"/>
    <w:rsid w:val="007833F8"/>
    <w:rsid w:val="00784466"/>
    <w:rsid w:val="00785796"/>
    <w:rsid w:val="00786B72"/>
    <w:rsid w:val="0078734B"/>
    <w:rsid w:val="00792961"/>
    <w:rsid w:val="007A2E6F"/>
    <w:rsid w:val="007A4A31"/>
    <w:rsid w:val="007A5A3C"/>
    <w:rsid w:val="007B064F"/>
    <w:rsid w:val="007B0867"/>
    <w:rsid w:val="007B1738"/>
    <w:rsid w:val="007B75B5"/>
    <w:rsid w:val="007C4780"/>
    <w:rsid w:val="007C4C75"/>
    <w:rsid w:val="007C5B07"/>
    <w:rsid w:val="007C633F"/>
    <w:rsid w:val="007C6D79"/>
    <w:rsid w:val="007D0CA7"/>
    <w:rsid w:val="007D2FE5"/>
    <w:rsid w:val="007D7825"/>
    <w:rsid w:val="007E4636"/>
    <w:rsid w:val="007E4BF9"/>
    <w:rsid w:val="007E60F6"/>
    <w:rsid w:val="007E7563"/>
    <w:rsid w:val="007E7C81"/>
    <w:rsid w:val="007E7C94"/>
    <w:rsid w:val="007F30B6"/>
    <w:rsid w:val="007F3284"/>
    <w:rsid w:val="007F4BCA"/>
    <w:rsid w:val="00811A4B"/>
    <w:rsid w:val="00814554"/>
    <w:rsid w:val="00817C8E"/>
    <w:rsid w:val="00832A8C"/>
    <w:rsid w:val="00835A33"/>
    <w:rsid w:val="00835C62"/>
    <w:rsid w:val="00837058"/>
    <w:rsid w:val="00837EC6"/>
    <w:rsid w:val="008411C2"/>
    <w:rsid w:val="00844994"/>
    <w:rsid w:val="00845378"/>
    <w:rsid w:val="008460ED"/>
    <w:rsid w:val="00846193"/>
    <w:rsid w:val="0084644D"/>
    <w:rsid w:val="008479EE"/>
    <w:rsid w:val="008504F4"/>
    <w:rsid w:val="00856A14"/>
    <w:rsid w:val="00856E3D"/>
    <w:rsid w:val="0085722B"/>
    <w:rsid w:val="008608A4"/>
    <w:rsid w:val="00862259"/>
    <w:rsid w:val="00862B4B"/>
    <w:rsid w:val="00862DA8"/>
    <w:rsid w:val="00866E54"/>
    <w:rsid w:val="00867E31"/>
    <w:rsid w:val="0087468E"/>
    <w:rsid w:val="008820EB"/>
    <w:rsid w:val="00882BAA"/>
    <w:rsid w:val="008833F3"/>
    <w:rsid w:val="00884537"/>
    <w:rsid w:val="0088472A"/>
    <w:rsid w:val="008972D6"/>
    <w:rsid w:val="008A0286"/>
    <w:rsid w:val="008A07B5"/>
    <w:rsid w:val="008A6CDE"/>
    <w:rsid w:val="008A7FEF"/>
    <w:rsid w:val="008B44A0"/>
    <w:rsid w:val="008B4C4F"/>
    <w:rsid w:val="008B5588"/>
    <w:rsid w:val="008C0863"/>
    <w:rsid w:val="008D0E6B"/>
    <w:rsid w:val="008D50A3"/>
    <w:rsid w:val="008D6396"/>
    <w:rsid w:val="008E0738"/>
    <w:rsid w:val="008E0A3E"/>
    <w:rsid w:val="008E49D0"/>
    <w:rsid w:val="008F030F"/>
    <w:rsid w:val="008F1506"/>
    <w:rsid w:val="008F28AB"/>
    <w:rsid w:val="008F5344"/>
    <w:rsid w:val="00900777"/>
    <w:rsid w:val="00900C89"/>
    <w:rsid w:val="009149E3"/>
    <w:rsid w:val="0092139B"/>
    <w:rsid w:val="00924EB7"/>
    <w:rsid w:val="00925854"/>
    <w:rsid w:val="00925D63"/>
    <w:rsid w:val="00930AE5"/>
    <w:rsid w:val="00930C92"/>
    <w:rsid w:val="009323A1"/>
    <w:rsid w:val="00933379"/>
    <w:rsid w:val="009333AE"/>
    <w:rsid w:val="009337C5"/>
    <w:rsid w:val="00933E0D"/>
    <w:rsid w:val="009340BC"/>
    <w:rsid w:val="0093465E"/>
    <w:rsid w:val="00936712"/>
    <w:rsid w:val="00937ADA"/>
    <w:rsid w:val="0094011B"/>
    <w:rsid w:val="00940D1B"/>
    <w:rsid w:val="0094150E"/>
    <w:rsid w:val="0094647C"/>
    <w:rsid w:val="00951790"/>
    <w:rsid w:val="00952A1A"/>
    <w:rsid w:val="00952B32"/>
    <w:rsid w:val="009539BA"/>
    <w:rsid w:val="00963AD9"/>
    <w:rsid w:val="00965E72"/>
    <w:rsid w:val="009716A2"/>
    <w:rsid w:val="00975AE7"/>
    <w:rsid w:val="00980D31"/>
    <w:rsid w:val="00981A4A"/>
    <w:rsid w:val="0098305C"/>
    <w:rsid w:val="009865A8"/>
    <w:rsid w:val="009866D7"/>
    <w:rsid w:val="009905C9"/>
    <w:rsid w:val="009912CF"/>
    <w:rsid w:val="00997021"/>
    <w:rsid w:val="009A219E"/>
    <w:rsid w:val="009A6800"/>
    <w:rsid w:val="009B199F"/>
    <w:rsid w:val="009B753C"/>
    <w:rsid w:val="009C04DE"/>
    <w:rsid w:val="009C0703"/>
    <w:rsid w:val="009C0964"/>
    <w:rsid w:val="009C28E9"/>
    <w:rsid w:val="009C57E7"/>
    <w:rsid w:val="009D00A8"/>
    <w:rsid w:val="009D0E95"/>
    <w:rsid w:val="009D17B2"/>
    <w:rsid w:val="009D212C"/>
    <w:rsid w:val="009D24E4"/>
    <w:rsid w:val="009D381E"/>
    <w:rsid w:val="009E1BC5"/>
    <w:rsid w:val="009E25CA"/>
    <w:rsid w:val="009E6E4E"/>
    <w:rsid w:val="009F069C"/>
    <w:rsid w:val="009F0F0E"/>
    <w:rsid w:val="009F1A25"/>
    <w:rsid w:val="009F4C7F"/>
    <w:rsid w:val="00A041DD"/>
    <w:rsid w:val="00A0462E"/>
    <w:rsid w:val="00A051E0"/>
    <w:rsid w:val="00A11434"/>
    <w:rsid w:val="00A13A38"/>
    <w:rsid w:val="00A22E22"/>
    <w:rsid w:val="00A2510F"/>
    <w:rsid w:val="00A27BBB"/>
    <w:rsid w:val="00A31D09"/>
    <w:rsid w:val="00A41C1C"/>
    <w:rsid w:val="00A47CD4"/>
    <w:rsid w:val="00A52EEE"/>
    <w:rsid w:val="00A57258"/>
    <w:rsid w:val="00A57521"/>
    <w:rsid w:val="00A60793"/>
    <w:rsid w:val="00A63580"/>
    <w:rsid w:val="00A6680F"/>
    <w:rsid w:val="00A72139"/>
    <w:rsid w:val="00A73557"/>
    <w:rsid w:val="00A764F6"/>
    <w:rsid w:val="00A772DE"/>
    <w:rsid w:val="00A9124C"/>
    <w:rsid w:val="00A9294E"/>
    <w:rsid w:val="00A92CF5"/>
    <w:rsid w:val="00A93637"/>
    <w:rsid w:val="00A94546"/>
    <w:rsid w:val="00AA1BF0"/>
    <w:rsid w:val="00AA2CDC"/>
    <w:rsid w:val="00AA4850"/>
    <w:rsid w:val="00AA5680"/>
    <w:rsid w:val="00AA77D1"/>
    <w:rsid w:val="00AB2868"/>
    <w:rsid w:val="00AB4BB7"/>
    <w:rsid w:val="00AB7998"/>
    <w:rsid w:val="00AC0379"/>
    <w:rsid w:val="00AD00CD"/>
    <w:rsid w:val="00AD7315"/>
    <w:rsid w:val="00AE0196"/>
    <w:rsid w:val="00AE210A"/>
    <w:rsid w:val="00AE4EF3"/>
    <w:rsid w:val="00AE6DF3"/>
    <w:rsid w:val="00AE763C"/>
    <w:rsid w:val="00AF21FF"/>
    <w:rsid w:val="00AF5836"/>
    <w:rsid w:val="00B01DD6"/>
    <w:rsid w:val="00B04800"/>
    <w:rsid w:val="00B07D12"/>
    <w:rsid w:val="00B11728"/>
    <w:rsid w:val="00B11DA2"/>
    <w:rsid w:val="00B134A7"/>
    <w:rsid w:val="00B13951"/>
    <w:rsid w:val="00B13EBE"/>
    <w:rsid w:val="00B140B8"/>
    <w:rsid w:val="00B224BF"/>
    <w:rsid w:val="00B251B9"/>
    <w:rsid w:val="00B2629A"/>
    <w:rsid w:val="00B26DE5"/>
    <w:rsid w:val="00B3135F"/>
    <w:rsid w:val="00B31F40"/>
    <w:rsid w:val="00B32205"/>
    <w:rsid w:val="00B368C2"/>
    <w:rsid w:val="00B4316E"/>
    <w:rsid w:val="00B43400"/>
    <w:rsid w:val="00B44695"/>
    <w:rsid w:val="00B44F0F"/>
    <w:rsid w:val="00B45747"/>
    <w:rsid w:val="00B47159"/>
    <w:rsid w:val="00B4720F"/>
    <w:rsid w:val="00B52BAC"/>
    <w:rsid w:val="00B54F24"/>
    <w:rsid w:val="00B5504A"/>
    <w:rsid w:val="00B5608E"/>
    <w:rsid w:val="00B61649"/>
    <w:rsid w:val="00B61D81"/>
    <w:rsid w:val="00B625CC"/>
    <w:rsid w:val="00B62D4B"/>
    <w:rsid w:val="00B65F41"/>
    <w:rsid w:val="00B66AFE"/>
    <w:rsid w:val="00B66D05"/>
    <w:rsid w:val="00B7235B"/>
    <w:rsid w:val="00B75B87"/>
    <w:rsid w:val="00B76FA1"/>
    <w:rsid w:val="00B85353"/>
    <w:rsid w:val="00B85DD4"/>
    <w:rsid w:val="00B9099B"/>
    <w:rsid w:val="00B91114"/>
    <w:rsid w:val="00B94D0E"/>
    <w:rsid w:val="00B957EE"/>
    <w:rsid w:val="00B977CE"/>
    <w:rsid w:val="00BA0274"/>
    <w:rsid w:val="00BA2602"/>
    <w:rsid w:val="00BA3579"/>
    <w:rsid w:val="00BA3D56"/>
    <w:rsid w:val="00BA3FAD"/>
    <w:rsid w:val="00BA5C09"/>
    <w:rsid w:val="00BA67C6"/>
    <w:rsid w:val="00BB0E2E"/>
    <w:rsid w:val="00BB2785"/>
    <w:rsid w:val="00BB43BE"/>
    <w:rsid w:val="00BC1524"/>
    <w:rsid w:val="00BC1A76"/>
    <w:rsid w:val="00BC29EB"/>
    <w:rsid w:val="00BC6A7D"/>
    <w:rsid w:val="00BC7490"/>
    <w:rsid w:val="00BD30C7"/>
    <w:rsid w:val="00BD58A1"/>
    <w:rsid w:val="00BE1265"/>
    <w:rsid w:val="00BE1952"/>
    <w:rsid w:val="00BE2163"/>
    <w:rsid w:val="00BE35AF"/>
    <w:rsid w:val="00BE3B1F"/>
    <w:rsid w:val="00BE5438"/>
    <w:rsid w:val="00BE5C1D"/>
    <w:rsid w:val="00BE6528"/>
    <w:rsid w:val="00BF3521"/>
    <w:rsid w:val="00BF4733"/>
    <w:rsid w:val="00BF498D"/>
    <w:rsid w:val="00BF6DDB"/>
    <w:rsid w:val="00C03FAF"/>
    <w:rsid w:val="00C211AC"/>
    <w:rsid w:val="00C2272D"/>
    <w:rsid w:val="00C24B3F"/>
    <w:rsid w:val="00C257B1"/>
    <w:rsid w:val="00C32CD0"/>
    <w:rsid w:val="00C330B0"/>
    <w:rsid w:val="00C33475"/>
    <w:rsid w:val="00C362FE"/>
    <w:rsid w:val="00C40BBA"/>
    <w:rsid w:val="00C44ECB"/>
    <w:rsid w:val="00C45605"/>
    <w:rsid w:val="00C51CFA"/>
    <w:rsid w:val="00C623E9"/>
    <w:rsid w:val="00C64A80"/>
    <w:rsid w:val="00C7769F"/>
    <w:rsid w:val="00C813C8"/>
    <w:rsid w:val="00C81FDB"/>
    <w:rsid w:val="00C82D60"/>
    <w:rsid w:val="00C9335D"/>
    <w:rsid w:val="00C958EE"/>
    <w:rsid w:val="00C9605E"/>
    <w:rsid w:val="00C97BC4"/>
    <w:rsid w:val="00CA4E52"/>
    <w:rsid w:val="00CB4BA2"/>
    <w:rsid w:val="00CB5363"/>
    <w:rsid w:val="00CC2EBA"/>
    <w:rsid w:val="00CC4AFD"/>
    <w:rsid w:val="00CD3FF0"/>
    <w:rsid w:val="00CE0CD6"/>
    <w:rsid w:val="00CE1184"/>
    <w:rsid w:val="00CE189D"/>
    <w:rsid w:val="00CE4783"/>
    <w:rsid w:val="00CE6704"/>
    <w:rsid w:val="00CF1015"/>
    <w:rsid w:val="00CF33C0"/>
    <w:rsid w:val="00D04B1D"/>
    <w:rsid w:val="00D06A6D"/>
    <w:rsid w:val="00D07212"/>
    <w:rsid w:val="00D10239"/>
    <w:rsid w:val="00D10FB0"/>
    <w:rsid w:val="00D11432"/>
    <w:rsid w:val="00D13CEF"/>
    <w:rsid w:val="00D14000"/>
    <w:rsid w:val="00D23AB2"/>
    <w:rsid w:val="00D23D53"/>
    <w:rsid w:val="00D25A5A"/>
    <w:rsid w:val="00D308F1"/>
    <w:rsid w:val="00D3118F"/>
    <w:rsid w:val="00D32FF0"/>
    <w:rsid w:val="00D33A71"/>
    <w:rsid w:val="00D34B88"/>
    <w:rsid w:val="00D40695"/>
    <w:rsid w:val="00D42A14"/>
    <w:rsid w:val="00D46E57"/>
    <w:rsid w:val="00D4787A"/>
    <w:rsid w:val="00D52487"/>
    <w:rsid w:val="00D57A52"/>
    <w:rsid w:val="00D62039"/>
    <w:rsid w:val="00D624D4"/>
    <w:rsid w:val="00D64D36"/>
    <w:rsid w:val="00D66F2C"/>
    <w:rsid w:val="00D67D44"/>
    <w:rsid w:val="00D70C59"/>
    <w:rsid w:val="00D718EF"/>
    <w:rsid w:val="00D8220A"/>
    <w:rsid w:val="00D82861"/>
    <w:rsid w:val="00D85C3D"/>
    <w:rsid w:val="00D93494"/>
    <w:rsid w:val="00D934E2"/>
    <w:rsid w:val="00D93EE5"/>
    <w:rsid w:val="00D944F9"/>
    <w:rsid w:val="00D970C6"/>
    <w:rsid w:val="00D97B7E"/>
    <w:rsid w:val="00DA1ED3"/>
    <w:rsid w:val="00DA20E7"/>
    <w:rsid w:val="00DA4F23"/>
    <w:rsid w:val="00DA5E07"/>
    <w:rsid w:val="00DA7D2C"/>
    <w:rsid w:val="00DA7F44"/>
    <w:rsid w:val="00DB0575"/>
    <w:rsid w:val="00DB0839"/>
    <w:rsid w:val="00DB559A"/>
    <w:rsid w:val="00DB6953"/>
    <w:rsid w:val="00DC1E99"/>
    <w:rsid w:val="00DC2413"/>
    <w:rsid w:val="00DC473A"/>
    <w:rsid w:val="00DC71EC"/>
    <w:rsid w:val="00DD0A9B"/>
    <w:rsid w:val="00DD218E"/>
    <w:rsid w:val="00DD5E66"/>
    <w:rsid w:val="00DE120E"/>
    <w:rsid w:val="00DF0A7B"/>
    <w:rsid w:val="00DF2E6E"/>
    <w:rsid w:val="00DF4094"/>
    <w:rsid w:val="00DF762B"/>
    <w:rsid w:val="00E03F20"/>
    <w:rsid w:val="00E05E27"/>
    <w:rsid w:val="00E07F11"/>
    <w:rsid w:val="00E11990"/>
    <w:rsid w:val="00E12E28"/>
    <w:rsid w:val="00E16E13"/>
    <w:rsid w:val="00E172A1"/>
    <w:rsid w:val="00E22FC8"/>
    <w:rsid w:val="00E26444"/>
    <w:rsid w:val="00E271F7"/>
    <w:rsid w:val="00E32C98"/>
    <w:rsid w:val="00E33D4C"/>
    <w:rsid w:val="00E34793"/>
    <w:rsid w:val="00E47F9C"/>
    <w:rsid w:val="00E54810"/>
    <w:rsid w:val="00E6159F"/>
    <w:rsid w:val="00E65A1D"/>
    <w:rsid w:val="00E66338"/>
    <w:rsid w:val="00E66896"/>
    <w:rsid w:val="00E66A36"/>
    <w:rsid w:val="00E6742D"/>
    <w:rsid w:val="00E707C4"/>
    <w:rsid w:val="00E800D7"/>
    <w:rsid w:val="00E80215"/>
    <w:rsid w:val="00E80607"/>
    <w:rsid w:val="00E8364D"/>
    <w:rsid w:val="00E841E2"/>
    <w:rsid w:val="00E85D9B"/>
    <w:rsid w:val="00E866C9"/>
    <w:rsid w:val="00E9454F"/>
    <w:rsid w:val="00E950D3"/>
    <w:rsid w:val="00E96493"/>
    <w:rsid w:val="00E97EB5"/>
    <w:rsid w:val="00EA2D0E"/>
    <w:rsid w:val="00EA4595"/>
    <w:rsid w:val="00EA5E5B"/>
    <w:rsid w:val="00EA67F1"/>
    <w:rsid w:val="00EA6D98"/>
    <w:rsid w:val="00EA710C"/>
    <w:rsid w:val="00EB381A"/>
    <w:rsid w:val="00EB762B"/>
    <w:rsid w:val="00EC0DF5"/>
    <w:rsid w:val="00EC208D"/>
    <w:rsid w:val="00EC2376"/>
    <w:rsid w:val="00EC4710"/>
    <w:rsid w:val="00ED6981"/>
    <w:rsid w:val="00ED6F13"/>
    <w:rsid w:val="00ED7BDC"/>
    <w:rsid w:val="00EE2CB9"/>
    <w:rsid w:val="00EE32A9"/>
    <w:rsid w:val="00EE5DD3"/>
    <w:rsid w:val="00EF3104"/>
    <w:rsid w:val="00EF491F"/>
    <w:rsid w:val="00F02191"/>
    <w:rsid w:val="00F13535"/>
    <w:rsid w:val="00F159DA"/>
    <w:rsid w:val="00F15B96"/>
    <w:rsid w:val="00F15CA9"/>
    <w:rsid w:val="00F237D5"/>
    <w:rsid w:val="00F26F3A"/>
    <w:rsid w:val="00F35394"/>
    <w:rsid w:val="00F360B4"/>
    <w:rsid w:val="00F37EED"/>
    <w:rsid w:val="00F41B5A"/>
    <w:rsid w:val="00F4254F"/>
    <w:rsid w:val="00F42B60"/>
    <w:rsid w:val="00F524E8"/>
    <w:rsid w:val="00F53D45"/>
    <w:rsid w:val="00F53EBA"/>
    <w:rsid w:val="00F56E0B"/>
    <w:rsid w:val="00F572EF"/>
    <w:rsid w:val="00F60638"/>
    <w:rsid w:val="00F60647"/>
    <w:rsid w:val="00F60924"/>
    <w:rsid w:val="00F66DAD"/>
    <w:rsid w:val="00F71010"/>
    <w:rsid w:val="00F7148A"/>
    <w:rsid w:val="00F725BA"/>
    <w:rsid w:val="00F75713"/>
    <w:rsid w:val="00F75DDF"/>
    <w:rsid w:val="00F77FA4"/>
    <w:rsid w:val="00F807DA"/>
    <w:rsid w:val="00F8331C"/>
    <w:rsid w:val="00F8574A"/>
    <w:rsid w:val="00F92BB0"/>
    <w:rsid w:val="00F92DB2"/>
    <w:rsid w:val="00F96AD1"/>
    <w:rsid w:val="00F97724"/>
    <w:rsid w:val="00FA3A7B"/>
    <w:rsid w:val="00FA3E8E"/>
    <w:rsid w:val="00FA4B14"/>
    <w:rsid w:val="00FA75D5"/>
    <w:rsid w:val="00FB637D"/>
    <w:rsid w:val="00FC1CDF"/>
    <w:rsid w:val="00FC3B60"/>
    <w:rsid w:val="00FC4248"/>
    <w:rsid w:val="00FC7426"/>
    <w:rsid w:val="00FC7A7B"/>
    <w:rsid w:val="00FD46D9"/>
    <w:rsid w:val="00FE0189"/>
    <w:rsid w:val="00FF1FF9"/>
    <w:rsid w:val="00FF351A"/>
    <w:rsid w:val="00FF6D08"/>
    <w:rsid w:val="00FF7589"/>
    <w:rsid w:val="00FF7B20"/>
    <w:rsid w:val="0374238F"/>
    <w:rsid w:val="038325D2"/>
    <w:rsid w:val="050B6D23"/>
    <w:rsid w:val="06021CF7"/>
    <w:rsid w:val="066647AF"/>
    <w:rsid w:val="073F362D"/>
    <w:rsid w:val="09AD03A9"/>
    <w:rsid w:val="0A782893"/>
    <w:rsid w:val="0C946B4A"/>
    <w:rsid w:val="0CEB6C0B"/>
    <w:rsid w:val="0F8C7D63"/>
    <w:rsid w:val="11050D56"/>
    <w:rsid w:val="13263FC3"/>
    <w:rsid w:val="154440DC"/>
    <w:rsid w:val="18BA663E"/>
    <w:rsid w:val="18E51E11"/>
    <w:rsid w:val="1B143739"/>
    <w:rsid w:val="20AD4C4C"/>
    <w:rsid w:val="212F4EB3"/>
    <w:rsid w:val="21CC2007"/>
    <w:rsid w:val="231345C9"/>
    <w:rsid w:val="24947236"/>
    <w:rsid w:val="25E762B0"/>
    <w:rsid w:val="269E3A2E"/>
    <w:rsid w:val="271632FA"/>
    <w:rsid w:val="278F3166"/>
    <w:rsid w:val="286C4E29"/>
    <w:rsid w:val="28E72C2A"/>
    <w:rsid w:val="28EE26CA"/>
    <w:rsid w:val="2AD55A1A"/>
    <w:rsid w:val="2C7F3E29"/>
    <w:rsid w:val="2CF109F9"/>
    <w:rsid w:val="30B8125D"/>
    <w:rsid w:val="324E0ADC"/>
    <w:rsid w:val="326A748D"/>
    <w:rsid w:val="32981347"/>
    <w:rsid w:val="33A53035"/>
    <w:rsid w:val="342E5CCA"/>
    <w:rsid w:val="349F4C0E"/>
    <w:rsid w:val="351A539D"/>
    <w:rsid w:val="354A3A6D"/>
    <w:rsid w:val="36DA0180"/>
    <w:rsid w:val="37332FDB"/>
    <w:rsid w:val="3C656A1E"/>
    <w:rsid w:val="3CB308EA"/>
    <w:rsid w:val="3D3F369F"/>
    <w:rsid w:val="3D830794"/>
    <w:rsid w:val="3E7D0106"/>
    <w:rsid w:val="3ED74DF3"/>
    <w:rsid w:val="40DC5099"/>
    <w:rsid w:val="42724A79"/>
    <w:rsid w:val="42C74670"/>
    <w:rsid w:val="44133505"/>
    <w:rsid w:val="449B7291"/>
    <w:rsid w:val="45DA2250"/>
    <w:rsid w:val="4A0163E0"/>
    <w:rsid w:val="4BBB31F3"/>
    <w:rsid w:val="4D177792"/>
    <w:rsid w:val="4DDF6F48"/>
    <w:rsid w:val="4EB259BC"/>
    <w:rsid w:val="54725C11"/>
    <w:rsid w:val="585B2017"/>
    <w:rsid w:val="58871675"/>
    <w:rsid w:val="5E607025"/>
    <w:rsid w:val="619565A7"/>
    <w:rsid w:val="62185922"/>
    <w:rsid w:val="639C29D6"/>
    <w:rsid w:val="64220EAE"/>
    <w:rsid w:val="64557053"/>
    <w:rsid w:val="65111468"/>
    <w:rsid w:val="653D7A86"/>
    <w:rsid w:val="65936139"/>
    <w:rsid w:val="65A946CC"/>
    <w:rsid w:val="679E1CB5"/>
    <w:rsid w:val="67A21D44"/>
    <w:rsid w:val="6B4725E4"/>
    <w:rsid w:val="6C2947E2"/>
    <w:rsid w:val="6D93510E"/>
    <w:rsid w:val="6FBE305F"/>
    <w:rsid w:val="70DA7783"/>
    <w:rsid w:val="71215088"/>
    <w:rsid w:val="7259683D"/>
    <w:rsid w:val="72803D2C"/>
    <w:rsid w:val="7329156C"/>
    <w:rsid w:val="739B0A31"/>
    <w:rsid w:val="7AAF5749"/>
    <w:rsid w:val="7B3D3B4B"/>
    <w:rsid w:val="7FED48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36" w:lineRule="exact"/>
      <w:ind w:firstLine="720" w:firstLineChars="200"/>
      <w:jc w:val="both"/>
    </w:pPr>
    <w:rPr>
      <w:rFonts w:ascii="Calibri" w:hAnsi="Calibri" w:eastAsia="仿宋_GB2312" w:cs="Calibri"/>
      <w:kern w:val="2"/>
      <w:sz w:val="32"/>
      <w:szCs w:val="32"/>
      <w:lang w:val="en-US" w:eastAsia="zh-CN" w:bidi="ar-SA"/>
    </w:rPr>
  </w:style>
  <w:style w:type="paragraph" w:styleId="2">
    <w:name w:val="heading 1"/>
    <w:basedOn w:val="1"/>
    <w:next w:val="1"/>
    <w:link w:val="13"/>
    <w:qFormat/>
    <w:locked/>
    <w:uiPriority w:val="99"/>
    <w:pPr>
      <w:keepNext/>
      <w:keepLines/>
      <w:spacing w:before="340" w:after="330" w:line="578" w:lineRule="atLeast"/>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semiHidden/>
    <w:qFormat/>
    <w:uiPriority w:val="99"/>
    <w:pPr>
      <w:spacing w:after="120"/>
      <w:ind w:left="420" w:leftChars="200"/>
    </w:pPr>
  </w:style>
  <w:style w:type="paragraph" w:styleId="4">
    <w:name w:val="Balloon Text"/>
    <w:basedOn w:val="1"/>
    <w:link w:val="20"/>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1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Courier New" w:hAnsi="Courier New" w:cs="Courier New"/>
      <w:kern w:val="0"/>
      <w:sz w:val="20"/>
      <w:szCs w:val="20"/>
    </w:rPr>
  </w:style>
  <w:style w:type="paragraph" w:styleId="8">
    <w:name w:val="Normal (Web)"/>
    <w:basedOn w:val="1"/>
    <w:qFormat/>
    <w:uiPriority w:val="99"/>
    <w:pPr>
      <w:spacing w:beforeAutospacing="1" w:afterAutospacing="1" w:line="240" w:lineRule="auto"/>
      <w:ind w:firstLine="0" w:firstLineChars="0"/>
      <w:jc w:val="left"/>
    </w:pPr>
    <w:rPr>
      <w:rFonts w:eastAsia="宋体"/>
      <w:kern w:val="0"/>
      <w:sz w:val="24"/>
      <w:szCs w:val="24"/>
    </w:rPr>
  </w:style>
  <w:style w:type="paragraph" w:styleId="9">
    <w:name w:val="Body Text First Indent 2"/>
    <w:basedOn w:val="3"/>
    <w:link w:val="18"/>
    <w:qFormat/>
    <w:uiPriority w:val="99"/>
    <w:pPr>
      <w:spacing w:after="0" w:line="240" w:lineRule="auto"/>
      <w:ind w:left="0" w:leftChars="0" w:firstLine="420"/>
    </w:pPr>
    <w:rPr>
      <w:rFonts w:eastAsia="宋体"/>
      <w:kern w:val="0"/>
      <w:sz w:val="21"/>
      <w:szCs w:val="21"/>
    </w:rPr>
  </w:style>
  <w:style w:type="character" w:styleId="12">
    <w:name w:val="Strong"/>
    <w:basedOn w:val="11"/>
    <w:qFormat/>
    <w:locked/>
    <w:uiPriority w:val="0"/>
    <w:rPr>
      <w:b/>
    </w:rPr>
  </w:style>
  <w:style w:type="character" w:customStyle="1" w:styleId="13">
    <w:name w:val="标题 1 字符"/>
    <w:link w:val="2"/>
    <w:qFormat/>
    <w:locked/>
    <w:uiPriority w:val="99"/>
    <w:rPr>
      <w:rFonts w:eastAsia="仿宋_GB2312"/>
      <w:b/>
      <w:bCs/>
      <w:kern w:val="44"/>
      <w:sz w:val="44"/>
      <w:szCs w:val="44"/>
    </w:rPr>
  </w:style>
  <w:style w:type="character" w:customStyle="1" w:styleId="14">
    <w:name w:val="正文文本缩进 字符"/>
    <w:link w:val="3"/>
    <w:semiHidden/>
    <w:qFormat/>
    <w:locked/>
    <w:uiPriority w:val="99"/>
    <w:rPr>
      <w:rFonts w:eastAsia="仿宋_GB2312"/>
      <w:kern w:val="2"/>
      <w:sz w:val="32"/>
      <w:szCs w:val="32"/>
    </w:rPr>
  </w:style>
  <w:style w:type="character" w:customStyle="1" w:styleId="15">
    <w:name w:val="页脚 字符"/>
    <w:link w:val="5"/>
    <w:qFormat/>
    <w:locked/>
    <w:uiPriority w:val="99"/>
    <w:rPr>
      <w:rFonts w:eastAsia="仿宋_GB2312"/>
      <w:sz w:val="18"/>
      <w:szCs w:val="18"/>
    </w:rPr>
  </w:style>
  <w:style w:type="character" w:customStyle="1" w:styleId="16">
    <w:name w:val="页眉 字符"/>
    <w:link w:val="6"/>
    <w:qFormat/>
    <w:locked/>
    <w:uiPriority w:val="99"/>
    <w:rPr>
      <w:rFonts w:eastAsia="仿宋_GB2312"/>
      <w:sz w:val="18"/>
      <w:szCs w:val="18"/>
    </w:rPr>
  </w:style>
  <w:style w:type="character" w:customStyle="1" w:styleId="17">
    <w:name w:val="HTML 预设格式 字符"/>
    <w:link w:val="7"/>
    <w:semiHidden/>
    <w:qFormat/>
    <w:locked/>
    <w:uiPriority w:val="99"/>
    <w:rPr>
      <w:rFonts w:ascii="Courier New" w:hAnsi="Courier New" w:eastAsia="仿宋_GB2312" w:cs="Courier New"/>
      <w:sz w:val="20"/>
      <w:szCs w:val="20"/>
    </w:rPr>
  </w:style>
  <w:style w:type="character" w:customStyle="1" w:styleId="18">
    <w:name w:val="正文文本首行缩进 2 字符"/>
    <w:link w:val="9"/>
    <w:qFormat/>
    <w:locked/>
    <w:uiPriority w:val="99"/>
    <w:rPr>
      <w:rFonts w:eastAsia="仿宋_GB2312"/>
      <w:kern w:val="2"/>
      <w:sz w:val="21"/>
      <w:szCs w:val="21"/>
    </w:rPr>
  </w:style>
  <w:style w:type="character" w:customStyle="1" w:styleId="19">
    <w:name w:val="正文文本首行缩进 2 字符1"/>
    <w:semiHidden/>
    <w:qFormat/>
    <w:uiPriority w:val="99"/>
    <w:rPr>
      <w:rFonts w:eastAsia="仿宋_GB2312"/>
      <w:kern w:val="2"/>
      <w:sz w:val="32"/>
      <w:szCs w:val="32"/>
    </w:rPr>
  </w:style>
  <w:style w:type="character" w:customStyle="1" w:styleId="20">
    <w:name w:val="批注框文本 字符"/>
    <w:link w:val="4"/>
    <w:semiHidden/>
    <w:qFormat/>
    <w:uiPriority w:val="99"/>
    <w:rPr>
      <w:rFonts w:eastAsia="仿宋_GB2312" w:cs="Calibri"/>
      <w:sz w:val="0"/>
      <w:szCs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61"/>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89B40-3CE4-4C5A-9636-B32E4166EF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5320</Words>
  <Characters>6262</Characters>
  <Lines>66</Lines>
  <Paragraphs>18</Paragraphs>
  <TotalTime>77</TotalTime>
  <ScaleCrop>false</ScaleCrop>
  <LinksUpToDate>false</LinksUpToDate>
  <CharactersWithSpaces>6279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2024-01-07T12:21:00Z</dcterms:created>
  <dc:creator>lenovo-11</dc:creator>
  <cp:lastModifiedBy>biangbiang-</cp:lastModifiedBy>
  <cp:lastPrinted>2024-01-16T05:53:00Z</cp:lastPrinted>
  <dcterms:modified xsi:type="dcterms:W3CDTF">2026-04-27T08:37:02Z</dcterms:modified>
  <cp:revision>758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B4AFBB40C738401D92739B930DDF7777_12</vt:lpwstr>
  </property>
  <property fmtid="{D5CDD505-2E9C-101B-9397-08002B2CF9AE}" pid="4" name="KSOTemplateDocerSaveRecord">
    <vt:lpwstr>eyJoZGlkIjoiNTk4NGYxNzlkZDU4ZmRlZTA3YTVjNGZiYjE5YjdlZjYiLCJ1c2VySWQiOiI0NTY3NzE1NDkifQ==</vt:lpwstr>
  </property>
</Properties>
</file>