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eastAsia" w:ascii="仿宋_GB2312" w:eastAsia="仿宋_GB2312"/>
          <w:sz w:val="32"/>
          <w:szCs w:val="32"/>
        </w:rPr>
      </w:pPr>
      <w:r>
        <w:rPr>
          <w:rFonts w:ascii="微软雅黑" w:hAnsi="微软雅黑" w:eastAsia="微软雅黑" w:cs="微软雅黑"/>
          <w:b/>
          <w:bCs/>
          <w:i w:val="0"/>
          <w:iCs w:val="0"/>
          <w:caps w:val="0"/>
          <w:color w:val="333333"/>
          <w:spacing w:val="0"/>
          <w:sz w:val="36"/>
          <w:szCs w:val="36"/>
          <w:shd w:val="clear" w:color="auto" w:fill="FFFFFF"/>
        </w:rPr>
        <w:t>湖口县202</w:t>
      </w:r>
      <w:r>
        <w:rPr>
          <w:rFonts w:hint="eastAsia" w:ascii="微软雅黑" w:hAnsi="微软雅黑" w:eastAsia="微软雅黑" w:cs="微软雅黑"/>
          <w:b/>
          <w:bCs/>
          <w:i w:val="0"/>
          <w:iCs w:val="0"/>
          <w:caps w:val="0"/>
          <w:color w:val="333333"/>
          <w:spacing w:val="0"/>
          <w:sz w:val="36"/>
          <w:szCs w:val="36"/>
          <w:shd w:val="clear" w:color="auto" w:fill="FFFFFF"/>
          <w:lang w:val="en-US" w:eastAsia="zh-CN"/>
        </w:rPr>
        <w:t>0</w:t>
      </w:r>
      <w:r>
        <w:rPr>
          <w:rFonts w:ascii="微软雅黑" w:hAnsi="微软雅黑" w:eastAsia="微软雅黑" w:cs="微软雅黑"/>
          <w:b/>
          <w:bCs/>
          <w:i w:val="0"/>
          <w:iCs w:val="0"/>
          <w:caps w:val="0"/>
          <w:color w:val="333333"/>
          <w:spacing w:val="0"/>
          <w:sz w:val="36"/>
          <w:szCs w:val="36"/>
          <w:shd w:val="clear" w:color="auto" w:fill="FFFFFF"/>
        </w:rPr>
        <w:t>年</w:t>
      </w:r>
      <w:r>
        <w:rPr>
          <w:rFonts w:hint="eastAsia" w:ascii="微软雅黑" w:hAnsi="微软雅黑" w:eastAsia="微软雅黑" w:cs="微软雅黑"/>
          <w:b/>
          <w:bCs/>
          <w:i w:val="0"/>
          <w:iCs w:val="0"/>
          <w:caps w:val="0"/>
          <w:color w:val="333333"/>
          <w:spacing w:val="0"/>
          <w:sz w:val="36"/>
          <w:szCs w:val="36"/>
          <w:shd w:val="clear" w:color="auto" w:fill="FFFFFF"/>
          <w:lang w:val="en-US" w:eastAsia="zh-CN"/>
        </w:rPr>
        <w:t>1-2</w:t>
      </w:r>
      <w:r>
        <w:rPr>
          <w:rFonts w:ascii="微软雅黑" w:hAnsi="微软雅黑" w:eastAsia="微软雅黑" w:cs="微软雅黑"/>
          <w:b/>
          <w:bCs/>
          <w:i w:val="0"/>
          <w:iCs w:val="0"/>
          <w:caps w:val="0"/>
          <w:color w:val="333333"/>
          <w:spacing w:val="0"/>
          <w:sz w:val="36"/>
          <w:szCs w:val="36"/>
          <w:shd w:val="clear" w:color="auto" w:fill="FFFFFF"/>
        </w:rPr>
        <w:t>季度财政收支情况</w:t>
      </w:r>
    </w:p>
    <w:p>
      <w:pPr>
        <w:widowControl/>
        <w:numPr>
          <w:ilvl w:val="0"/>
          <w:numId w:val="1"/>
        </w:numPr>
        <w:spacing w:beforeAutospacing="1" w:afterAutospacing="1" w:line="600" w:lineRule="atLeast"/>
        <w:ind w:firstLine="672" w:firstLineChars="210"/>
        <w:jc w:val="left"/>
        <w:rPr>
          <w:rFonts w:hint="eastAsia" w:ascii="仿宋_GB2312" w:eastAsia="仿宋_GB2312"/>
          <w:sz w:val="32"/>
          <w:szCs w:val="32"/>
        </w:rPr>
      </w:pPr>
      <w:r>
        <w:rPr>
          <w:rFonts w:hint="eastAsia" w:ascii="仿宋_GB2312" w:eastAsia="仿宋_GB2312"/>
          <w:sz w:val="32"/>
          <w:szCs w:val="32"/>
        </w:rPr>
        <w:t>1-2季度以来，全县上下坚持以习近平新时代中国特色社会主义思想为指导，深入学习党的十九大和十九届二中、三中、四中全会精神，认真贯彻中央，省、市、县委县政府有关决策部署，扎实做好“六稳”工作，全面落实“六保”任务，统筹推进疫情防控和支持经济社会发展。随着疫情防控取得阶段性成效，生产生活秩序加快恢复，复工复产逐步接近正常水平，财政收入有所好转，收入质量有所提升。1-6月份，财政总收入完成18.1亿元，同比减收10.4亿元，下降36%,收入总量居全市第五位。财政总收入税收占比78.7%，较一季度提高9.5个百分点。</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1-2季度以来，各级财政部门加快资金拨付进度，统筹做好疫情防控和支持经济发展各项工作，受财政短收压减一般性支出和企业职工基本养老省级统筹等政策影响，公共预算支出下降明显。1-6月份，全县公共财政预算支出完成14.8亿元，同比减支1.6亿元，下降9.9%，其中：一般公共服务支出下降68%，社会保障和就业支出下降53%。同时，为积极做好疫情防控工作，截至6月底，全县卫生健康支出增长10%，用于疫情防控支出6192万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47080"/>
    <w:multiLevelType w:val="singleLevel"/>
    <w:tmpl w:val="941470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75126"/>
    <w:rsid w:val="09D7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2023-02-27T03:30:00Z</dcterms:created>
  <dc:creator>吴主锌</dc:creator>
  <cp:lastModifiedBy>吴主锌</cp:lastModifiedBy>
  <dcterms:modified xsi:type="dcterms:W3CDTF">2023-02-27T03:31:02Z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AD13B26E2624423AA716491D100BB57B</vt:lpwstr>
  </property>
</Properties>
</file>