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仿宋_GB2312" w:hAnsi="仿宋_GB2312" w:eastAsia="仿宋_GB2312" w:cs="仿宋_GB2312"/>
          <w:b/>
          <w:bCs/>
          <w:sz w:val="32"/>
          <w:szCs w:val="32"/>
          <w:lang w:val="en-US" w:eastAsia="zh-CN"/>
        </w:rPr>
      </w:pPr>
      <w:bookmarkStart w:id="0" w:name="_GoBack"/>
      <w:bookmarkEnd w:id="0"/>
      <w:r>
        <w:rPr>
          <w:rFonts w:hint="eastAsia" w:ascii="黑体" w:hAnsi="黑体" w:eastAsia="黑体" w:cs="黑体"/>
          <w:b w:val="0"/>
          <w:bCs w:val="0"/>
          <w:sz w:val="32"/>
          <w:szCs w:val="32"/>
          <w:lang w:val="en-US" w:eastAsia="zh-CN"/>
        </w:rPr>
        <w:t>附件</w:t>
      </w:r>
      <w:r>
        <w:rPr>
          <w:rFonts w:hint="eastAsia" w:ascii="仿宋_GB2312" w:hAnsi="仿宋_GB2312" w:eastAsia="仿宋_GB2312" w:cs="仿宋_GB2312"/>
          <w:b/>
          <w:bCs/>
          <w:sz w:val="32"/>
          <w:szCs w:val="32"/>
          <w:lang w:val="en-US" w:eastAsia="zh-CN"/>
        </w:rPr>
        <w:tab/>
      </w:r>
      <w:r>
        <w:rPr>
          <w:rFonts w:hint="eastAsia" w:ascii="仿宋_GB2312" w:hAnsi="仿宋_GB2312" w:eastAsia="仿宋_GB2312" w:cs="仿宋_GB2312"/>
          <w:b/>
          <w:bCs/>
          <w:sz w:val="32"/>
          <w:szCs w:val="32"/>
          <w:lang w:val="en-US" w:eastAsia="zh-CN"/>
        </w:rPr>
        <w:tab/>
      </w:r>
    </w:p>
    <w:p>
      <w:pPr>
        <w:pStyle w:val="2"/>
        <w:ind w:left="0" w:leftChars="0" w:firstLine="0" w:firstLineChars="0"/>
        <w:jc w:val="center"/>
        <w:rPr>
          <w:rFonts w:hint="eastAsia"/>
          <w:b/>
          <w:bCs/>
          <w:sz w:val="44"/>
          <w:szCs w:val="44"/>
          <w:lang w:val="en-US" w:eastAsia="zh-CN"/>
        </w:rPr>
      </w:pPr>
      <w:r>
        <w:rPr>
          <w:rFonts w:hint="eastAsia"/>
          <w:b/>
          <w:bCs/>
          <w:sz w:val="44"/>
          <w:szCs w:val="44"/>
          <w:lang w:val="en-US" w:eastAsia="zh-CN"/>
        </w:rPr>
        <w:t>湖口县基层政务公开标准化规范化“十县百乡”建设任务分工安排</w:t>
      </w:r>
    </w:p>
    <w:tbl>
      <w:tblPr>
        <w:tblStyle w:val="10"/>
        <w:tblW w:w="14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81"/>
        <w:gridCol w:w="2021"/>
        <w:gridCol w:w="8019"/>
        <w:gridCol w:w="3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4" w:hRule="atLeast"/>
          <w:tblHeader/>
          <w:jc w:val="center"/>
        </w:trPr>
        <w:tc>
          <w:tcPr>
            <w:tcW w:w="1481" w:type="dxa"/>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一级任务</w:t>
            </w:r>
          </w:p>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指标</w:t>
            </w:r>
          </w:p>
        </w:tc>
        <w:tc>
          <w:tcPr>
            <w:tcW w:w="2021" w:type="dxa"/>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二级任务指标</w:t>
            </w:r>
          </w:p>
        </w:tc>
        <w:tc>
          <w:tcPr>
            <w:tcW w:w="8019" w:type="dxa"/>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具体建设内容</w:t>
            </w:r>
          </w:p>
        </w:tc>
        <w:tc>
          <w:tcPr>
            <w:tcW w:w="3460" w:type="dxa"/>
            <w:shd w:val="clear" w:color="auto" w:fill="auto"/>
            <w:noWrap/>
            <w:vAlign w:val="center"/>
          </w:tcPr>
          <w:p>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7" w:hRule="atLeast"/>
          <w:jc w:val="center"/>
        </w:trPr>
        <w:tc>
          <w:tcPr>
            <w:tcW w:w="1481"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政务公开事项标准目录简化及落实</w:t>
            </w:r>
          </w:p>
          <w:p>
            <w:pPr>
              <w:pStyle w:val="2"/>
              <w:ind w:left="0" w:leftChars="0" w:firstLine="0" w:firstLineChars="0"/>
              <w:rPr>
                <w:rFonts w:hint="eastAsia" w:ascii="仿宋_GB2312" w:hAnsi="仿宋_GB2312" w:eastAsia="仿宋_GB2312" w:cs="仿宋_GB2312"/>
                <w:i w:val="0"/>
                <w:iCs w:val="0"/>
                <w:color w:val="000000"/>
                <w:kern w:val="0"/>
                <w:sz w:val="24"/>
                <w:szCs w:val="24"/>
                <w:u w:val="none"/>
                <w:lang w:val="en-US" w:eastAsia="zh-CN" w:bidi="ar"/>
              </w:rPr>
            </w:pPr>
          </w:p>
          <w:p>
            <w:pPr>
              <w:pStyle w:val="2"/>
              <w:ind w:left="0" w:leftChars="0" w:firstLine="0" w:firstLineChars="0"/>
              <w:rPr>
                <w:rFonts w:hint="eastAsia" w:ascii="仿宋_GB2312" w:hAnsi="仿宋_GB2312" w:eastAsia="仿宋_GB2312" w:cs="仿宋_GB2312"/>
                <w:i w:val="0"/>
                <w:iCs w:val="0"/>
                <w:color w:val="000000"/>
                <w:kern w:val="0"/>
                <w:sz w:val="24"/>
                <w:szCs w:val="24"/>
                <w:u w:val="none"/>
                <w:lang w:val="en-US" w:eastAsia="zh-CN" w:bidi="ar"/>
              </w:rPr>
            </w:pPr>
          </w:p>
          <w:p>
            <w:pPr>
              <w:pStyle w:val="2"/>
              <w:ind w:left="0" w:leftChars="0" w:firstLine="0" w:firstLineChars="0"/>
              <w:rPr>
                <w:rFonts w:hint="eastAsia" w:ascii="仿宋_GB2312" w:hAnsi="仿宋_GB2312" w:eastAsia="仿宋_GB2312" w:cs="仿宋_GB2312"/>
                <w:i w:val="0"/>
                <w:iCs w:val="0"/>
                <w:color w:val="000000"/>
                <w:kern w:val="0"/>
                <w:sz w:val="24"/>
                <w:szCs w:val="24"/>
                <w:u w:val="none"/>
                <w:lang w:val="en-US" w:eastAsia="zh-CN" w:bidi="ar"/>
              </w:rPr>
            </w:pPr>
          </w:p>
          <w:p>
            <w:pPr>
              <w:rPr>
                <w:rFonts w:hint="eastAsia" w:ascii="仿宋_GB2312" w:hAnsi="仿宋_GB2312" w:eastAsia="仿宋_GB2312" w:cs="仿宋_GB2312"/>
                <w:i w:val="0"/>
                <w:iCs w:val="0"/>
                <w:color w:val="000000"/>
                <w:kern w:val="0"/>
                <w:sz w:val="24"/>
                <w:szCs w:val="24"/>
                <w:u w:val="none"/>
                <w:lang w:val="en-US" w:eastAsia="zh-CN" w:bidi="ar"/>
              </w:rPr>
            </w:pPr>
          </w:p>
          <w:p>
            <w:pPr>
              <w:pStyle w:val="2"/>
              <w:rPr>
                <w:rFonts w:hint="eastAsia" w:ascii="仿宋_GB2312" w:hAnsi="仿宋_GB2312" w:eastAsia="仿宋_GB2312" w:cs="仿宋_GB2312"/>
                <w:i w:val="0"/>
                <w:iCs w:val="0"/>
                <w:color w:val="000000"/>
                <w:kern w:val="0"/>
                <w:sz w:val="24"/>
                <w:szCs w:val="24"/>
                <w:u w:val="none"/>
                <w:lang w:val="en-US" w:eastAsia="zh-CN" w:bidi="ar"/>
              </w:rPr>
            </w:pPr>
          </w:p>
          <w:p>
            <w:pPr>
              <w:rPr>
                <w:rFonts w:hint="eastAsia" w:ascii="仿宋_GB2312" w:hAnsi="仿宋_GB2312" w:eastAsia="仿宋_GB2312" w:cs="仿宋_GB2312"/>
                <w:i w:val="0"/>
                <w:iCs w:val="0"/>
                <w:color w:val="000000"/>
                <w:kern w:val="0"/>
                <w:sz w:val="24"/>
                <w:szCs w:val="24"/>
                <w:u w:val="none"/>
                <w:lang w:val="en-US" w:eastAsia="zh-CN" w:bidi="ar"/>
              </w:rPr>
            </w:pPr>
          </w:p>
          <w:p>
            <w:pPr>
              <w:pStyle w:val="2"/>
              <w:rPr>
                <w:rFonts w:hint="eastAsia" w:ascii="仿宋_GB2312" w:hAnsi="仿宋_GB2312" w:eastAsia="仿宋_GB2312" w:cs="仿宋_GB2312"/>
                <w:i w:val="0"/>
                <w:iCs w:val="0"/>
                <w:color w:val="000000"/>
                <w:kern w:val="0"/>
                <w:sz w:val="24"/>
                <w:szCs w:val="24"/>
                <w:u w:val="none"/>
                <w:lang w:val="en-US" w:eastAsia="zh-CN" w:bidi="ar"/>
              </w:rPr>
            </w:pPr>
          </w:p>
          <w:p>
            <w:pPr>
              <w:rPr>
                <w:rFonts w:hint="eastAsia" w:ascii="仿宋_GB2312" w:hAnsi="仿宋_GB2312" w:eastAsia="仿宋_GB2312" w:cs="仿宋_GB2312"/>
                <w:i w:val="0"/>
                <w:iCs w:val="0"/>
                <w:color w:val="000000"/>
                <w:kern w:val="0"/>
                <w:sz w:val="24"/>
                <w:szCs w:val="24"/>
                <w:u w:val="none"/>
                <w:lang w:val="en-US" w:eastAsia="zh-CN" w:bidi="ar"/>
              </w:rPr>
            </w:pPr>
          </w:p>
          <w:p>
            <w:pPr>
              <w:pStyle w:val="2"/>
              <w:rPr>
                <w:rFonts w:hint="eastAsia" w:ascii="仿宋_GB2312" w:hAnsi="仿宋_GB2312" w:eastAsia="仿宋_GB2312" w:cs="仿宋_GB2312"/>
                <w:i w:val="0"/>
                <w:iCs w:val="0"/>
                <w:color w:val="000000"/>
                <w:kern w:val="0"/>
                <w:sz w:val="24"/>
                <w:szCs w:val="24"/>
                <w:u w:val="none"/>
                <w:lang w:val="en-US" w:eastAsia="zh-CN" w:bidi="ar"/>
              </w:rPr>
            </w:pPr>
          </w:p>
          <w:p>
            <w:pPr>
              <w:rPr>
                <w:rFonts w:hint="eastAsia" w:ascii="仿宋_GB2312" w:hAnsi="仿宋_GB2312" w:eastAsia="仿宋_GB2312" w:cs="仿宋_GB2312"/>
                <w:i w:val="0"/>
                <w:iCs w:val="0"/>
                <w:color w:val="000000"/>
                <w:kern w:val="0"/>
                <w:sz w:val="24"/>
                <w:szCs w:val="24"/>
                <w:u w:val="none"/>
                <w:lang w:val="en-US" w:eastAsia="zh-CN" w:bidi="ar"/>
              </w:rPr>
            </w:pPr>
          </w:p>
          <w:p>
            <w:pPr>
              <w:pStyle w:val="2"/>
              <w:rPr>
                <w:rFonts w:hint="eastAsia" w:ascii="仿宋_GB2312" w:hAnsi="仿宋_GB2312" w:eastAsia="仿宋_GB2312" w:cs="仿宋_GB2312"/>
                <w:i w:val="0"/>
                <w:iCs w:val="0"/>
                <w:color w:val="000000"/>
                <w:kern w:val="0"/>
                <w:sz w:val="24"/>
                <w:szCs w:val="24"/>
                <w:u w:val="none"/>
                <w:lang w:val="en-US" w:eastAsia="zh-CN" w:bidi="ar"/>
              </w:rPr>
            </w:pPr>
          </w:p>
          <w:p>
            <w:pPr>
              <w:rPr>
                <w:rFonts w:hint="eastAsia"/>
                <w:lang w:val="en-US" w:eastAsia="zh-CN"/>
              </w:rPr>
            </w:pPr>
          </w:p>
          <w:p>
            <w:pPr>
              <w:pStyle w:val="2"/>
              <w:ind w:left="0" w:leftChars="0" w:firstLine="0" w:firstLineChars="0"/>
              <w:rPr>
                <w:rFonts w:hint="eastAsia" w:ascii="仿宋_GB2312" w:hAnsi="仿宋_GB2312" w:eastAsia="仿宋_GB2312" w:cs="仿宋_GB2312"/>
                <w:i w:val="0"/>
                <w:iCs w:val="0"/>
                <w:color w:val="000000"/>
                <w:kern w:val="0"/>
                <w:sz w:val="24"/>
                <w:szCs w:val="24"/>
                <w:u w:val="none"/>
                <w:lang w:val="en-US" w:eastAsia="zh-CN" w:bidi="ar"/>
              </w:rPr>
            </w:pPr>
          </w:p>
          <w:p>
            <w:pPr>
              <w:pStyle w:val="2"/>
              <w:ind w:left="0" w:leftChars="0" w:firstLine="0" w:firstLineChars="0"/>
              <w:rPr>
                <w:rFonts w:hint="eastAsia"/>
              </w:rPr>
            </w:pPr>
            <w:r>
              <w:rPr>
                <w:rFonts w:hint="eastAsia" w:ascii="仿宋_GB2312" w:hAnsi="仿宋_GB2312" w:eastAsia="仿宋_GB2312" w:cs="仿宋_GB2312"/>
                <w:i w:val="0"/>
                <w:iCs w:val="0"/>
                <w:color w:val="000000"/>
                <w:kern w:val="0"/>
                <w:sz w:val="24"/>
                <w:szCs w:val="24"/>
                <w:u w:val="none"/>
                <w:lang w:val="en-US" w:eastAsia="zh-CN" w:bidi="ar"/>
              </w:rPr>
              <w:t>政务公开事项标准目录简化及落实</w:t>
            </w:r>
          </w:p>
        </w:tc>
        <w:tc>
          <w:tcPr>
            <w:tcW w:w="2021"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调整并简化</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政务公开事项</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标准目录</w:t>
            </w: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1.对照最新权责清单简化调整26个领域基层政务公开标准目录，突出针对性、易用性和可操作性。</w:t>
            </w:r>
          </w:p>
        </w:tc>
        <w:tc>
          <w:tcPr>
            <w:tcW w:w="3460"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发改委、县教体局、县公安局、县民政局、县司法局、县财政局、县人社局、县自然资源局、县生态环境局、县住建局、县城管局、县农业农村局、县文广新旅局、县卫健委、县应急管理局、县市场监督管理局、县政务服务中心、县乡村振兴局、县税务局、县数字经济发展中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34"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对照《江西省人民政府办公厅关于印发江西省乡镇（街道）行政权力指导目录(2021年版)的通知》（赣府厅发〔2021〕31号)、《江西省人民政府办公厅关于印发江西省村（社区）公共服务事项指导目录(2021年版)的通知》（赣府厅发〔2021〕36号），简化调整26个领域基层政务公开标准目录，突出针对性、易用性和可操作性。</w:t>
            </w:r>
          </w:p>
        </w:tc>
        <w:tc>
          <w:tcPr>
            <w:tcW w:w="346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3.26个领域基层政务公开标准目录的公开内容要与本部门业务工作紧密结合，做到决策、执行、管理、服务、结果全过程信息公开。</w:t>
            </w:r>
          </w:p>
        </w:tc>
        <w:tc>
          <w:tcPr>
            <w:tcW w:w="346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6"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4.调整后的26个领域基层政务公开标准目录要素完备、查询便利。</w:t>
            </w:r>
          </w:p>
        </w:tc>
        <w:tc>
          <w:tcPr>
            <w:tcW w:w="346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7"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5.建立基层政务公开标准目录动态调整机制。</w:t>
            </w:r>
          </w:p>
        </w:tc>
        <w:tc>
          <w:tcPr>
            <w:tcW w:w="346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7"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kern w:val="0"/>
                <w:sz w:val="10"/>
                <w:szCs w:val="10"/>
                <w:u w:val="none"/>
                <w:lang w:val="en-US" w:eastAsia="zh-CN" w:bidi="ar"/>
              </w:rPr>
            </w:pP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规范公开基层</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政务公开标准</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目录内容</w:t>
            </w:r>
          </w:p>
          <w:p>
            <w:pPr>
              <w:pStyle w:val="2"/>
              <w:ind w:left="0" w:leftChars="0" w:firstLine="0" w:firstLineChars="0"/>
              <w:rPr>
                <w:rFonts w:hint="eastAsia" w:ascii="仿宋_GB2312" w:hAnsi="仿宋_GB2312" w:eastAsia="仿宋_GB2312" w:cs="仿宋_GB2312"/>
                <w:i w:val="0"/>
                <w:iCs w:val="0"/>
                <w:color w:val="000000"/>
                <w:kern w:val="0"/>
                <w:sz w:val="24"/>
                <w:szCs w:val="24"/>
                <w:u w:val="none"/>
                <w:lang w:val="en-US" w:eastAsia="zh-CN" w:bidi="ar"/>
              </w:rPr>
            </w:pPr>
          </w:p>
          <w:p>
            <w:pPr>
              <w:pStyle w:val="2"/>
              <w:ind w:left="0" w:leftChars="0" w:firstLine="0" w:firstLineChars="0"/>
              <w:rPr>
                <w:rFonts w:hint="eastAsia" w:ascii="仿宋_GB2312" w:hAnsi="仿宋_GB2312" w:eastAsia="仿宋_GB2312" w:cs="仿宋_GB2312"/>
                <w:i w:val="0"/>
                <w:iCs w:val="0"/>
                <w:color w:val="000000"/>
                <w:kern w:val="0"/>
                <w:sz w:val="24"/>
                <w:szCs w:val="24"/>
                <w:u w:val="none"/>
                <w:lang w:val="en-US" w:eastAsia="zh-CN" w:bidi="ar"/>
              </w:rPr>
            </w:pPr>
          </w:p>
          <w:p>
            <w:pPr>
              <w:pStyle w:val="2"/>
              <w:ind w:left="0" w:leftChars="0" w:firstLine="0" w:firstLineChars="0"/>
              <w:rPr>
                <w:rFonts w:hint="eastAsia" w:ascii="仿宋_GB2312" w:hAnsi="仿宋_GB2312" w:eastAsia="仿宋_GB2312" w:cs="仿宋_GB2312"/>
                <w:i w:val="0"/>
                <w:iCs w:val="0"/>
                <w:color w:val="000000"/>
                <w:kern w:val="0"/>
                <w:sz w:val="24"/>
                <w:szCs w:val="24"/>
                <w:u w:val="none"/>
                <w:lang w:val="en-US" w:eastAsia="zh-CN" w:bidi="ar"/>
              </w:rPr>
            </w:pPr>
          </w:p>
          <w:p>
            <w:pPr>
              <w:pStyle w:val="2"/>
              <w:ind w:left="0" w:leftChars="0" w:firstLine="0" w:firstLineChars="0"/>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规范公开基层</w:t>
            </w:r>
          </w:p>
          <w:p>
            <w:pPr>
              <w:pStyle w:val="2"/>
              <w:ind w:left="0" w:leftChars="0" w:firstLine="0" w:firstLineChars="0"/>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政务公开标准</w:t>
            </w:r>
          </w:p>
          <w:p>
            <w:pPr>
              <w:pStyle w:val="2"/>
              <w:ind w:left="0" w:leftChars="0" w:firstLine="0" w:firstLineChars="0"/>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目录内容</w:t>
            </w: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6.在政府网站首页设置基层政务公开标准化规范化专题。</w:t>
            </w:r>
          </w:p>
        </w:tc>
        <w:tc>
          <w:tcPr>
            <w:tcW w:w="3460"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县数字经济发展中心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6"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7.基层政务公开标准目录所列公开事项和具体公开内容能够联动展示，方便公众通过标准目录进行信息检索和查阅。</w:t>
            </w:r>
          </w:p>
        </w:tc>
        <w:tc>
          <w:tcPr>
            <w:tcW w:w="346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65"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8.推进基层政务公开标准化规范化专题内容与主动公开内容融合。</w:t>
            </w:r>
          </w:p>
        </w:tc>
        <w:tc>
          <w:tcPr>
            <w:tcW w:w="346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发改委、县教体局、县公安局、县民政局、县司法局、县财政局、县人社局、县自然资源局、县生态环境局、县住建局、县城管局、县农业农村局、县文广新旅局、县卫健委、县应急管理局、县市场监督管理局、县政务服务中心、县乡村振兴局、县税务局、县数字经济发展中心、</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2"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政务公开与政务服务融合</w:t>
            </w: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9.结合机构改革职责调整变化及县乡村三级权责清单和公共服务清单，梳理编制进驻办事大厅的审批服务事项、办事指南，并通过线上线下全面准确公开。</w:t>
            </w:r>
          </w:p>
        </w:tc>
        <w:tc>
          <w:tcPr>
            <w:tcW w:w="3460"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县政务服务中心、各乡（镇）人民政府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10.以企业和群众“办好一件事”为标准，对办事服务信息加以集成、优化、简化，汇总编制企业和群众办事一本通，并向社会公开。</w:t>
            </w:r>
          </w:p>
        </w:tc>
        <w:tc>
          <w:tcPr>
            <w:tcW w:w="346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1481"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规范政务公开工作流程</w:t>
            </w:r>
          </w:p>
          <w:p>
            <w:pPr>
              <w:pStyle w:val="2"/>
              <w:ind w:left="0" w:leftChars="0" w:firstLine="0" w:firstLineChars="0"/>
              <w:rPr>
                <w:rFonts w:hint="eastAsia" w:ascii="仿宋_GB2312" w:hAnsi="仿宋_GB2312" w:eastAsia="仿宋_GB2312" w:cs="仿宋_GB2312"/>
                <w:i w:val="0"/>
                <w:iCs w:val="0"/>
                <w:color w:val="000000"/>
                <w:kern w:val="0"/>
                <w:sz w:val="24"/>
                <w:szCs w:val="24"/>
                <w:u w:val="none"/>
                <w:lang w:val="en-US" w:eastAsia="zh-CN" w:bidi="ar"/>
              </w:rPr>
            </w:pPr>
          </w:p>
          <w:p>
            <w:pPr>
              <w:rPr>
                <w:rFonts w:hint="eastAsia" w:ascii="仿宋_GB2312" w:hAnsi="仿宋_GB2312" w:eastAsia="仿宋_GB2312" w:cs="仿宋_GB2312"/>
                <w:i w:val="0"/>
                <w:iCs w:val="0"/>
                <w:color w:val="000000"/>
                <w:kern w:val="0"/>
                <w:sz w:val="24"/>
                <w:szCs w:val="24"/>
                <w:u w:val="none"/>
                <w:lang w:val="en-US" w:eastAsia="zh-CN" w:bidi="ar"/>
              </w:rPr>
            </w:pPr>
          </w:p>
          <w:p>
            <w:pPr>
              <w:pStyle w:val="2"/>
              <w:rPr>
                <w:rFonts w:hint="eastAsia" w:ascii="仿宋_GB2312" w:hAnsi="仿宋_GB2312" w:eastAsia="仿宋_GB2312" w:cs="仿宋_GB2312"/>
                <w:i w:val="0"/>
                <w:iCs w:val="0"/>
                <w:color w:val="000000"/>
                <w:kern w:val="0"/>
                <w:sz w:val="24"/>
                <w:szCs w:val="24"/>
                <w:u w:val="none"/>
                <w:lang w:val="en-US" w:eastAsia="zh-CN" w:bidi="ar"/>
              </w:rPr>
            </w:pPr>
          </w:p>
          <w:p>
            <w:pPr>
              <w:rPr>
                <w:rFonts w:hint="eastAsia" w:ascii="仿宋_GB2312" w:hAnsi="仿宋_GB2312" w:eastAsia="仿宋_GB2312" w:cs="仿宋_GB2312"/>
                <w:i w:val="0"/>
                <w:iCs w:val="0"/>
                <w:color w:val="000000"/>
                <w:kern w:val="0"/>
                <w:sz w:val="24"/>
                <w:szCs w:val="24"/>
                <w:u w:val="none"/>
                <w:lang w:val="en-US" w:eastAsia="zh-CN" w:bidi="ar"/>
              </w:rPr>
            </w:pPr>
          </w:p>
          <w:p>
            <w:pPr>
              <w:pStyle w:val="2"/>
              <w:rPr>
                <w:rFonts w:hint="eastAsia" w:ascii="仿宋_GB2312" w:hAnsi="仿宋_GB2312" w:eastAsia="仿宋_GB2312" w:cs="仿宋_GB2312"/>
                <w:i w:val="0"/>
                <w:iCs w:val="0"/>
                <w:color w:val="000000"/>
                <w:kern w:val="0"/>
                <w:sz w:val="24"/>
                <w:szCs w:val="24"/>
                <w:u w:val="none"/>
                <w:lang w:val="en-US" w:eastAsia="zh-CN" w:bidi="ar"/>
              </w:rPr>
            </w:pPr>
          </w:p>
          <w:p>
            <w:pPr>
              <w:rPr>
                <w:rFonts w:hint="eastAsia" w:ascii="仿宋_GB2312" w:hAnsi="仿宋_GB2312" w:eastAsia="仿宋_GB2312" w:cs="仿宋_GB2312"/>
                <w:i w:val="0"/>
                <w:iCs w:val="0"/>
                <w:color w:val="000000"/>
                <w:kern w:val="0"/>
                <w:sz w:val="24"/>
                <w:szCs w:val="24"/>
                <w:u w:val="none"/>
                <w:lang w:val="en-US" w:eastAsia="zh-CN" w:bidi="ar"/>
              </w:rPr>
            </w:pPr>
          </w:p>
          <w:p>
            <w:pPr>
              <w:pStyle w:val="2"/>
              <w:rPr>
                <w:rFonts w:hint="eastAsia" w:ascii="仿宋_GB2312" w:hAnsi="仿宋_GB2312" w:eastAsia="仿宋_GB2312" w:cs="仿宋_GB2312"/>
                <w:i w:val="0"/>
                <w:iCs w:val="0"/>
                <w:color w:val="000000"/>
                <w:kern w:val="0"/>
                <w:sz w:val="24"/>
                <w:szCs w:val="24"/>
                <w:u w:val="none"/>
                <w:lang w:val="en-US" w:eastAsia="zh-CN" w:bidi="ar"/>
              </w:rPr>
            </w:pPr>
          </w:p>
          <w:p>
            <w:pPr>
              <w:rPr>
                <w:rFonts w:hint="eastAsia" w:ascii="仿宋_GB2312" w:hAnsi="仿宋_GB2312" w:eastAsia="仿宋_GB2312" w:cs="仿宋_GB2312"/>
                <w:i w:val="0"/>
                <w:iCs w:val="0"/>
                <w:color w:val="000000"/>
                <w:kern w:val="0"/>
                <w:sz w:val="24"/>
                <w:szCs w:val="24"/>
                <w:u w:val="none"/>
                <w:lang w:val="en-US" w:eastAsia="zh-CN" w:bidi="ar"/>
              </w:rPr>
            </w:pPr>
          </w:p>
          <w:p>
            <w:pPr>
              <w:pStyle w:val="2"/>
              <w:rPr>
                <w:rFonts w:hint="eastAsia" w:ascii="仿宋_GB2312" w:hAnsi="仿宋_GB2312" w:eastAsia="仿宋_GB2312" w:cs="仿宋_GB2312"/>
                <w:i w:val="0"/>
                <w:iCs w:val="0"/>
                <w:color w:val="000000"/>
                <w:kern w:val="0"/>
                <w:sz w:val="24"/>
                <w:szCs w:val="24"/>
                <w:u w:val="none"/>
                <w:lang w:val="en-US" w:eastAsia="zh-CN" w:bidi="ar"/>
              </w:rPr>
            </w:pPr>
          </w:p>
          <w:p>
            <w:pPr>
              <w:rPr>
                <w:rFonts w:hint="eastAsia"/>
                <w:lang w:val="en-US" w:eastAsia="zh-CN"/>
              </w:rPr>
            </w:pPr>
          </w:p>
          <w:p>
            <w:pPr>
              <w:pStyle w:val="2"/>
              <w:ind w:left="0" w:leftChars="0" w:firstLine="0" w:firstLineChars="0"/>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规范政务公开工作流程</w:t>
            </w:r>
          </w:p>
        </w:tc>
        <w:tc>
          <w:tcPr>
            <w:tcW w:w="2021"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信息发布</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工作机制</w:t>
            </w: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11.专人专责常态化信息发布。</w:t>
            </w:r>
          </w:p>
        </w:tc>
        <w:tc>
          <w:tcPr>
            <w:tcW w:w="3460" w:type="dxa"/>
            <w:vMerge w:val="restart"/>
            <w:shd w:val="clear" w:color="auto" w:fill="auto"/>
            <w:vAlign w:val="center"/>
          </w:tcPr>
          <w:p>
            <w:pPr>
              <w:jc w:val="center"/>
              <w:rPr>
                <w:rFonts w:hint="eastAsia" w:ascii="仿宋_GB2312" w:hAnsi="仿宋_GB2312" w:eastAsia="仿宋_GB2312" w:cs="仿宋_GB2312"/>
                <w:i w:val="0"/>
                <w:iCs w:val="0"/>
                <w:color w:val="000000"/>
                <w:kern w:val="0"/>
                <w:sz w:val="24"/>
                <w:szCs w:val="24"/>
                <w:u w:val="none"/>
                <w:lang w:val="en-US" w:eastAsia="zh-CN" w:bidi="ar"/>
              </w:rPr>
            </w:pPr>
          </w:p>
          <w:p>
            <w:pPr>
              <w:jc w:val="center"/>
              <w:rPr>
                <w:rFonts w:hint="eastAsia" w:ascii="仿宋_GB2312" w:hAnsi="仿宋_GB2312" w:eastAsia="仿宋_GB2312" w:cs="仿宋_GB2312"/>
                <w:i w:val="0"/>
                <w:iCs w:val="0"/>
                <w:color w:val="000000"/>
                <w:kern w:val="0"/>
                <w:sz w:val="24"/>
                <w:szCs w:val="24"/>
                <w:u w:val="none"/>
                <w:lang w:val="en-US" w:eastAsia="zh-CN" w:bidi="ar"/>
              </w:rPr>
            </w:pPr>
          </w:p>
          <w:p>
            <w:pPr>
              <w:jc w:val="center"/>
              <w:rPr>
                <w:rFonts w:hint="eastAsia" w:ascii="仿宋_GB2312" w:hAnsi="仿宋_GB2312" w:eastAsia="仿宋_GB2312" w:cs="仿宋_GB2312"/>
                <w:i w:val="0"/>
                <w:iCs w:val="0"/>
                <w:color w:val="000000"/>
                <w:kern w:val="0"/>
                <w:sz w:val="24"/>
                <w:szCs w:val="24"/>
                <w:u w:val="none"/>
                <w:lang w:val="en-US" w:eastAsia="zh-CN" w:bidi="ar"/>
              </w:rPr>
            </w:pPr>
          </w:p>
          <w:p>
            <w:pPr>
              <w:jc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县政府各部门、县直各单位、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各乡（镇）人民政府</w:t>
            </w: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jc w:val="center"/>
              <w:rPr>
                <w:rFonts w:hint="eastAsia"/>
              </w:rPr>
            </w:pPr>
            <w:r>
              <w:rPr>
                <w:rFonts w:hint="eastAsia" w:ascii="仿宋_GB2312" w:hAnsi="仿宋_GB2312" w:eastAsia="仿宋_GB2312" w:cs="仿宋_GB2312"/>
                <w:i w:val="0"/>
                <w:iCs w:val="0"/>
                <w:color w:val="000000"/>
                <w:kern w:val="0"/>
                <w:sz w:val="24"/>
                <w:szCs w:val="24"/>
                <w:u w:val="none"/>
                <w:lang w:val="en-US" w:eastAsia="zh-CN" w:bidi="ar"/>
              </w:rPr>
              <w:t>县政府各部门、县直各单位、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9"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12.开展法定主动公开内容和基层政务公开标准化规范化的日常检查、维护和更新。</w:t>
            </w:r>
          </w:p>
        </w:tc>
        <w:tc>
          <w:tcPr>
            <w:tcW w:w="346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保密审查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工作机制</w:t>
            </w: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13.探索将政务公开标准目录、标准规范嵌入业务系统，建立信息公开属性源头认定机制，促进公开工作与其他业务工作融合发展。</w:t>
            </w:r>
          </w:p>
        </w:tc>
        <w:tc>
          <w:tcPr>
            <w:tcW w:w="346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4"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14.建立信息公开时限、范围、方式和防止泄露个人信息的审查制度。</w:t>
            </w:r>
          </w:p>
        </w:tc>
        <w:tc>
          <w:tcPr>
            <w:tcW w:w="346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3"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政策解读</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工作机制</w:t>
            </w: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15.建立政策文件与解读材料同步起草、同步审核、同步发布机制。</w:t>
            </w:r>
          </w:p>
        </w:tc>
        <w:tc>
          <w:tcPr>
            <w:tcW w:w="346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8"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16.采用图文漫画、简明问答、事例讲解、短视频等形象化、通俗化的形式开展深入浅出的政策解读。</w:t>
            </w:r>
          </w:p>
        </w:tc>
        <w:tc>
          <w:tcPr>
            <w:tcW w:w="346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8"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17.开展实质性解读，包括政策背景、主要内容、执行标准、惠民利民举措、新旧政策差异以及后续工作考虑等内容。</w:t>
            </w:r>
          </w:p>
        </w:tc>
        <w:tc>
          <w:tcPr>
            <w:tcW w:w="346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5"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18.建立政策解读专员机制。</w:t>
            </w:r>
          </w:p>
        </w:tc>
        <w:tc>
          <w:tcPr>
            <w:tcW w:w="346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9"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回应关切</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工作机制</w:t>
            </w: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19.通过政府网站、政务新媒体和热线平台等渠道提供意见建议和问题咨询入口，拓展政民互动渠道，简单咨询类留言在3日内办结，一般性留言在7个工作日内办结。</w:t>
            </w:r>
          </w:p>
        </w:tc>
        <w:tc>
          <w:tcPr>
            <w:tcW w:w="346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县政府各部门、县直各单位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37"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20.健全完善政务舆情常态化处置回应机制，密切关注涉及新冠肺炎疫情防控、经济金融、工资拖欠、环境污染和生态破坏、食品药品安全、教育医疗养老、安全生产、困难群众生活等方面的舆情并及时作出回应。</w:t>
            </w:r>
          </w:p>
        </w:tc>
        <w:tc>
          <w:tcPr>
            <w:tcW w:w="346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县政府办公室、县卫健委、县发改委、县科技和金融工作局、县人社局、县生态环境局、县市场监督管理局、县教体局、县医保局、县民政局、县应急管理局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依申请公开</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工作机制</w:t>
            </w: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21.建立依申请公开工作机制，制定依申请公开流程图，并执行到位。</w:t>
            </w:r>
          </w:p>
        </w:tc>
        <w:tc>
          <w:tcPr>
            <w:tcW w:w="3460"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县政府各部门、县直各单位、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77"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22.按照新修订《中华人民共和国政府信息公开条例》规定更新《政府信息公开指南》，列明线上线下公开渠道、申请受理机构、申请方式、申请流程、处理程序与时限、书面答复、申请收费情况。</w:t>
            </w:r>
          </w:p>
        </w:tc>
        <w:tc>
          <w:tcPr>
            <w:tcW w:w="346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3" w:hRule="atLeast"/>
          <w:jc w:val="center"/>
        </w:trPr>
        <w:tc>
          <w:tcPr>
            <w:tcW w:w="1481"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规范政务公开工作流程</w:t>
            </w:r>
          </w:p>
        </w:tc>
        <w:tc>
          <w:tcPr>
            <w:tcW w:w="2021"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依申请公开</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工作机制</w:t>
            </w: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23.建立完善政府信息公开申请的接收、登记、审核、办理、答复、归档等闭环管理机制。</w:t>
            </w:r>
          </w:p>
        </w:tc>
        <w:tc>
          <w:tcPr>
            <w:tcW w:w="3460"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县政府各部门、县直各单位、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8"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24.依法规范答复政府信息公开申请，并保持依申请公开渠道畅通。</w:t>
            </w:r>
          </w:p>
        </w:tc>
        <w:tc>
          <w:tcPr>
            <w:tcW w:w="346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0" w:hRule="atLeast"/>
          <w:jc w:val="center"/>
        </w:trPr>
        <w:tc>
          <w:tcPr>
            <w:tcW w:w="1481"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推进政务</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公开平台</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规范化</w:t>
            </w:r>
          </w:p>
        </w:tc>
        <w:tc>
          <w:tcPr>
            <w:tcW w:w="2021"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政府信息</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公开专栏</w:t>
            </w: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25.按照《国务院办公厅政府信息与政务公开办公室关于规范政府信息公开平台有关事项的通知》（国办公开办函〔2019〕61号）要求，规范建设网上政府信息公开专栏。</w:t>
            </w:r>
          </w:p>
        </w:tc>
        <w:tc>
          <w:tcPr>
            <w:tcW w:w="3460"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县数字经济发展中心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9"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26.优化信息检索和下载服务功能，搜索功能便利、可用。</w:t>
            </w:r>
          </w:p>
        </w:tc>
        <w:tc>
          <w:tcPr>
            <w:tcW w:w="346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8"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政务新媒体</w:t>
            </w: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27.提升政务新媒体运营水平，提高原创内容比例，增强互动交流功能。</w:t>
            </w:r>
          </w:p>
        </w:tc>
        <w:tc>
          <w:tcPr>
            <w:tcW w:w="3460"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县数字经济发展中心、县自然资源局、县公安局、县教体局、县林业局、县民政局、县农业农村局、县人社局、县市监局、县司法局、县卫健委、县医保局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9"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28.紧紧围绕政府中心工作，做好重要政策的发布解读。</w:t>
            </w:r>
          </w:p>
        </w:tc>
        <w:tc>
          <w:tcPr>
            <w:tcW w:w="346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3"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政务公开专区</w:t>
            </w: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39.在政务服务大厅、便民服务中心等场所设立政务公开专区。</w:t>
            </w:r>
          </w:p>
        </w:tc>
        <w:tc>
          <w:tcPr>
            <w:tcW w:w="3460"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县政府办公室、县政务服务中心、各乡（镇）人民政府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6"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30.专区应提供政府信息公开申请接收、政府信息查阅、政策咨询解读、政务公开意见收集反馈等服务。</w:t>
            </w:r>
          </w:p>
        </w:tc>
        <w:tc>
          <w:tcPr>
            <w:tcW w:w="346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2"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31.充分利用广播、电视、公示栏等平台发布政府信息，方便公众知晓。</w:t>
            </w:r>
          </w:p>
        </w:tc>
        <w:tc>
          <w:tcPr>
            <w:tcW w:w="346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1" w:hRule="atLeast"/>
          <w:jc w:val="center"/>
        </w:trPr>
        <w:tc>
          <w:tcPr>
            <w:tcW w:w="1481"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扩大基层决策开放参与</w:t>
            </w:r>
          </w:p>
        </w:tc>
        <w:tc>
          <w:tcPr>
            <w:tcW w:w="2021"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落实重大行政决策公众参与</w:t>
            </w: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32.认真落实《江西省县级以上人民政府重大行政决策程序规定》（江西省人民政府令第247号）。</w:t>
            </w:r>
          </w:p>
        </w:tc>
        <w:tc>
          <w:tcPr>
            <w:tcW w:w="346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县政府各部门、县直各单位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33.制定完善重大行政决策事项目录，列明决策事项、承办部门、决策时间以及是否听证等信息。</w:t>
            </w:r>
          </w:p>
        </w:tc>
        <w:tc>
          <w:tcPr>
            <w:tcW w:w="346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5"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34.重大行政决策事项面向公众广泛征集意见，提供决策透明度。</w:t>
            </w:r>
          </w:p>
        </w:tc>
        <w:tc>
          <w:tcPr>
            <w:tcW w:w="3460"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县政府各部门、县直各单位、</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2"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35.根据决策对社会和公众影响的范围和程度，对涉及重大民生问题、社会关注度高的议题，采取座谈会、听证会、实地走访、向社会公开征求意见等多种方式广泛听取意见。</w:t>
            </w:r>
          </w:p>
        </w:tc>
        <w:tc>
          <w:tcPr>
            <w:tcW w:w="346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1"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36.开展重大行政决策意见征集时，应公开决策草案、决策草案的解读或说明、决策依据、意见反馈途径、联系方式等信息。</w:t>
            </w:r>
          </w:p>
        </w:tc>
        <w:tc>
          <w:tcPr>
            <w:tcW w:w="346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4"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37.及时公开相关意见建议的采纳情况。</w:t>
            </w:r>
          </w:p>
        </w:tc>
        <w:tc>
          <w:tcPr>
            <w:tcW w:w="346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8"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38.建立“政府开放日”和新闻发布会机制。</w:t>
            </w:r>
          </w:p>
        </w:tc>
        <w:tc>
          <w:tcPr>
            <w:tcW w:w="346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2"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建立完善社会公众代表列席政府会议制度</w:t>
            </w: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39.建立社会公众代表库，邀请“两代表一委员”、专家学者、企业家代表、新闻媒体代表、新的社会阶层人士代表等。</w:t>
            </w:r>
          </w:p>
        </w:tc>
        <w:tc>
          <w:tcPr>
            <w:tcW w:w="3460"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40.涉及重大民生事项、社会关注度高的议题，邀请利益相关方、社会公众代表列席政府会议，扩大公众参与。</w:t>
            </w:r>
          </w:p>
        </w:tc>
        <w:tc>
          <w:tcPr>
            <w:tcW w:w="346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52"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重大会议公开</w:t>
            </w: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41.在政府网站开设会议公开专栏，常态化公开政府常务会议等。</w:t>
            </w:r>
          </w:p>
        </w:tc>
        <w:tc>
          <w:tcPr>
            <w:tcW w:w="346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县政府办公室、</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县数字经济发展中心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5"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42.探索开展图文、视频等形式的会议直播、回放。</w:t>
            </w:r>
          </w:p>
        </w:tc>
        <w:tc>
          <w:tcPr>
            <w:tcW w:w="346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县政府办公室、县融媒体中心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3" w:hRule="atLeast"/>
          <w:jc w:val="center"/>
        </w:trPr>
        <w:tc>
          <w:tcPr>
            <w:tcW w:w="1481"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推动基层政务公开标准化规范化向农村和社区延伸</w:t>
            </w:r>
          </w:p>
        </w:tc>
        <w:tc>
          <w:tcPr>
            <w:tcW w:w="2021"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推进村（居）务公开标准化规范化</w:t>
            </w: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43.编制村（居）务公开事项清单，列明公开内容、公开时限、公开形式等，推进政务公开与村（居）务公开在形式、内容、标准上的有效衔接。</w:t>
            </w:r>
          </w:p>
        </w:tc>
        <w:tc>
          <w:tcPr>
            <w:tcW w:w="3460"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各乡（镇）人民政府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1"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44.各村（居）委会重点公开集体资产管理、财务收支、乡村振兴、惠农政策、养老服务、社会救助等方面的内容。</w:t>
            </w:r>
          </w:p>
        </w:tc>
        <w:tc>
          <w:tcPr>
            <w:tcW w:w="346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481"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21"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完善村（居）务</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公开渠道</w:t>
            </w:r>
          </w:p>
        </w:tc>
        <w:tc>
          <w:tcPr>
            <w:tcW w:w="8019" w:type="dxa"/>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45.加强村（居）民微信群、村（居）信息公开栏标准化规范化建设，使其成为村（居）务公开的重要平台。</w:t>
            </w:r>
          </w:p>
        </w:tc>
        <w:tc>
          <w:tcPr>
            <w:tcW w:w="346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r>
    </w:tbl>
    <w:p>
      <w:pPr>
        <w:pStyle w:val="2"/>
        <w:ind w:left="0" w:leftChars="0" w:firstLine="0" w:firstLineChars="0"/>
        <w:rPr>
          <w:rFonts w:hint="eastAsia"/>
          <w:lang w:val="en-US" w:eastAsia="zh-CN"/>
        </w:rPr>
      </w:pPr>
    </w:p>
    <w:sectPr>
      <w:footerReference r:id="rId3" w:type="default"/>
      <w:pgSz w:w="16838" w:h="11906" w:orient="landscape"/>
      <w:pgMar w:top="1701" w:right="1701" w:bottom="1701" w:left="1701"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B7ED5"/>
    <w:rsid w:val="01DD3C4D"/>
    <w:rsid w:val="02BE10DE"/>
    <w:rsid w:val="036030AB"/>
    <w:rsid w:val="052A53FB"/>
    <w:rsid w:val="052B4CCF"/>
    <w:rsid w:val="067601CC"/>
    <w:rsid w:val="07550729"/>
    <w:rsid w:val="09422A82"/>
    <w:rsid w:val="094D5822"/>
    <w:rsid w:val="095F13EB"/>
    <w:rsid w:val="0AC445F2"/>
    <w:rsid w:val="0B885D1D"/>
    <w:rsid w:val="0CCF4ADA"/>
    <w:rsid w:val="0EA507E4"/>
    <w:rsid w:val="111B528B"/>
    <w:rsid w:val="117C31CF"/>
    <w:rsid w:val="125F471B"/>
    <w:rsid w:val="140C4B0C"/>
    <w:rsid w:val="16775BFC"/>
    <w:rsid w:val="171C29CF"/>
    <w:rsid w:val="17810625"/>
    <w:rsid w:val="18431922"/>
    <w:rsid w:val="192F2B88"/>
    <w:rsid w:val="19C260A8"/>
    <w:rsid w:val="1A6702DA"/>
    <w:rsid w:val="1AC41FE2"/>
    <w:rsid w:val="1AC87E6B"/>
    <w:rsid w:val="1C8749E7"/>
    <w:rsid w:val="1D6E7059"/>
    <w:rsid w:val="1E8807F9"/>
    <w:rsid w:val="209D5157"/>
    <w:rsid w:val="21B53ABC"/>
    <w:rsid w:val="226D1E71"/>
    <w:rsid w:val="229677D4"/>
    <w:rsid w:val="249D1AA1"/>
    <w:rsid w:val="25A450E0"/>
    <w:rsid w:val="284E4660"/>
    <w:rsid w:val="286135A9"/>
    <w:rsid w:val="2B755BFE"/>
    <w:rsid w:val="2B830B12"/>
    <w:rsid w:val="2C7864B6"/>
    <w:rsid w:val="2E7806BC"/>
    <w:rsid w:val="300C7328"/>
    <w:rsid w:val="305A152E"/>
    <w:rsid w:val="3689242B"/>
    <w:rsid w:val="37D20707"/>
    <w:rsid w:val="3A03179B"/>
    <w:rsid w:val="3A8947FE"/>
    <w:rsid w:val="3B4C7172"/>
    <w:rsid w:val="3C6A5B02"/>
    <w:rsid w:val="3C855C14"/>
    <w:rsid w:val="3E2717D1"/>
    <w:rsid w:val="3E501A5F"/>
    <w:rsid w:val="3EA51073"/>
    <w:rsid w:val="40464AA7"/>
    <w:rsid w:val="40E35A46"/>
    <w:rsid w:val="413E130B"/>
    <w:rsid w:val="417D7802"/>
    <w:rsid w:val="42BA4D0F"/>
    <w:rsid w:val="437B4569"/>
    <w:rsid w:val="43B35889"/>
    <w:rsid w:val="46791BF7"/>
    <w:rsid w:val="4793339F"/>
    <w:rsid w:val="49581D1C"/>
    <w:rsid w:val="4A323E91"/>
    <w:rsid w:val="4D431101"/>
    <w:rsid w:val="4DA67EC1"/>
    <w:rsid w:val="4F0C274A"/>
    <w:rsid w:val="4FFF12B0"/>
    <w:rsid w:val="51606526"/>
    <w:rsid w:val="545E4A9A"/>
    <w:rsid w:val="54F14BBA"/>
    <w:rsid w:val="57DC4433"/>
    <w:rsid w:val="58F0664E"/>
    <w:rsid w:val="5A250E62"/>
    <w:rsid w:val="5A61633E"/>
    <w:rsid w:val="5A6D3091"/>
    <w:rsid w:val="5BAF3D53"/>
    <w:rsid w:val="5C796089"/>
    <w:rsid w:val="61045C75"/>
    <w:rsid w:val="621041A6"/>
    <w:rsid w:val="6323058D"/>
    <w:rsid w:val="642C4A74"/>
    <w:rsid w:val="65554F27"/>
    <w:rsid w:val="65A525AF"/>
    <w:rsid w:val="69930A8D"/>
    <w:rsid w:val="6B981494"/>
    <w:rsid w:val="6C3668AB"/>
    <w:rsid w:val="70990C33"/>
    <w:rsid w:val="715D5489"/>
    <w:rsid w:val="71DD58DC"/>
    <w:rsid w:val="73FF76A9"/>
    <w:rsid w:val="748527D2"/>
    <w:rsid w:val="77BE6726"/>
    <w:rsid w:val="7A071227"/>
    <w:rsid w:val="7AA240DD"/>
    <w:rsid w:val="7C0573B0"/>
    <w:rsid w:val="7CFA62A5"/>
    <w:rsid w:val="7EBF7DEF"/>
    <w:rsid w:val="7EE5476C"/>
    <w:rsid w:val="7FFC8F62"/>
    <w:rsid w:val="A7ECAFDD"/>
    <w:rsid w:val="F9DF6E4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3"/>
    <w:basedOn w:val="1"/>
    <w:next w:val="1"/>
    <w:semiHidden/>
    <w:unhideWhenUsed/>
    <w:qFormat/>
    <w:uiPriority w:val="0"/>
    <w:pPr>
      <w:keepNext/>
      <w:keepLines/>
      <w:spacing w:before="140" w:beforeLines="0" w:beforeAutospacing="0" w:after="140" w:afterLines="0" w:afterAutospacing="0" w:line="413" w:lineRule="auto"/>
      <w:jc w:val="center"/>
      <w:outlineLvl w:val="2"/>
    </w:pPr>
    <w:rPr>
      <w:rFonts w:asciiTheme="minorAscii" w:hAnsiTheme="minorAscii"/>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420" w:firstLine="420" w:firstLineChars="200"/>
    </w:pPr>
  </w:style>
  <w:style w:type="paragraph" w:styleId="3">
    <w:name w:val="Body Text Indent"/>
    <w:basedOn w:val="1"/>
    <w:next w:val="4"/>
    <w:qFormat/>
    <w:uiPriority w:val="0"/>
    <w:pPr>
      <w:widowControl w:val="0"/>
      <w:spacing w:after="120"/>
      <w:ind w:left="200" w:leftChars="200"/>
      <w:jc w:val="both"/>
    </w:pPr>
    <w:rPr>
      <w:kern w:val="2"/>
      <w:sz w:val="21"/>
      <w:szCs w:val="24"/>
      <w:lang w:val="en-US" w:eastAsia="zh-CN" w:bidi="ar-SA"/>
    </w:rPr>
  </w:style>
  <w:style w:type="paragraph" w:styleId="4">
    <w:name w:val="envelope return"/>
    <w:basedOn w:val="1"/>
    <w:qFormat/>
    <w:uiPriority w:val="0"/>
    <w:pPr>
      <w:snapToGrid w:val="0"/>
    </w:pPr>
    <w:rPr>
      <w:rFonts w:ascii="Arial" w:hAnsi="Arial"/>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Autospacing="1" w:afterAutospacing="1"/>
      <w:jc w:val="left"/>
    </w:pPr>
    <w:rPr>
      <w:rFonts w:ascii="Calibri" w:hAnsi="Calibri"/>
      <w:kern w:val="0"/>
      <w:sz w:val="24"/>
      <w:szCs w:val="24"/>
    </w:rPr>
  </w:style>
  <w:style w:type="paragraph" w:customStyle="1" w:styleId="12">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5985</Words>
  <Characters>6135</Characters>
  <Lines>1</Lines>
  <Paragraphs>1</Paragraphs>
  <TotalTime>27</TotalTime>
  <ScaleCrop>false</ScaleCrop>
  <LinksUpToDate>false</LinksUpToDate>
  <CharactersWithSpaces>6228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2020-11-25T00:48:00Z</dcterms:created>
  <dc:creator>41065</dc:creator>
  <cp:lastModifiedBy>咩咩</cp:lastModifiedBy>
  <cp:lastPrinted>2022-02-23T08:23:00Z</cp:lastPrinted>
  <dcterms:modified xsi:type="dcterms:W3CDTF">2022-03-03T03:34:55Z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FB66C033FA7B49D894DF15AB20E09C9A</vt:lpwstr>
  </property>
</Properties>
</file>